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F3" w:rsidRDefault="00EE20F3" w:rsidP="00EE20F3">
      <w:pPr>
        <w:pStyle w:val="2"/>
        <w:numPr>
          <w:ilvl w:val="0"/>
          <w:numId w:val="0"/>
        </w:numPr>
        <w:jc w:val="center"/>
        <w:rPr>
          <w:bCs w:val="0"/>
          <w:i w:val="0"/>
          <w:sz w:val="28"/>
          <w:szCs w:val="28"/>
        </w:rPr>
      </w:pPr>
    </w:p>
    <w:p w:rsidR="00EE20F3" w:rsidRDefault="00EE20F3" w:rsidP="00EE20F3"/>
    <w:p w:rsidR="00EE20F3" w:rsidRPr="00EE20F3" w:rsidRDefault="00EE20F3" w:rsidP="00EE20F3"/>
    <w:p w:rsidR="00EE20F3" w:rsidRDefault="00EE20F3" w:rsidP="00EE20F3"/>
    <w:p w:rsidR="00EE20F3" w:rsidRPr="00EE20F3" w:rsidRDefault="00EE20F3" w:rsidP="00EE20F3"/>
    <w:p w:rsidR="00EE20F3" w:rsidRDefault="00EE20F3" w:rsidP="00EE20F3">
      <w:pPr>
        <w:pStyle w:val="2"/>
        <w:numPr>
          <w:ilvl w:val="0"/>
          <w:numId w:val="0"/>
        </w:numPr>
        <w:jc w:val="center"/>
        <w:rPr>
          <w:i w:val="0"/>
          <w:sz w:val="28"/>
          <w:szCs w:val="28"/>
        </w:rPr>
      </w:pPr>
      <w:r>
        <w:rPr>
          <w:bCs w:val="0"/>
          <w:i w:val="0"/>
          <w:sz w:val="28"/>
          <w:szCs w:val="28"/>
        </w:rPr>
        <w:t>The International Court of Justice</w:t>
      </w:r>
    </w:p>
    <w:p w:rsidR="00EE20F3" w:rsidRDefault="00EE20F3" w:rsidP="00EE20F3">
      <w:pPr>
        <w:jc w:val="center"/>
        <w:rPr>
          <w:b/>
          <w:bCs/>
          <w:sz w:val="20"/>
          <w:szCs w:val="20"/>
        </w:rPr>
      </w:pPr>
    </w:p>
    <w:p w:rsidR="00EE20F3" w:rsidRDefault="00EE20F3" w:rsidP="00EE20F3">
      <w:pPr>
        <w:jc w:val="center"/>
        <w:rPr>
          <w:b/>
          <w:bCs/>
          <w:sz w:val="20"/>
          <w:szCs w:val="20"/>
        </w:rPr>
      </w:pPr>
    </w:p>
    <w:p w:rsidR="00EE20F3" w:rsidRDefault="00EE20F3" w:rsidP="00EE20F3">
      <w:pPr>
        <w:jc w:val="center"/>
        <w:rPr>
          <w:b/>
          <w:bCs/>
          <w:sz w:val="20"/>
          <w:szCs w:val="20"/>
        </w:rPr>
      </w:pPr>
    </w:p>
    <w:p w:rsidR="00EE20F3" w:rsidRDefault="00EE20F3" w:rsidP="00EE20F3">
      <w:pPr>
        <w:jc w:val="center"/>
        <w:rPr>
          <w:b/>
          <w:bCs/>
          <w:sz w:val="20"/>
          <w:szCs w:val="20"/>
        </w:rPr>
      </w:pPr>
    </w:p>
    <w:p w:rsidR="00EE20F3" w:rsidRDefault="00EE20F3" w:rsidP="00EE20F3">
      <w:pPr>
        <w:jc w:val="center"/>
        <w:rPr>
          <w:b/>
          <w:bCs/>
          <w:sz w:val="20"/>
          <w:szCs w:val="20"/>
        </w:rPr>
      </w:pPr>
    </w:p>
    <w:p w:rsidR="00EE20F3" w:rsidRDefault="00EE20F3" w:rsidP="00EE20F3">
      <w:pPr>
        <w:jc w:val="center"/>
        <w:rPr>
          <w:b/>
          <w:bCs/>
          <w:sz w:val="20"/>
          <w:szCs w:val="20"/>
        </w:rPr>
      </w:pPr>
    </w:p>
    <w:p w:rsidR="00EE20F3" w:rsidRPr="00EE20F3" w:rsidRDefault="00EE20F3" w:rsidP="00EE20F3">
      <w:pPr>
        <w:jc w:val="center"/>
        <w:rPr>
          <w:b/>
          <w:bCs/>
          <w:sz w:val="28"/>
          <w:szCs w:val="28"/>
        </w:rPr>
      </w:pPr>
      <w:r w:rsidRPr="00EE20F3">
        <w:rPr>
          <w:b/>
          <w:bCs/>
          <w:sz w:val="28"/>
          <w:szCs w:val="28"/>
        </w:rPr>
        <w:t>2010</w:t>
      </w: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Pr="00EE20F3" w:rsidRDefault="00EE20F3" w:rsidP="00EE20F3">
      <w:pPr>
        <w:jc w:val="center"/>
        <w:rPr>
          <w:b/>
          <w:sz w:val="32"/>
          <w:szCs w:val="32"/>
        </w:rPr>
      </w:pPr>
      <w:r w:rsidRPr="00EE20F3">
        <w:rPr>
          <w:b/>
          <w:sz w:val="32"/>
          <w:szCs w:val="32"/>
        </w:rPr>
        <w:t xml:space="preserve">The case concerning the differences between the States </w:t>
      </w:r>
    </w:p>
    <w:p w:rsidR="00EE20F3" w:rsidRPr="00EE20F3" w:rsidRDefault="00EE20F3" w:rsidP="00EE20F3">
      <w:pPr>
        <w:jc w:val="center"/>
        <w:rPr>
          <w:b/>
          <w:sz w:val="32"/>
          <w:szCs w:val="32"/>
        </w:rPr>
      </w:pPr>
      <w:r w:rsidRPr="00EE20F3">
        <w:rPr>
          <w:b/>
          <w:sz w:val="32"/>
          <w:szCs w:val="32"/>
        </w:rPr>
        <w:t>over the Windscale Islands</w:t>
      </w:r>
    </w:p>
    <w:p w:rsidR="00EE20F3" w:rsidRPr="00EE20F3" w:rsidRDefault="00EE20F3" w:rsidP="00EE20F3">
      <w:pPr>
        <w:jc w:val="center"/>
        <w:rPr>
          <w:b/>
          <w:sz w:val="32"/>
          <w:szCs w:val="32"/>
        </w:rPr>
      </w:pPr>
    </w:p>
    <w:p w:rsidR="00EE20F3" w:rsidRPr="00EE20F3" w:rsidRDefault="00EE20F3" w:rsidP="00EE20F3">
      <w:pPr>
        <w:jc w:val="center"/>
        <w:rPr>
          <w:b/>
          <w:sz w:val="32"/>
          <w:szCs w:val="32"/>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jc w:val="center"/>
        <w:rPr>
          <w:b/>
        </w:rPr>
      </w:pPr>
    </w:p>
    <w:p w:rsidR="00EE20F3" w:rsidRDefault="00EE20F3" w:rsidP="00EE20F3">
      <w:pPr>
        <w:pStyle w:val="5"/>
        <w:jc w:val="center"/>
        <w:rPr>
          <w:i w:val="0"/>
          <w:smallCaps/>
          <w:sz w:val="28"/>
          <w:szCs w:val="28"/>
        </w:rPr>
      </w:pPr>
      <w:r>
        <w:rPr>
          <w:i w:val="0"/>
          <w:smallCaps/>
          <w:sz w:val="28"/>
          <w:szCs w:val="28"/>
        </w:rPr>
        <w:t>The Kingdom of Rydal v. The Republic of Aspatria</w:t>
      </w:r>
    </w:p>
    <w:p w:rsidR="00EE20F3" w:rsidRDefault="00EE20F3" w:rsidP="00EE20F3">
      <w:pPr>
        <w:jc w:val="center"/>
        <w:rPr>
          <w:b/>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Default="00EE20F3" w:rsidP="00EE20F3">
      <w:pPr>
        <w:jc w:val="center"/>
        <w:rPr>
          <w:b/>
          <w:bCs/>
        </w:rPr>
      </w:pPr>
    </w:p>
    <w:p w:rsidR="00EE20F3" w:rsidRPr="00EE20F3" w:rsidRDefault="00EE20F3" w:rsidP="00EE20F3">
      <w:pPr>
        <w:jc w:val="center"/>
        <w:rPr>
          <w:b/>
        </w:rPr>
      </w:pPr>
      <w:r w:rsidRPr="00EE20F3">
        <w:rPr>
          <w:b/>
        </w:rPr>
        <w:t>MEMORIAL FOR RESPONDENT</w:t>
      </w:r>
    </w:p>
    <w:p w:rsidR="00207849" w:rsidRDefault="00EE20F3" w:rsidP="001536EB">
      <w:pPr>
        <w:rPr>
          <w:b/>
        </w:rPr>
      </w:pPr>
      <w:r>
        <w:br w:type="page"/>
      </w:r>
      <w:r>
        <w:lastRenderedPageBreak/>
        <w:t xml:space="preserve">               </w:t>
      </w:r>
      <w:r>
        <w:rPr>
          <w:b/>
        </w:rPr>
        <w:t>TABLE OF CONTENTS</w:t>
      </w:r>
    </w:p>
    <w:p w:rsidR="00EE20F3" w:rsidRDefault="00EE20F3" w:rsidP="001536EB">
      <w:pPr>
        <w:tabs>
          <w:tab w:val="right" w:pos="9015"/>
        </w:tabs>
        <w:spacing w:after="280"/>
      </w:pPr>
      <w:r>
        <w:t>Index of Authorities</w:t>
      </w:r>
      <w:r>
        <w:tab/>
        <w:t>…………………………………………………………………………</w:t>
      </w:r>
      <w:r w:rsidR="00CF2907">
        <w:t>iii</w:t>
      </w:r>
      <w:r>
        <w:t>..</w:t>
      </w:r>
    </w:p>
    <w:p w:rsidR="00EE20F3" w:rsidRDefault="00EE20F3" w:rsidP="001536EB">
      <w:pPr>
        <w:tabs>
          <w:tab w:val="right" w:pos="9015"/>
        </w:tabs>
        <w:spacing w:after="280"/>
      </w:pPr>
      <w:r>
        <w:t>Statement of Jurisdiction</w:t>
      </w:r>
      <w:r>
        <w:tab/>
        <w:t>……………………………………………………………………</w:t>
      </w:r>
      <w:r w:rsidR="00CF2907">
        <w:t>ix</w:t>
      </w:r>
      <w:r>
        <w:t>.</w:t>
      </w:r>
    </w:p>
    <w:p w:rsidR="00EE20F3" w:rsidRDefault="00EE20F3" w:rsidP="001536EB">
      <w:pPr>
        <w:tabs>
          <w:tab w:val="right" w:pos="9015"/>
        </w:tabs>
        <w:spacing w:after="280"/>
      </w:pPr>
      <w:r>
        <w:t>Questions Presented</w:t>
      </w:r>
      <w:r>
        <w:tab/>
        <w:t>…………………………………………………………...……………</w:t>
      </w:r>
      <w:r w:rsidR="00AD6BF8">
        <w:t>x</w:t>
      </w:r>
    </w:p>
    <w:p w:rsidR="00EE20F3" w:rsidRDefault="00EE20F3" w:rsidP="001536EB">
      <w:pPr>
        <w:tabs>
          <w:tab w:val="right" w:pos="9015"/>
        </w:tabs>
        <w:spacing w:after="280"/>
      </w:pPr>
      <w:r>
        <w:t>Statement of Facts</w:t>
      </w:r>
      <w:r>
        <w:tab/>
        <w:t>…………………………………………………………………………</w:t>
      </w:r>
      <w:r w:rsidR="00AD6BF8">
        <w:t>xii</w:t>
      </w:r>
      <w:r>
        <w:t>.</w:t>
      </w:r>
    </w:p>
    <w:p w:rsidR="00EE20F3" w:rsidRDefault="00EE20F3" w:rsidP="001536EB">
      <w:pPr>
        <w:tabs>
          <w:tab w:val="right" w:pos="9015"/>
        </w:tabs>
        <w:spacing w:after="280"/>
      </w:pPr>
      <w:r>
        <w:t>Summary of Pleadings</w:t>
      </w:r>
      <w:r>
        <w:tab/>
        <w:t>…………………………………………………………………</w:t>
      </w:r>
      <w:r w:rsidR="00AD6BF8">
        <w:t>xvi</w:t>
      </w:r>
      <w:r>
        <w:t>.</w:t>
      </w:r>
    </w:p>
    <w:p w:rsidR="00AD6BF8" w:rsidRDefault="00EE20F3" w:rsidP="00AD6BF8">
      <w:pPr>
        <w:tabs>
          <w:tab w:val="right" w:pos="9015"/>
        </w:tabs>
        <w:spacing w:after="280"/>
      </w:pPr>
      <w:r>
        <w:t>Pleadings</w:t>
      </w:r>
      <w:r>
        <w:tab/>
        <w:t>…………………………………………………………………………………</w:t>
      </w:r>
      <w:r w:rsidR="00AD6BF8">
        <w:t>1</w:t>
      </w:r>
    </w:p>
    <w:p w:rsidR="001536EB" w:rsidRDefault="001536EB" w:rsidP="00AD6BF8">
      <w:pPr>
        <w:tabs>
          <w:tab w:val="right" w:pos="9015"/>
        </w:tabs>
        <w:spacing w:after="280"/>
      </w:pPr>
      <w:r w:rsidRPr="000A00D8">
        <w:rPr>
          <w:b/>
        </w:rPr>
        <w:t>Sovereignty over the Islands belongs to Rydal</w:t>
      </w:r>
      <w:r w:rsidRPr="000A00D8">
        <w:t>........................................</w:t>
      </w:r>
      <w:r w:rsidR="000A00D8" w:rsidRPr="000A00D8">
        <w:t>.</w:t>
      </w:r>
      <w:r w:rsidRPr="000A00D8">
        <w:t>...1</w:t>
      </w:r>
    </w:p>
    <w:p w:rsidR="000A00D8" w:rsidRPr="000A00D8" w:rsidRDefault="000A00D8" w:rsidP="000A00D8">
      <w:pPr>
        <w:spacing w:line="480" w:lineRule="auto"/>
      </w:pPr>
      <w:r>
        <w:t>1.1.Sovereignty over the Islands Delong to Rydal on the right of effective possession</w:t>
      </w:r>
    </w:p>
    <w:p w:rsidR="001536EB" w:rsidRPr="000A00D8" w:rsidRDefault="001536EB" w:rsidP="000A00D8">
      <w:pPr>
        <w:spacing w:line="480" w:lineRule="auto"/>
      </w:pPr>
      <w:r w:rsidRPr="000A00D8">
        <w:t>1.1.1. The occupation of the Windscale islands where completed, when the Captain Geoffrey Parrish first discovered it at 1777...........................................................................</w:t>
      </w:r>
      <w:r w:rsidR="000A00D8" w:rsidRPr="000A00D8">
        <w:t>..</w:t>
      </w:r>
      <w:r w:rsidRPr="000A00D8">
        <w:t>..1</w:t>
      </w:r>
    </w:p>
    <w:p w:rsidR="001536EB" w:rsidRPr="000A00D8" w:rsidRDefault="001536EB" w:rsidP="000A00D8">
      <w:pPr>
        <w:spacing w:line="480" w:lineRule="auto"/>
        <w:rPr>
          <w:color w:val="000000" w:themeColor="text1"/>
        </w:rPr>
      </w:pPr>
      <w:r w:rsidRPr="000A00D8">
        <w:rPr>
          <w:color w:val="000000" w:themeColor="text1"/>
        </w:rPr>
        <w:t>1.1.2 The sovereignty over the Islands belongs the Kingdom of Rydal on the base of legal ties between the state and territory.........................................................................................</w:t>
      </w:r>
      <w:r w:rsidR="000A00D8" w:rsidRPr="000A00D8">
        <w:rPr>
          <w:color w:val="000000" w:themeColor="text1"/>
        </w:rPr>
        <w:t>.</w:t>
      </w:r>
      <w:r w:rsidRPr="000A00D8">
        <w:rPr>
          <w:color w:val="000000" w:themeColor="text1"/>
        </w:rPr>
        <w:t>.</w:t>
      </w:r>
      <w:r w:rsidR="000A00D8" w:rsidRPr="000A00D8">
        <w:rPr>
          <w:color w:val="000000" w:themeColor="text1"/>
        </w:rPr>
        <w:t>.</w:t>
      </w:r>
      <w:r w:rsidRPr="000A00D8">
        <w:rPr>
          <w:color w:val="000000" w:themeColor="text1"/>
        </w:rPr>
        <w:t>.2</w:t>
      </w:r>
    </w:p>
    <w:p w:rsidR="001536EB" w:rsidRPr="000A00D8" w:rsidRDefault="001536EB" w:rsidP="000A00D8">
      <w:pPr>
        <w:spacing w:line="480" w:lineRule="auto"/>
        <w:rPr>
          <w:color w:val="000000" w:themeColor="text1"/>
        </w:rPr>
      </w:pPr>
      <w:r w:rsidRPr="000A00D8">
        <w:rPr>
          <w:color w:val="000000" w:themeColor="text1"/>
        </w:rPr>
        <w:t>1.1.3 Rydal establishes sovereignty over the islands on the basis of a tangible demonstration of power on its territory.............................................................................................................</w:t>
      </w:r>
      <w:r w:rsidR="000A00D8" w:rsidRPr="000A00D8">
        <w:rPr>
          <w:color w:val="000000" w:themeColor="text1"/>
        </w:rPr>
        <w:t>.</w:t>
      </w:r>
      <w:r w:rsidRPr="000A00D8">
        <w:rPr>
          <w:color w:val="000000" w:themeColor="text1"/>
        </w:rPr>
        <w:t>3</w:t>
      </w:r>
    </w:p>
    <w:p w:rsidR="001536EB" w:rsidRPr="000A00D8" w:rsidRDefault="001536EB" w:rsidP="000A00D8">
      <w:pPr>
        <w:pStyle w:val="NumberedParagraphs"/>
        <w:numPr>
          <w:ilvl w:val="0"/>
          <w:numId w:val="0"/>
        </w:numPr>
        <w:snapToGrid w:val="0"/>
        <w:spacing w:after="0" w:line="480" w:lineRule="auto"/>
        <w:ind w:firstLine="708"/>
        <w:jc w:val="left"/>
        <w:rPr>
          <w:sz w:val="24"/>
          <w:szCs w:val="24"/>
          <w:lang w:val="en-US"/>
        </w:rPr>
      </w:pPr>
      <w:r w:rsidRPr="000A00D8">
        <w:rPr>
          <w:sz w:val="24"/>
          <w:szCs w:val="24"/>
          <w:lang w:val="en-US"/>
        </w:rPr>
        <w:t>2. Rydal’s rejection of the MDR bid did not violate the Aspatria – Rydal BIT. ……………………………………………………………………………</w:t>
      </w:r>
      <w:r w:rsidR="000A00D8" w:rsidRPr="000A00D8">
        <w:rPr>
          <w:sz w:val="24"/>
          <w:szCs w:val="24"/>
          <w:lang w:val="en-US"/>
        </w:rPr>
        <w:t>.</w:t>
      </w:r>
      <w:r w:rsidRPr="000A00D8">
        <w:rPr>
          <w:sz w:val="24"/>
          <w:szCs w:val="24"/>
          <w:lang w:val="en-US"/>
        </w:rPr>
        <w:t>.</w:t>
      </w:r>
      <w:r w:rsidR="000A00D8" w:rsidRPr="000A00D8">
        <w:rPr>
          <w:sz w:val="24"/>
          <w:szCs w:val="24"/>
          <w:lang w:val="en-US"/>
        </w:rPr>
        <w:t>10</w:t>
      </w:r>
    </w:p>
    <w:p w:rsidR="001536EB" w:rsidRPr="000A00D8" w:rsidRDefault="001536EB" w:rsidP="000A00D8">
      <w:pPr>
        <w:pStyle w:val="NumberedParagraphs"/>
        <w:numPr>
          <w:ilvl w:val="0"/>
          <w:numId w:val="0"/>
        </w:numPr>
        <w:snapToGrid w:val="0"/>
        <w:spacing w:after="0" w:line="480" w:lineRule="auto"/>
        <w:ind w:firstLine="708"/>
        <w:jc w:val="left"/>
        <w:rPr>
          <w:bCs/>
          <w:sz w:val="24"/>
          <w:szCs w:val="24"/>
          <w:lang w:eastAsia="uk-UA"/>
        </w:rPr>
      </w:pPr>
      <w:r w:rsidRPr="000A00D8">
        <w:rPr>
          <w:sz w:val="24"/>
          <w:szCs w:val="24"/>
          <w:lang w:val="en-US"/>
        </w:rPr>
        <w:t>2.1</w:t>
      </w:r>
      <w:r w:rsidRPr="000A00D8">
        <w:rPr>
          <w:bCs/>
          <w:i/>
          <w:sz w:val="24"/>
          <w:szCs w:val="24"/>
          <w:lang w:eastAsia="uk-UA"/>
        </w:rPr>
        <w:t xml:space="preserve"> </w:t>
      </w:r>
      <w:r w:rsidRPr="000A00D8">
        <w:rPr>
          <w:bCs/>
          <w:sz w:val="24"/>
          <w:szCs w:val="24"/>
          <w:lang w:eastAsia="uk-UA"/>
        </w:rPr>
        <w:t xml:space="preserve">The kingdom of Rydal possesses sovereignty over its territory and disposes its natural resources. </w:t>
      </w:r>
      <w:r w:rsidR="000A00D8" w:rsidRPr="000A00D8">
        <w:rPr>
          <w:bCs/>
          <w:sz w:val="24"/>
          <w:szCs w:val="24"/>
          <w:lang w:eastAsia="uk-UA"/>
        </w:rPr>
        <w:t>......................................................................................10</w:t>
      </w:r>
    </w:p>
    <w:p w:rsidR="001536EB" w:rsidRPr="000A00D8" w:rsidRDefault="001536EB" w:rsidP="000A00D8">
      <w:pPr>
        <w:spacing w:line="480" w:lineRule="auto"/>
        <w:rPr>
          <w:color w:val="000000" w:themeColor="text1"/>
        </w:rPr>
      </w:pPr>
    </w:p>
    <w:p w:rsidR="000A00D8" w:rsidRPr="000A00D8" w:rsidRDefault="000A00D8" w:rsidP="000A00D8">
      <w:pPr>
        <w:spacing w:line="480" w:lineRule="auto"/>
        <w:ind w:firstLine="709"/>
      </w:pPr>
      <w:r w:rsidRPr="000A00D8">
        <w:t>3.It would be illegal under international law for Aspatria to seize the assets of ALEC company and this actions can be recognized as a violation of the Aspatria-Rydal BIT...................................................................................12</w:t>
      </w:r>
    </w:p>
    <w:p w:rsidR="000A00D8" w:rsidRPr="000A00D8" w:rsidRDefault="000A00D8" w:rsidP="000A00D8">
      <w:pPr>
        <w:spacing w:line="480" w:lineRule="auto"/>
        <w:ind w:firstLine="709"/>
      </w:pPr>
      <w:r w:rsidRPr="000A00D8">
        <w:t>3.1 Actions of Aspatria to seize the assets of the ALEC company violate the principle of good faith and non-discrimination measures which is established by the Treaty Concerning the Encouragement and Reciprocal Protection of Investment ( Aspatria-Rydal Bit)the between Rydal and Aspatria..........................................................................................12</w:t>
      </w:r>
    </w:p>
    <w:p w:rsidR="000A00D8" w:rsidRPr="000A00D8" w:rsidRDefault="000A00D8" w:rsidP="000A00D8">
      <w:pPr>
        <w:keepNext/>
        <w:keepLines/>
        <w:spacing w:line="480" w:lineRule="auto"/>
        <w:ind w:firstLine="127"/>
      </w:pPr>
      <w:r w:rsidRPr="000A00D8">
        <w:lastRenderedPageBreak/>
        <w:t>3.2 .The Natural Resource Act (NRA) is the legislation which should be recognized “tantamount and expropriation” and the actions of Aspatria  must be considered as expropriation................................................................................................................................14</w:t>
      </w:r>
    </w:p>
    <w:p w:rsidR="000A00D8" w:rsidRPr="000A00D8" w:rsidRDefault="000A00D8" w:rsidP="000A00D8">
      <w:pPr>
        <w:spacing w:line="480" w:lineRule="auto"/>
      </w:pPr>
      <w:r w:rsidRPr="000A00D8">
        <w:t>3.3Aspatria breaches the international obligations. ..............................................................20</w:t>
      </w:r>
    </w:p>
    <w:p w:rsidR="000A00D8" w:rsidRPr="000A00D8" w:rsidRDefault="000A00D8" w:rsidP="000A00D8">
      <w:pPr>
        <w:spacing w:line="480" w:lineRule="auto"/>
      </w:pPr>
      <w:r w:rsidRPr="000A00D8">
        <w:t>3.4 International Law regulation has greater power than domestic legislation.....................22</w:t>
      </w:r>
    </w:p>
    <w:p w:rsidR="000A00D8" w:rsidRDefault="000A00D8" w:rsidP="000A00D8">
      <w:pPr>
        <w:spacing w:line="480" w:lineRule="auto"/>
      </w:pPr>
      <w:r>
        <w:t>Prayer for Relief</w:t>
      </w: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Default="000A00D8" w:rsidP="000A00D8">
      <w:pPr>
        <w:spacing w:line="480" w:lineRule="auto"/>
      </w:pPr>
    </w:p>
    <w:p w:rsidR="000A00D8" w:rsidRPr="008B3165" w:rsidRDefault="000A00D8" w:rsidP="000A00D8">
      <w:pPr>
        <w:pStyle w:val="a8"/>
        <w:spacing w:after="120" w:line="240" w:lineRule="auto"/>
        <w:jc w:val="center"/>
        <w:rPr>
          <w:lang w:val="en-US"/>
        </w:rPr>
      </w:pPr>
      <w:r w:rsidRPr="008B3165">
        <w:rPr>
          <w:lang w:val="en-US"/>
        </w:rPr>
        <w:lastRenderedPageBreak/>
        <w:t>INDEX OF AUTHORITIES</w:t>
      </w:r>
    </w:p>
    <w:p w:rsidR="000A00D8" w:rsidRPr="008B3165" w:rsidRDefault="000A00D8" w:rsidP="000A00D8">
      <w:pPr>
        <w:spacing w:line="360" w:lineRule="auto"/>
        <w:rPr>
          <w:b/>
          <w:sz w:val="28"/>
          <w:szCs w:val="28"/>
          <w:lang w:val="en-US"/>
        </w:rPr>
      </w:pPr>
    </w:p>
    <w:p w:rsidR="000A00D8" w:rsidRPr="008B3165" w:rsidRDefault="000A00D8" w:rsidP="000A00D8">
      <w:pPr>
        <w:spacing w:line="360" w:lineRule="auto"/>
        <w:rPr>
          <w:b/>
          <w:lang w:val="en-US"/>
        </w:rPr>
      </w:pPr>
      <w:r w:rsidRPr="008B3165">
        <w:rPr>
          <w:b/>
          <w:lang w:val="en-US"/>
        </w:rPr>
        <w:t>1. TRIETIES AND OTHER INTERNATIONAL DOCUMENTS.</w:t>
      </w:r>
    </w:p>
    <w:p w:rsidR="000A00D8" w:rsidRPr="008B3165" w:rsidRDefault="000A00D8" w:rsidP="000A00D8">
      <w:pPr>
        <w:pStyle w:val="a5"/>
        <w:numPr>
          <w:ilvl w:val="0"/>
          <w:numId w:val="4"/>
        </w:numPr>
        <w:spacing w:line="360" w:lineRule="auto"/>
        <w:ind w:left="0" w:firstLine="0"/>
        <w:rPr>
          <w:b/>
          <w:lang w:val="en-US"/>
        </w:rPr>
      </w:pPr>
      <w:r w:rsidRPr="008B3165">
        <w:rPr>
          <w:rFonts w:eastAsia="Calibri"/>
          <w:lang w:val="en-US"/>
        </w:rPr>
        <w:t xml:space="preserve"> The Charter of the United Nations, June 26, 1945, Doc. of UN Conference on International Organizations, vol. 15, San-Francisco, 1945.</w:t>
      </w:r>
    </w:p>
    <w:p w:rsidR="000A00D8" w:rsidRPr="008B3165" w:rsidRDefault="000A00D8" w:rsidP="000A00D8">
      <w:pPr>
        <w:pStyle w:val="a5"/>
        <w:numPr>
          <w:ilvl w:val="0"/>
          <w:numId w:val="4"/>
        </w:numPr>
        <w:spacing w:line="360" w:lineRule="auto"/>
        <w:ind w:left="0" w:firstLine="0"/>
        <w:rPr>
          <w:b/>
          <w:lang w:val="en-US"/>
        </w:rPr>
      </w:pPr>
      <w:r w:rsidRPr="008B3165">
        <w:rPr>
          <w:rFonts w:eastAsia="Calibri"/>
          <w:lang w:val="en-US"/>
        </w:rPr>
        <w:t>Universal Declaration of Human Rights, GA res. 217A (III), UN Doc A/810 at 71 (1948).</w:t>
      </w:r>
    </w:p>
    <w:p w:rsidR="000A00D8" w:rsidRPr="008B3165" w:rsidRDefault="000A00D8" w:rsidP="000A00D8">
      <w:pPr>
        <w:pStyle w:val="a5"/>
        <w:numPr>
          <w:ilvl w:val="0"/>
          <w:numId w:val="4"/>
        </w:numPr>
        <w:spacing w:line="360" w:lineRule="auto"/>
        <w:ind w:left="0" w:firstLine="0"/>
        <w:rPr>
          <w:b/>
          <w:lang w:val="en-US"/>
        </w:rPr>
      </w:pPr>
      <w:r w:rsidRPr="008B3165">
        <w:rPr>
          <w:rFonts w:eastAsia="Calibri"/>
          <w:lang w:val="en-US"/>
        </w:rPr>
        <w:t>International Covenant on Civil and Political Rights, adopted by UN General Assembly resolution 2200A (XXI) of December 16 1966.</w:t>
      </w:r>
    </w:p>
    <w:p w:rsidR="000A00D8" w:rsidRPr="008B3165" w:rsidRDefault="000A00D8" w:rsidP="000A00D8">
      <w:pPr>
        <w:pStyle w:val="a5"/>
        <w:numPr>
          <w:ilvl w:val="0"/>
          <w:numId w:val="4"/>
        </w:numPr>
        <w:spacing w:line="360" w:lineRule="auto"/>
        <w:ind w:left="0" w:firstLine="0"/>
        <w:rPr>
          <w:b/>
          <w:lang w:val="en-US"/>
        </w:rPr>
      </w:pPr>
      <w:r w:rsidRPr="008B3165">
        <w:rPr>
          <w:rFonts w:eastAsia="Calibri"/>
          <w:lang w:val="en-US"/>
        </w:rPr>
        <w:t>International Covenant on Economic, Social and Cultural Rights, 16 December 1966, entered into force 3 January 1976 in accordance with article 27, GA Res. 2200 (XXI) of 16 December 1966.</w:t>
      </w:r>
    </w:p>
    <w:p w:rsidR="000A00D8" w:rsidRPr="008B3165" w:rsidRDefault="000A00D8" w:rsidP="000A00D8">
      <w:pPr>
        <w:pStyle w:val="a5"/>
        <w:numPr>
          <w:ilvl w:val="0"/>
          <w:numId w:val="4"/>
        </w:numPr>
        <w:spacing w:line="360" w:lineRule="auto"/>
        <w:ind w:left="0" w:firstLine="0"/>
        <w:rPr>
          <w:b/>
          <w:lang w:val="en-US"/>
        </w:rPr>
      </w:pPr>
      <w:r w:rsidRPr="008B3165">
        <w:rPr>
          <w:rFonts w:eastAsia="Calibri"/>
          <w:lang w:val="en-US"/>
        </w:rPr>
        <w:t>Vienna Convention on the Law of Treaties of 23 May 1969, 1155 UNTS  p. 331</w:t>
      </w:r>
    </w:p>
    <w:p w:rsidR="000A00D8" w:rsidRPr="008B3165" w:rsidRDefault="000A00D8" w:rsidP="000A00D8">
      <w:pPr>
        <w:pStyle w:val="a5"/>
        <w:numPr>
          <w:ilvl w:val="0"/>
          <w:numId w:val="4"/>
        </w:numPr>
        <w:spacing w:line="360" w:lineRule="auto"/>
        <w:ind w:left="0" w:firstLine="0"/>
        <w:rPr>
          <w:b/>
          <w:lang w:val="en-US"/>
        </w:rPr>
      </w:pPr>
      <w:r w:rsidRPr="008B3165">
        <w:rPr>
          <w:lang w:val="en-US"/>
        </w:rPr>
        <w:t xml:space="preserve">United Nations Convention on the Law of the Sea, including Part XI, </w:t>
      </w:r>
      <w:r w:rsidRPr="008B3165">
        <w:rPr>
          <w:color w:val="000000"/>
          <w:lang w:val="en-US"/>
        </w:rPr>
        <w:t>Dec. 10, 1982,</w:t>
      </w:r>
      <w:r w:rsidRPr="008B3165">
        <w:rPr>
          <w:lang w:val="en-US"/>
        </w:rPr>
        <w:t xml:space="preserve"> 21 ILM 1245.</w:t>
      </w:r>
    </w:p>
    <w:p w:rsidR="000A00D8" w:rsidRPr="008B3165" w:rsidRDefault="000A00D8" w:rsidP="000A00D8">
      <w:pPr>
        <w:pStyle w:val="a5"/>
        <w:numPr>
          <w:ilvl w:val="0"/>
          <w:numId w:val="4"/>
        </w:numPr>
        <w:spacing w:line="360" w:lineRule="auto"/>
        <w:ind w:left="0" w:firstLine="0"/>
        <w:rPr>
          <w:lang w:val="en-US"/>
        </w:rPr>
      </w:pPr>
      <w:r w:rsidRPr="008B3165">
        <w:rPr>
          <w:rFonts w:eastAsia="Calibri"/>
          <w:lang w:val="en-US"/>
        </w:rPr>
        <w:t xml:space="preserve"> Draft Articles on Responsibility of States for Internationally Wrongful Acts, UNGA Res. 56/83, 56</w:t>
      </w:r>
      <w:r w:rsidRPr="008B3165">
        <w:rPr>
          <w:rFonts w:eastAsia="Calibri"/>
          <w:vertAlign w:val="superscript"/>
          <w:lang w:val="en-US"/>
        </w:rPr>
        <w:t>th</w:t>
      </w:r>
      <w:r w:rsidRPr="008B3165">
        <w:rPr>
          <w:rFonts w:eastAsia="Calibri"/>
          <w:lang w:val="en-US"/>
        </w:rPr>
        <w:t xml:space="preserve"> Sess., 12 Dec. 2001.</w:t>
      </w:r>
    </w:p>
    <w:p w:rsidR="000A00D8" w:rsidRPr="008B3165" w:rsidRDefault="000A00D8" w:rsidP="000A00D8">
      <w:pPr>
        <w:pStyle w:val="a5"/>
        <w:numPr>
          <w:ilvl w:val="0"/>
          <w:numId w:val="4"/>
        </w:numPr>
        <w:spacing w:line="360" w:lineRule="auto"/>
        <w:ind w:left="0" w:firstLine="0"/>
        <w:rPr>
          <w:lang w:val="en-US"/>
        </w:rPr>
      </w:pPr>
      <w:r w:rsidRPr="008B3165">
        <w:rPr>
          <w:rFonts w:eastAsia="Calibri"/>
          <w:lang w:val="en-US"/>
        </w:rPr>
        <w:t>ILC Commentaries to the ILC Draft Articles on Responsibility of States for Internationally Wrongful Acts, Report of the ILC on the work of its 53</w:t>
      </w:r>
      <w:r w:rsidRPr="008B3165">
        <w:rPr>
          <w:rFonts w:eastAsia="Calibri"/>
          <w:vertAlign w:val="superscript"/>
          <w:lang w:val="en-US"/>
        </w:rPr>
        <w:t>rd</w:t>
      </w:r>
      <w:r w:rsidRPr="008B3165">
        <w:rPr>
          <w:rFonts w:eastAsia="Calibri"/>
          <w:lang w:val="en-US"/>
        </w:rPr>
        <w:t xml:space="preserve"> Session, UNGA, 56</w:t>
      </w:r>
      <w:r w:rsidRPr="008B3165">
        <w:rPr>
          <w:rFonts w:eastAsia="Calibri"/>
          <w:vertAlign w:val="superscript"/>
          <w:lang w:val="en-US"/>
        </w:rPr>
        <w:t>th</w:t>
      </w:r>
      <w:r w:rsidRPr="008B3165">
        <w:rPr>
          <w:rFonts w:eastAsia="Calibri"/>
          <w:lang w:val="en-US"/>
        </w:rPr>
        <w:t xml:space="preserve"> Session, Suppl. No. 10</w:t>
      </w:r>
      <w:r w:rsidRPr="008B3165">
        <w:rPr>
          <w:rFonts w:eastAsia="Calibri"/>
          <w:iCs/>
          <w:lang w:val="en-US"/>
        </w:rPr>
        <w:t xml:space="preserve"> </w:t>
      </w:r>
      <w:r w:rsidRPr="008B3165">
        <w:rPr>
          <w:rFonts w:eastAsia="Calibri"/>
          <w:lang w:val="en-US"/>
        </w:rPr>
        <w:t>(A/56/10), chp. IV.E.2, 2001.</w:t>
      </w:r>
    </w:p>
    <w:p w:rsidR="000A00D8" w:rsidRPr="008B3165" w:rsidRDefault="000A00D8" w:rsidP="000A00D8">
      <w:pPr>
        <w:spacing w:line="480" w:lineRule="auto"/>
        <w:rPr>
          <w:b/>
          <w:lang w:val="en-US"/>
        </w:rPr>
      </w:pPr>
    </w:p>
    <w:p w:rsidR="000A00D8" w:rsidRDefault="000A00D8" w:rsidP="000A00D8">
      <w:pPr>
        <w:spacing w:before="100" w:after="100" w:line="480" w:lineRule="auto"/>
        <w:ind w:firstLine="348"/>
        <w:rPr>
          <w:rFonts w:eastAsia="Calibri"/>
          <w:b/>
          <w:bCs/>
          <w:lang w:val="en-US"/>
        </w:rPr>
      </w:pPr>
      <w:r w:rsidRPr="008B3165">
        <w:rPr>
          <w:rFonts w:eastAsia="Calibri"/>
          <w:b/>
          <w:bCs/>
          <w:lang w:val="en-US"/>
        </w:rPr>
        <w:t>2. Documents of the United Nations and Other International Bodies</w:t>
      </w:r>
    </w:p>
    <w:p w:rsidR="000A00D8" w:rsidRPr="0068033C" w:rsidRDefault="000A00D8" w:rsidP="000A00D8">
      <w:pPr>
        <w:pStyle w:val="a6"/>
        <w:spacing w:after="240"/>
        <w:rPr>
          <w:rFonts w:eastAsia="Calibri"/>
          <w:b/>
          <w:bCs/>
          <w:sz w:val="24"/>
          <w:szCs w:val="24"/>
        </w:rPr>
      </w:pPr>
      <w:r>
        <w:rPr>
          <w:sz w:val="24"/>
          <w:szCs w:val="24"/>
        </w:rPr>
        <w:t xml:space="preserve">1. </w:t>
      </w:r>
      <w:r w:rsidRPr="0068033C">
        <w:rPr>
          <w:sz w:val="24"/>
          <w:szCs w:val="24"/>
        </w:rPr>
        <w:t>United Nations General Assembly Resolution 1514 (XV), Declaration on the granting of independence to colonial countries and people (4 December 1960)</w:t>
      </w:r>
    </w:p>
    <w:p w:rsidR="000A00D8" w:rsidRPr="008B3165" w:rsidRDefault="000A00D8" w:rsidP="000A00D8">
      <w:pPr>
        <w:pStyle w:val="a6"/>
        <w:spacing w:after="240"/>
        <w:rPr>
          <w:sz w:val="24"/>
          <w:szCs w:val="24"/>
        </w:rPr>
      </w:pPr>
      <w:r>
        <w:rPr>
          <w:sz w:val="24"/>
          <w:szCs w:val="24"/>
        </w:rPr>
        <w:t xml:space="preserve">2. </w:t>
      </w:r>
      <w:r w:rsidRPr="008B3165">
        <w:rPr>
          <w:sz w:val="24"/>
          <w:szCs w:val="24"/>
        </w:rPr>
        <w:t>United Nations General Assembly resolution 1515(XV), Concerted  action for economic development of less developed countries (15 December 1960)</w:t>
      </w:r>
    </w:p>
    <w:p w:rsidR="000A00D8" w:rsidRDefault="000A00D8" w:rsidP="000A00D8">
      <w:pPr>
        <w:pStyle w:val="a6"/>
        <w:spacing w:after="240"/>
        <w:rPr>
          <w:sz w:val="24"/>
          <w:szCs w:val="24"/>
        </w:rPr>
      </w:pPr>
      <w:r>
        <w:rPr>
          <w:sz w:val="24"/>
          <w:szCs w:val="24"/>
        </w:rPr>
        <w:t xml:space="preserve">3. </w:t>
      </w:r>
      <w:r w:rsidRPr="008B3165">
        <w:rPr>
          <w:sz w:val="24"/>
          <w:szCs w:val="24"/>
        </w:rPr>
        <w:t xml:space="preserve">United Nations General Assembly Resolution 1803 (XVII), Permanent sovereignty over natural resources (14 December 1962) </w:t>
      </w:r>
    </w:p>
    <w:p w:rsidR="00CF2907" w:rsidRDefault="00CF2907" w:rsidP="00CF2907">
      <w:pPr>
        <w:rPr>
          <w:rFonts w:ascii="Arial" w:hAnsi="Arial" w:cs="Arial"/>
          <w:sz w:val="20"/>
          <w:szCs w:val="20"/>
          <w:lang w:val="en-US"/>
        </w:rPr>
      </w:pPr>
      <w:r>
        <w:t xml:space="preserve">4. </w:t>
      </w:r>
      <w:r>
        <w:rPr>
          <w:rFonts w:cs="Tahoma"/>
          <w:color w:val="000000" w:themeColor="text1"/>
          <w:szCs w:val="18"/>
          <w:lang w:val="en-US"/>
        </w:rPr>
        <w:t>T</w:t>
      </w:r>
      <w:r w:rsidRPr="00794382">
        <w:rPr>
          <w:rFonts w:cs="Tahoma"/>
          <w:color w:val="000000" w:themeColor="text1"/>
          <w:sz w:val="22"/>
          <w:szCs w:val="18"/>
          <w:lang w:val="en-US"/>
        </w:rPr>
        <w:t>he United Nations General Assembly</w:t>
      </w:r>
      <w:r>
        <w:rPr>
          <w:rFonts w:cs="Tahoma"/>
          <w:color w:val="000000" w:themeColor="text1"/>
          <w:szCs w:val="18"/>
          <w:lang w:val="en-US"/>
        </w:rPr>
        <w:t xml:space="preserve">  </w:t>
      </w:r>
      <w:r w:rsidRPr="00794382">
        <w:rPr>
          <w:rFonts w:cs="Tahoma"/>
          <w:color w:val="000000" w:themeColor="text1"/>
          <w:sz w:val="22"/>
          <w:szCs w:val="18"/>
          <w:lang w:val="en-US"/>
        </w:rPr>
        <w:t xml:space="preserve">resolution 3292 (XXIX) </w:t>
      </w:r>
      <w:r>
        <w:rPr>
          <w:rFonts w:cs="Tahoma"/>
          <w:color w:val="000000" w:themeColor="text1"/>
          <w:sz w:val="22"/>
          <w:szCs w:val="18"/>
          <w:lang w:val="en-US"/>
        </w:rPr>
        <w:t xml:space="preserve">Question of Spanish Sahara, </w:t>
      </w:r>
    </w:p>
    <w:p w:rsidR="00CF2907" w:rsidRPr="00CF2907" w:rsidRDefault="00CF2907" w:rsidP="00CF2907">
      <w:pPr>
        <w:rPr>
          <w:lang w:val="en-US"/>
        </w:rPr>
      </w:pPr>
      <w:r w:rsidRPr="00CF2907">
        <w:t>13 December 1974</w:t>
      </w:r>
      <w:r>
        <w:t>.</w:t>
      </w:r>
    </w:p>
    <w:p w:rsidR="000A00D8" w:rsidRDefault="00CF2907" w:rsidP="000A00D8">
      <w:pPr>
        <w:autoSpaceDE w:val="0"/>
        <w:autoSpaceDN w:val="0"/>
        <w:adjustRightInd w:val="0"/>
        <w:rPr>
          <w:rFonts w:eastAsia="Calibri"/>
          <w:bCs/>
          <w:i/>
          <w:iCs/>
          <w:lang w:val="en-US"/>
        </w:rPr>
      </w:pPr>
      <w:r>
        <w:rPr>
          <w:sz w:val="23"/>
          <w:szCs w:val="23"/>
          <w:lang w:val="en-US"/>
        </w:rPr>
        <w:t>5</w:t>
      </w:r>
      <w:r w:rsidR="000A00D8">
        <w:rPr>
          <w:sz w:val="23"/>
          <w:szCs w:val="23"/>
          <w:lang w:val="en-US"/>
        </w:rPr>
        <w:t xml:space="preserve">. Legal consequences for states of the continued presence of South Africa in Namibia (Soth West Africa) notwithstanding Security Council  Resolution </w:t>
      </w:r>
      <w:r w:rsidR="000A00D8" w:rsidRPr="008B3165">
        <w:rPr>
          <w:sz w:val="23"/>
          <w:szCs w:val="23"/>
          <w:lang w:val="en-US"/>
        </w:rPr>
        <w:t xml:space="preserve">276 (1970) </w:t>
      </w:r>
      <w:r w:rsidR="000A00D8" w:rsidRPr="008B3165">
        <w:rPr>
          <w:rFonts w:eastAsia="Calibri"/>
          <w:bCs/>
          <w:i/>
          <w:iCs/>
          <w:lang w:val="en-US"/>
        </w:rPr>
        <w:t>I.C.J. Reports 1971</w:t>
      </w:r>
      <w:r w:rsidR="000A00D8">
        <w:rPr>
          <w:rFonts w:eastAsia="Calibri"/>
          <w:bCs/>
          <w:i/>
          <w:iCs/>
          <w:lang w:val="en-US"/>
        </w:rPr>
        <w:t>.</w:t>
      </w:r>
    </w:p>
    <w:p w:rsidR="000A00D8" w:rsidRPr="008B3165" w:rsidRDefault="000A00D8" w:rsidP="000A00D8">
      <w:pPr>
        <w:autoSpaceDE w:val="0"/>
        <w:autoSpaceDN w:val="0"/>
        <w:adjustRightInd w:val="0"/>
        <w:rPr>
          <w:rFonts w:eastAsia="Calibri"/>
          <w:bCs/>
          <w:i/>
          <w:iCs/>
          <w:lang w:val="en-US"/>
        </w:rPr>
      </w:pPr>
    </w:p>
    <w:p w:rsidR="000A00D8" w:rsidRPr="008B3165" w:rsidRDefault="00CF2907" w:rsidP="000A00D8">
      <w:pPr>
        <w:spacing w:before="100" w:after="100" w:line="480" w:lineRule="auto"/>
        <w:rPr>
          <w:lang w:val="en-US"/>
        </w:rPr>
      </w:pPr>
      <w:r>
        <w:rPr>
          <w:rFonts w:eastAsia="Calibri"/>
          <w:lang w:val="en-US"/>
        </w:rPr>
        <w:t>6</w:t>
      </w:r>
      <w:r w:rsidR="000A00D8">
        <w:rPr>
          <w:rFonts w:eastAsia="Calibri"/>
          <w:lang w:val="en-US"/>
        </w:rPr>
        <w:t xml:space="preserve">. </w:t>
      </w:r>
      <w:r w:rsidR="000A00D8" w:rsidRPr="008B3165">
        <w:rPr>
          <w:rFonts w:eastAsia="Calibri"/>
          <w:lang w:val="en-US"/>
        </w:rPr>
        <w:t>Declaration on Principles of International Law (1970);</w:t>
      </w:r>
    </w:p>
    <w:p w:rsidR="000A00D8" w:rsidRPr="008B3165" w:rsidRDefault="00CF2907" w:rsidP="000A00D8">
      <w:pPr>
        <w:autoSpaceDE w:val="0"/>
        <w:autoSpaceDN w:val="0"/>
        <w:adjustRightInd w:val="0"/>
        <w:spacing w:after="240"/>
        <w:rPr>
          <w:lang w:val="en-US"/>
        </w:rPr>
      </w:pPr>
      <w:r>
        <w:rPr>
          <w:rFonts w:eastAsia="Calibri"/>
          <w:lang w:val="en-US"/>
        </w:rPr>
        <w:t>7</w:t>
      </w:r>
      <w:r w:rsidR="000A00D8">
        <w:rPr>
          <w:rFonts w:eastAsia="Calibri"/>
          <w:lang w:val="en-US"/>
        </w:rPr>
        <w:t xml:space="preserve">. </w:t>
      </w:r>
      <w:r w:rsidR="000A00D8" w:rsidRPr="008B3165">
        <w:rPr>
          <w:rFonts w:eastAsia="Calibri"/>
          <w:lang w:val="en-US"/>
        </w:rPr>
        <w:t>Charter of Fundamental Rights and Freedoms of the European Union, Art. 17</w:t>
      </w:r>
    </w:p>
    <w:p w:rsidR="000A00D8" w:rsidRPr="008B3165" w:rsidRDefault="00CF2907" w:rsidP="000A00D8">
      <w:pPr>
        <w:autoSpaceDE w:val="0"/>
        <w:autoSpaceDN w:val="0"/>
        <w:adjustRightInd w:val="0"/>
        <w:spacing w:after="240"/>
        <w:rPr>
          <w:lang w:val="en-US"/>
        </w:rPr>
      </w:pPr>
      <w:r>
        <w:rPr>
          <w:rFonts w:eastAsia="Calibri"/>
          <w:lang w:val="en-US"/>
        </w:rPr>
        <w:lastRenderedPageBreak/>
        <w:t>8</w:t>
      </w:r>
      <w:r w:rsidR="000A00D8">
        <w:rPr>
          <w:rFonts w:eastAsia="Calibri"/>
          <w:lang w:val="en-US"/>
        </w:rPr>
        <w:t xml:space="preserve">. </w:t>
      </w:r>
      <w:r w:rsidR="000A00D8" w:rsidRPr="008B3165">
        <w:rPr>
          <w:rFonts w:eastAsia="Calibri"/>
          <w:lang w:val="en-US"/>
        </w:rPr>
        <w:t xml:space="preserve">Universal Declaration of Human Rights, Adopted and proclaimed by the General Assembly resolution 217 A (III) of 10 Dec. 1948, </w:t>
      </w:r>
    </w:p>
    <w:p w:rsidR="000A00D8" w:rsidRPr="008B3165" w:rsidRDefault="00CF2907" w:rsidP="000A00D8">
      <w:pPr>
        <w:autoSpaceDE w:val="0"/>
        <w:autoSpaceDN w:val="0"/>
        <w:adjustRightInd w:val="0"/>
        <w:spacing w:after="240"/>
        <w:rPr>
          <w:lang w:val="en-US"/>
        </w:rPr>
      </w:pPr>
      <w:r>
        <w:rPr>
          <w:rFonts w:eastAsia="Calibri"/>
          <w:lang w:val="en-US"/>
        </w:rPr>
        <w:t>9</w:t>
      </w:r>
      <w:r w:rsidR="000A00D8">
        <w:rPr>
          <w:rFonts w:eastAsia="Calibri"/>
          <w:lang w:val="en-US"/>
        </w:rPr>
        <w:t xml:space="preserve">. </w:t>
      </w:r>
      <w:r w:rsidR="000A00D8" w:rsidRPr="008B3165">
        <w:rPr>
          <w:rFonts w:eastAsia="Calibri"/>
          <w:lang w:val="en-US"/>
        </w:rPr>
        <w:t xml:space="preserve"> American Convention on the Human Rights “Pact of San Jose, Costa Rica”, 1978, </w:t>
      </w:r>
    </w:p>
    <w:p w:rsidR="000A00D8" w:rsidRPr="008B3165" w:rsidRDefault="00CF2907" w:rsidP="000A00D8">
      <w:pPr>
        <w:autoSpaceDE w:val="0"/>
        <w:autoSpaceDN w:val="0"/>
        <w:adjustRightInd w:val="0"/>
        <w:spacing w:after="240"/>
        <w:rPr>
          <w:lang w:val="en-US"/>
        </w:rPr>
      </w:pPr>
      <w:r>
        <w:rPr>
          <w:rFonts w:eastAsia="Calibri"/>
          <w:lang w:val="en-US"/>
        </w:rPr>
        <w:t>10</w:t>
      </w:r>
      <w:r w:rsidR="000A00D8">
        <w:rPr>
          <w:rFonts w:eastAsia="Calibri"/>
          <w:lang w:val="en-US"/>
        </w:rPr>
        <w:t xml:space="preserve">. </w:t>
      </w:r>
      <w:r w:rsidR="000A00D8" w:rsidRPr="008B3165">
        <w:rPr>
          <w:rFonts w:eastAsia="Calibri"/>
          <w:lang w:val="en-US"/>
        </w:rPr>
        <w:t>American Declaration of the Rights and Duties of Man, 1948,</w:t>
      </w:r>
    </w:p>
    <w:p w:rsidR="000A00D8" w:rsidRPr="008B3165" w:rsidRDefault="000A00D8" w:rsidP="000A00D8">
      <w:pPr>
        <w:autoSpaceDE w:val="0"/>
        <w:autoSpaceDN w:val="0"/>
        <w:adjustRightInd w:val="0"/>
        <w:spacing w:after="240"/>
        <w:rPr>
          <w:lang w:val="en-US"/>
        </w:rPr>
      </w:pPr>
      <w:r>
        <w:rPr>
          <w:rFonts w:eastAsia="Calibri"/>
          <w:lang w:val="en-US"/>
        </w:rPr>
        <w:t>1</w:t>
      </w:r>
      <w:r w:rsidR="00CF2907">
        <w:rPr>
          <w:rFonts w:eastAsia="Calibri"/>
          <w:lang w:val="en-US"/>
        </w:rPr>
        <w:t>1</w:t>
      </w:r>
      <w:r>
        <w:rPr>
          <w:rFonts w:eastAsia="Calibri"/>
          <w:lang w:val="en-US"/>
        </w:rPr>
        <w:t xml:space="preserve">. </w:t>
      </w:r>
      <w:r w:rsidRPr="008B3165">
        <w:rPr>
          <w:rFonts w:eastAsia="Calibri"/>
          <w:lang w:val="en-US"/>
        </w:rPr>
        <w:t xml:space="preserve">African Charter on Human and People’s Rights, 1986, Art.14, 21; </w:t>
      </w:r>
    </w:p>
    <w:p w:rsidR="000A00D8" w:rsidRPr="008B3165" w:rsidRDefault="000A00D8" w:rsidP="000A00D8">
      <w:pPr>
        <w:autoSpaceDE w:val="0"/>
        <w:autoSpaceDN w:val="0"/>
        <w:adjustRightInd w:val="0"/>
        <w:spacing w:after="240"/>
        <w:rPr>
          <w:lang w:val="en-US" w:eastAsia="uk-UA"/>
        </w:rPr>
      </w:pPr>
      <w:r>
        <w:rPr>
          <w:lang w:val="en-US"/>
        </w:rPr>
        <w:t>1</w:t>
      </w:r>
      <w:r w:rsidR="00CF2907">
        <w:rPr>
          <w:lang w:val="en-US"/>
        </w:rPr>
        <w:t>2</w:t>
      </w:r>
      <w:r>
        <w:rPr>
          <w:lang w:val="en-US"/>
        </w:rPr>
        <w:t xml:space="preserve">. </w:t>
      </w:r>
      <w:r w:rsidRPr="008B3165">
        <w:rPr>
          <w:lang w:val="en-US"/>
        </w:rPr>
        <w:t>P</w:t>
      </w:r>
      <w:r w:rsidRPr="008B3165">
        <w:rPr>
          <w:lang w:val="en-US" w:eastAsia="uk-UA"/>
        </w:rPr>
        <w:t xml:space="preserve">rotocol No. 1 to the European </w:t>
      </w:r>
      <w:r w:rsidRPr="008B3165">
        <w:rPr>
          <w:rFonts w:eastAsia="Calibri"/>
          <w:lang w:val="en-US" w:eastAsia="uk-UA"/>
        </w:rPr>
        <w:t>Convention on Human Rights, Art. 1.</w:t>
      </w:r>
    </w:p>
    <w:p w:rsidR="000A00D8" w:rsidRPr="008B3165" w:rsidRDefault="000A00D8" w:rsidP="000A00D8">
      <w:pPr>
        <w:pStyle w:val="a6"/>
        <w:spacing w:after="240"/>
        <w:rPr>
          <w:sz w:val="24"/>
          <w:szCs w:val="24"/>
        </w:rPr>
      </w:pPr>
      <w:r>
        <w:rPr>
          <w:sz w:val="24"/>
          <w:szCs w:val="24"/>
        </w:rPr>
        <w:t>1</w:t>
      </w:r>
      <w:r w:rsidR="00CF2907">
        <w:rPr>
          <w:sz w:val="24"/>
          <w:szCs w:val="24"/>
        </w:rPr>
        <w:t>3</w:t>
      </w:r>
      <w:r>
        <w:rPr>
          <w:sz w:val="24"/>
          <w:szCs w:val="24"/>
        </w:rPr>
        <w:t xml:space="preserve">. </w:t>
      </w:r>
      <w:r w:rsidRPr="008B3165">
        <w:rPr>
          <w:sz w:val="24"/>
          <w:szCs w:val="24"/>
        </w:rPr>
        <w:t>The Energy Charter Treaty, Lissabon, 1994. Article13.</w:t>
      </w:r>
    </w:p>
    <w:p w:rsidR="000A00D8" w:rsidRPr="008B3165" w:rsidRDefault="000A00D8" w:rsidP="000A00D8">
      <w:pPr>
        <w:autoSpaceDE w:val="0"/>
        <w:autoSpaceDN w:val="0"/>
        <w:adjustRightInd w:val="0"/>
        <w:spacing w:after="240"/>
        <w:rPr>
          <w:lang w:val="en-US" w:eastAsia="uk-UA"/>
        </w:rPr>
      </w:pPr>
      <w:r>
        <w:rPr>
          <w:rFonts w:eastAsia="Calibri"/>
          <w:lang w:val="en-US" w:eastAsia="uk-UA"/>
        </w:rPr>
        <w:t>1</w:t>
      </w:r>
      <w:r w:rsidR="00CF2907">
        <w:rPr>
          <w:rFonts w:eastAsia="Calibri"/>
          <w:lang w:val="en-US" w:eastAsia="uk-UA"/>
        </w:rPr>
        <w:t>4</w:t>
      </w:r>
      <w:r>
        <w:rPr>
          <w:rFonts w:eastAsia="Calibri"/>
          <w:lang w:val="en-US" w:eastAsia="uk-UA"/>
        </w:rPr>
        <w:t xml:space="preserve">. </w:t>
      </w:r>
      <w:r w:rsidRPr="008B3165">
        <w:rPr>
          <w:rFonts w:eastAsia="Calibri"/>
          <w:lang w:val="uk-UA" w:eastAsia="uk-UA"/>
        </w:rPr>
        <w:t xml:space="preserve">OECD Draft Convention on Foreign Property, </w:t>
      </w:r>
      <w:r w:rsidRPr="008B3165">
        <w:rPr>
          <w:rFonts w:eastAsia="Calibri"/>
          <w:i/>
          <w:iCs/>
          <w:lang w:val="uk-UA" w:eastAsia="uk-UA"/>
        </w:rPr>
        <w:t>12 October 1967 pp. 23-25.</w:t>
      </w:r>
    </w:p>
    <w:p w:rsidR="000A00D8" w:rsidRPr="008B3165" w:rsidRDefault="000A00D8" w:rsidP="000A00D8">
      <w:pPr>
        <w:pStyle w:val="a6"/>
        <w:spacing w:after="240"/>
        <w:rPr>
          <w:sz w:val="24"/>
          <w:szCs w:val="24"/>
        </w:rPr>
      </w:pPr>
      <w:r>
        <w:rPr>
          <w:sz w:val="24"/>
          <w:szCs w:val="24"/>
        </w:rPr>
        <w:t>1</w:t>
      </w:r>
      <w:r w:rsidR="00CF2907">
        <w:rPr>
          <w:sz w:val="24"/>
          <w:szCs w:val="24"/>
        </w:rPr>
        <w:t>5</w:t>
      </w:r>
      <w:r>
        <w:rPr>
          <w:sz w:val="24"/>
          <w:szCs w:val="24"/>
        </w:rPr>
        <w:t xml:space="preserve">. </w:t>
      </w:r>
      <w:r w:rsidRPr="008B3165">
        <w:rPr>
          <w:sz w:val="24"/>
          <w:szCs w:val="24"/>
        </w:rPr>
        <w:t>Draft Articles on Diplomatic Protection, with commentaries, adopted by the International Law Commission at its 58th session (2006), article1.</w:t>
      </w:r>
    </w:p>
    <w:p w:rsidR="000A00D8" w:rsidRPr="008B3165" w:rsidRDefault="000A00D8" w:rsidP="000A00D8">
      <w:pPr>
        <w:pStyle w:val="a6"/>
        <w:spacing w:after="240"/>
        <w:rPr>
          <w:sz w:val="24"/>
          <w:szCs w:val="24"/>
        </w:rPr>
      </w:pPr>
      <w:r>
        <w:rPr>
          <w:sz w:val="24"/>
          <w:szCs w:val="24"/>
        </w:rPr>
        <w:t>1</w:t>
      </w:r>
      <w:r w:rsidR="00CF2907">
        <w:rPr>
          <w:sz w:val="24"/>
          <w:szCs w:val="24"/>
        </w:rPr>
        <w:t xml:space="preserve">6 </w:t>
      </w:r>
      <w:r>
        <w:rPr>
          <w:sz w:val="24"/>
          <w:szCs w:val="24"/>
        </w:rPr>
        <w:t xml:space="preserve">. </w:t>
      </w:r>
      <w:r w:rsidRPr="008B3165">
        <w:rPr>
          <w:sz w:val="24"/>
          <w:szCs w:val="24"/>
        </w:rPr>
        <w:t>Draft Articles on Diplomatic Protection</w:t>
      </w:r>
    </w:p>
    <w:p w:rsidR="000A00D8" w:rsidRDefault="000A00D8" w:rsidP="000A00D8">
      <w:pPr>
        <w:pStyle w:val="a6"/>
        <w:spacing w:after="240"/>
        <w:ind w:left="113"/>
        <w:rPr>
          <w:b/>
          <w:i/>
          <w:sz w:val="24"/>
          <w:szCs w:val="24"/>
        </w:rPr>
      </w:pPr>
      <w:r w:rsidRPr="008B3165">
        <w:rPr>
          <w:b/>
          <w:i/>
          <w:sz w:val="24"/>
          <w:szCs w:val="24"/>
        </w:rPr>
        <w:t>CASE LAW</w:t>
      </w:r>
    </w:p>
    <w:p w:rsidR="000A00D8" w:rsidRDefault="000A00D8" w:rsidP="000A00D8">
      <w:pPr>
        <w:spacing w:after="240"/>
        <w:ind w:left="113"/>
        <w:rPr>
          <w:b/>
          <w:lang w:val="en-US"/>
        </w:rPr>
      </w:pPr>
      <w:r w:rsidRPr="008B3165">
        <w:rPr>
          <w:b/>
          <w:lang w:val="en-US"/>
        </w:rPr>
        <w:t>ARBITRAL AWARDS</w:t>
      </w:r>
    </w:p>
    <w:p w:rsidR="000A00D8" w:rsidRPr="00A36B9E" w:rsidRDefault="000A00D8" w:rsidP="000A00D8">
      <w:pPr>
        <w:pStyle w:val="a5"/>
        <w:numPr>
          <w:ilvl w:val="0"/>
          <w:numId w:val="9"/>
        </w:numPr>
        <w:spacing w:after="240" w:line="276" w:lineRule="auto"/>
        <w:ind w:left="113"/>
        <w:rPr>
          <w:lang w:val="en-US"/>
        </w:rPr>
      </w:pPr>
      <w:r w:rsidRPr="00A36B9E">
        <w:rPr>
          <w:lang w:val="en-US"/>
        </w:rPr>
        <w:t xml:space="preserve"> Alabama arbitration (United States of America v. United Kingdom), 1872, in </w:t>
      </w:r>
      <w:r w:rsidRPr="00A36B9E">
        <w:rPr>
          <w:rFonts w:eastAsia="Batang"/>
          <w:lang w:val="en-US"/>
        </w:rPr>
        <w:t xml:space="preserve">Moore, </w:t>
      </w:r>
      <w:r w:rsidRPr="00A36B9E">
        <w:rPr>
          <w:rFonts w:eastAsia="Batang"/>
          <w:iCs/>
          <w:lang w:val="en-US"/>
        </w:rPr>
        <w:t xml:space="preserve">International Arbitrations, </w:t>
      </w:r>
      <w:r w:rsidRPr="00A36B9E">
        <w:rPr>
          <w:lang w:val="en-US"/>
        </w:rPr>
        <w:t xml:space="preserve">vol. IV, p. 4144. </w:t>
      </w:r>
      <w:r w:rsidRPr="00A36B9E">
        <w:rPr>
          <w:iCs/>
          <w:lang w:val="en-US"/>
        </w:rPr>
        <w:t>[</w:t>
      </w:r>
      <w:r w:rsidRPr="00A36B9E">
        <w:rPr>
          <w:iCs/>
          <w:u w:val="single"/>
          <w:lang w:val="en-US"/>
        </w:rPr>
        <w:t>cited as</w:t>
      </w:r>
      <w:r w:rsidRPr="00A36B9E">
        <w:rPr>
          <w:iCs/>
          <w:lang w:val="en-US"/>
        </w:rPr>
        <w:t xml:space="preserve">: Alabama </w:t>
      </w:r>
      <w:r w:rsidRPr="00A36B9E">
        <w:rPr>
          <w:lang w:val="en-US"/>
        </w:rPr>
        <w:t>at p.</w:t>
      </w:r>
    </w:p>
    <w:p w:rsidR="000A00D8" w:rsidRPr="00A36B9E" w:rsidRDefault="000A00D8" w:rsidP="000A00D8">
      <w:pPr>
        <w:pStyle w:val="a5"/>
        <w:numPr>
          <w:ilvl w:val="0"/>
          <w:numId w:val="9"/>
        </w:numPr>
        <w:spacing w:after="240" w:line="276" w:lineRule="auto"/>
        <w:ind w:left="113"/>
        <w:rPr>
          <w:lang w:val="en-US"/>
        </w:rPr>
      </w:pPr>
      <w:r w:rsidRPr="00A36B9E">
        <w:rPr>
          <w:bCs/>
          <w:lang w:val="en-US"/>
        </w:rPr>
        <w:t xml:space="preserve">Shufeldt claim (Guatemala, USA), Reports of International Arbitral Awards, </w:t>
      </w:r>
      <w:r w:rsidRPr="00A36B9E">
        <w:rPr>
          <w:lang w:val="en-US"/>
        </w:rPr>
        <w:t>24 July 1930.</w:t>
      </w:r>
    </w:p>
    <w:p w:rsidR="000A00D8" w:rsidRPr="00A36B9E" w:rsidRDefault="000A00D8" w:rsidP="000A00D8">
      <w:pPr>
        <w:pStyle w:val="a5"/>
        <w:numPr>
          <w:ilvl w:val="0"/>
          <w:numId w:val="9"/>
        </w:numPr>
        <w:spacing w:after="240" w:line="276" w:lineRule="auto"/>
        <w:ind w:left="113"/>
        <w:rPr>
          <w:lang w:val="en-US"/>
        </w:rPr>
      </w:pPr>
      <w:r w:rsidRPr="00A36B9E">
        <w:rPr>
          <w:bCs/>
          <w:lang w:val="en-US"/>
        </w:rPr>
        <w:t xml:space="preserve">The Guiana Boundary Case (Brazil, Great Britain) Reports of International Arbitral Awards, </w:t>
      </w:r>
      <w:r w:rsidRPr="00A36B9E">
        <w:rPr>
          <w:lang w:val="en-US"/>
        </w:rPr>
        <w:t xml:space="preserve">6 June 1904 [ cited as: </w:t>
      </w:r>
    </w:p>
    <w:p w:rsidR="000A00D8" w:rsidRPr="00A36B9E" w:rsidRDefault="000A00D8" w:rsidP="000A00D8">
      <w:pPr>
        <w:spacing w:before="240" w:after="240"/>
        <w:rPr>
          <w:b/>
          <w:lang w:val="en-US"/>
        </w:rPr>
      </w:pPr>
      <w:r w:rsidRPr="00A36B9E">
        <w:rPr>
          <w:b/>
          <w:lang w:val="en-US"/>
        </w:rPr>
        <w:t>PERMANENT COURT OF INTERNATIONAL JUSTICE</w:t>
      </w:r>
    </w:p>
    <w:p w:rsidR="000A00D8" w:rsidRPr="00A36B9E" w:rsidRDefault="000A00D8" w:rsidP="000A00D8">
      <w:pPr>
        <w:spacing w:before="240" w:after="240"/>
        <w:rPr>
          <w:lang w:val="en-US"/>
        </w:rPr>
      </w:pPr>
      <w:r w:rsidRPr="00A36B9E">
        <w:rPr>
          <w:lang w:val="en-US"/>
        </w:rPr>
        <w:t xml:space="preserve">1. Case Concerning the Factory at Chorzów, Permanent Court of International Justice, Judgment </w:t>
      </w:r>
    </w:p>
    <w:p w:rsidR="000A00D8" w:rsidRPr="00A36B9E" w:rsidRDefault="000A00D8" w:rsidP="000A00D8">
      <w:pPr>
        <w:spacing w:before="240" w:after="240"/>
        <w:rPr>
          <w:u w:val="single"/>
          <w:lang w:val="en-US"/>
        </w:rPr>
      </w:pPr>
      <w:r w:rsidRPr="00A36B9E">
        <w:rPr>
          <w:lang w:val="en-US"/>
        </w:rPr>
        <w:t xml:space="preserve">No. 8. ,( July 26th, 1927).[ </w:t>
      </w:r>
      <w:r w:rsidRPr="00A36B9E">
        <w:rPr>
          <w:u w:val="single"/>
          <w:lang w:val="en-US"/>
        </w:rPr>
        <w:t>cited as:</w:t>
      </w:r>
    </w:p>
    <w:p w:rsidR="000A00D8" w:rsidRPr="00A36B9E" w:rsidRDefault="000A00D8" w:rsidP="000A00D8">
      <w:pPr>
        <w:spacing w:before="240" w:after="240"/>
        <w:rPr>
          <w:iCs/>
          <w:lang w:val="en-US"/>
        </w:rPr>
      </w:pPr>
      <w:r w:rsidRPr="00A36B9E">
        <w:rPr>
          <w:lang w:val="en-US"/>
        </w:rPr>
        <w:t xml:space="preserve">2.  Jurisdiction of the Courts of Danzig, 1928, PCIJ, Series B, No. 15. </w:t>
      </w:r>
      <w:r w:rsidRPr="00A36B9E">
        <w:rPr>
          <w:u w:val="single"/>
          <w:lang w:val="en-US"/>
        </w:rPr>
        <w:t>[</w:t>
      </w:r>
      <w:r>
        <w:rPr>
          <w:u w:val="single"/>
          <w:lang w:val="en-US"/>
        </w:rPr>
        <w:t>cites as</w:t>
      </w:r>
      <w:r w:rsidRPr="00A36B9E">
        <w:rPr>
          <w:lang w:val="en-US"/>
        </w:rPr>
        <w:t>: Jurisdiction of the Courts of Danzig at</w:t>
      </w:r>
      <w:r w:rsidRPr="00A36B9E">
        <w:rPr>
          <w:iCs/>
          <w:lang w:val="en-US"/>
        </w:rPr>
        <w:t xml:space="preserve"> p.</w:t>
      </w:r>
    </w:p>
    <w:p w:rsidR="000A00D8" w:rsidRPr="00A36B9E" w:rsidRDefault="000A00D8" w:rsidP="000A00D8">
      <w:pPr>
        <w:spacing w:before="240" w:after="240"/>
        <w:rPr>
          <w:lang w:val="en-US"/>
        </w:rPr>
      </w:pPr>
      <w:r w:rsidRPr="00A36B9E">
        <w:rPr>
          <w:lang w:val="en-US"/>
        </w:rPr>
        <w:t>3. The Island of Palmas Case (or Miangas) (United States of America v. The Netherlands), Permanent Court of Arbitration, Award (4 April 1928)</w:t>
      </w:r>
      <w:r>
        <w:rPr>
          <w:lang w:val="en-US"/>
        </w:rPr>
        <w:t xml:space="preserve"> [</w:t>
      </w:r>
      <w:r w:rsidRPr="00A36B9E">
        <w:rPr>
          <w:u w:val="single"/>
          <w:lang w:val="en-US"/>
        </w:rPr>
        <w:t>cited as</w:t>
      </w:r>
      <w:r>
        <w:rPr>
          <w:lang w:val="en-US"/>
        </w:rPr>
        <w:t>:</w:t>
      </w:r>
    </w:p>
    <w:p w:rsidR="000A00D8" w:rsidRPr="00A36B9E" w:rsidRDefault="000A00D8" w:rsidP="000A00D8">
      <w:pPr>
        <w:spacing w:before="240" w:after="240"/>
        <w:rPr>
          <w:iCs/>
          <w:lang w:val="en-US"/>
        </w:rPr>
      </w:pPr>
      <w:r w:rsidRPr="00A36B9E">
        <w:rPr>
          <w:lang w:val="en-US"/>
        </w:rPr>
        <w:t>4. Free Zones of Upper Savoy and the District of Gex, 1929, PCIJ, Series A, No. 22. [</w:t>
      </w:r>
      <w:r w:rsidRPr="00A36B9E">
        <w:rPr>
          <w:u w:val="single"/>
          <w:lang w:val="en-US"/>
        </w:rPr>
        <w:t>cited as:</w:t>
      </w:r>
      <w:r w:rsidRPr="00A36B9E">
        <w:rPr>
          <w:lang w:val="en-US"/>
        </w:rPr>
        <w:t xml:space="preserve"> Free Zones of Upper Savoy (1929) at</w:t>
      </w:r>
      <w:r w:rsidRPr="00A36B9E">
        <w:rPr>
          <w:iCs/>
          <w:lang w:val="en-US"/>
        </w:rPr>
        <w:t xml:space="preserve"> p.</w:t>
      </w:r>
    </w:p>
    <w:p w:rsidR="000A00D8" w:rsidRPr="00A36B9E" w:rsidRDefault="000A00D8" w:rsidP="000A00D8">
      <w:pPr>
        <w:spacing w:before="240" w:after="240"/>
        <w:rPr>
          <w:iCs/>
          <w:lang w:val="en-US"/>
        </w:rPr>
      </w:pPr>
      <w:r w:rsidRPr="00A36B9E">
        <w:rPr>
          <w:lang w:val="en-US"/>
        </w:rPr>
        <w:t>5.  Free Zones of Upper Savoy and the District of Gex, 1932, PCIJ, Series A/B, No. 46, p. 96. [</w:t>
      </w:r>
      <w:r w:rsidRPr="00A36B9E">
        <w:rPr>
          <w:u w:val="single"/>
          <w:lang w:val="en-US"/>
        </w:rPr>
        <w:t>cited as</w:t>
      </w:r>
      <w:r w:rsidRPr="00A36B9E">
        <w:rPr>
          <w:lang w:val="en-US"/>
        </w:rPr>
        <w:t>: Free Zones of Upper Savoy (1932) at</w:t>
      </w:r>
      <w:r w:rsidRPr="00A36B9E">
        <w:rPr>
          <w:iCs/>
          <w:lang w:val="en-US"/>
        </w:rPr>
        <w:t xml:space="preserve"> p</w:t>
      </w:r>
    </w:p>
    <w:p w:rsidR="000A00D8" w:rsidRPr="00A36B9E" w:rsidRDefault="000A00D8" w:rsidP="000A00D8">
      <w:pPr>
        <w:spacing w:before="240" w:after="240"/>
        <w:rPr>
          <w:u w:val="single"/>
          <w:lang w:val="en-US"/>
        </w:rPr>
      </w:pPr>
      <w:r w:rsidRPr="00A36B9E">
        <w:rPr>
          <w:lang w:val="en-US"/>
        </w:rPr>
        <w:t>6. The Greco-Bulgarian “Communities” Interpretation of the Convention Between Greece and Bulgaria Respecting Reciprocal Emigration, Signed at Neuilly-Sur-Seine on November 27th, 1919 (Question of the "Communities").July 31, 1930.</w:t>
      </w:r>
      <w:r>
        <w:rPr>
          <w:lang w:val="en-US"/>
        </w:rPr>
        <w:t>[</w:t>
      </w:r>
      <w:r w:rsidRPr="00A36B9E">
        <w:rPr>
          <w:u w:val="single"/>
          <w:lang w:val="en-US"/>
        </w:rPr>
        <w:t>sited as:</w:t>
      </w:r>
    </w:p>
    <w:p w:rsidR="000A00D8" w:rsidRPr="00A36B9E" w:rsidRDefault="000A00D8" w:rsidP="000A00D8">
      <w:pPr>
        <w:spacing w:before="240" w:after="240"/>
        <w:rPr>
          <w:lang w:val="en-US"/>
        </w:rPr>
      </w:pPr>
      <w:r w:rsidRPr="00A36B9E">
        <w:rPr>
          <w:lang w:val="en-US"/>
        </w:rPr>
        <w:t xml:space="preserve">7. Clipperton Islands Case (Mexico v. France), Judicial Decisions Involving Questions of International Law (28 January 1931), provided by Hein Online </w:t>
      </w:r>
      <w:r>
        <w:rPr>
          <w:lang w:val="en-US"/>
        </w:rPr>
        <w:t>[</w:t>
      </w:r>
      <w:r w:rsidRPr="00A36B9E">
        <w:rPr>
          <w:u w:val="single"/>
          <w:lang w:val="en-US"/>
        </w:rPr>
        <w:t>sited as</w:t>
      </w:r>
      <w:r>
        <w:rPr>
          <w:lang w:val="en-US"/>
        </w:rPr>
        <w:t>:</w:t>
      </w:r>
    </w:p>
    <w:p w:rsidR="000A00D8" w:rsidRPr="00A36B9E" w:rsidRDefault="000A00D8" w:rsidP="000A00D8">
      <w:pPr>
        <w:spacing w:before="240" w:after="240"/>
        <w:rPr>
          <w:lang w:val="en-US"/>
        </w:rPr>
      </w:pPr>
      <w:r w:rsidRPr="00A36B9E">
        <w:rPr>
          <w:lang w:val="en-US"/>
        </w:rPr>
        <w:lastRenderedPageBreak/>
        <w:t>8. Treatment of Polish Nationals and Other Persons of Polish Origin or Speech in the Danzig Territory (February 4th, 1932).</w:t>
      </w:r>
      <w:r>
        <w:rPr>
          <w:lang w:val="en-US"/>
        </w:rPr>
        <w:t>[</w:t>
      </w:r>
      <w:r w:rsidRPr="00A36B9E">
        <w:rPr>
          <w:u w:val="single"/>
          <w:lang w:val="en-US"/>
        </w:rPr>
        <w:t>sited as:</w:t>
      </w:r>
    </w:p>
    <w:p w:rsidR="000A00D8" w:rsidRPr="00A36B9E" w:rsidRDefault="000A00D8" w:rsidP="000A00D8">
      <w:pPr>
        <w:spacing w:before="240" w:after="240"/>
        <w:rPr>
          <w:u w:val="single"/>
          <w:lang w:val="en-US"/>
        </w:rPr>
      </w:pPr>
      <w:r w:rsidRPr="00A36B9E">
        <w:rPr>
          <w:lang w:val="en-US"/>
        </w:rPr>
        <w:t xml:space="preserve">9. Case concerning </w:t>
      </w:r>
      <w:r w:rsidRPr="00A36B9E">
        <w:rPr>
          <w:rFonts w:cs="Times-Italic"/>
          <w:iCs/>
          <w:lang w:val="en-US"/>
        </w:rPr>
        <w:t xml:space="preserve">Legal Status of Eastern Greenland </w:t>
      </w:r>
      <w:r w:rsidRPr="00A36B9E">
        <w:rPr>
          <w:bCs/>
          <w:lang w:val="en-US"/>
        </w:rPr>
        <w:t xml:space="preserve">(Norway v. Denmark) </w:t>
      </w:r>
      <w:r w:rsidRPr="00A36B9E">
        <w:rPr>
          <w:lang w:val="en-US"/>
        </w:rPr>
        <w:t>Permanent Court of International Justice, 1933 [1933] P.C.I.J. Ser. A/B, No. 53, 71.</w:t>
      </w:r>
      <w:r>
        <w:rPr>
          <w:lang w:val="en-US"/>
        </w:rPr>
        <w:t>[</w:t>
      </w:r>
      <w:r w:rsidRPr="00A36B9E">
        <w:rPr>
          <w:u w:val="single"/>
          <w:lang w:val="en-US"/>
        </w:rPr>
        <w:t>sited as:</w:t>
      </w:r>
    </w:p>
    <w:p w:rsidR="000A00D8" w:rsidRPr="00A36B9E" w:rsidRDefault="000A00D8" w:rsidP="000A00D8">
      <w:pPr>
        <w:autoSpaceDE w:val="0"/>
        <w:autoSpaceDN w:val="0"/>
        <w:adjustRightInd w:val="0"/>
        <w:rPr>
          <w:iCs/>
          <w:lang w:val="en-US"/>
        </w:rPr>
      </w:pPr>
      <w:r w:rsidRPr="00A36B9E">
        <w:rPr>
          <w:lang w:val="en-US"/>
        </w:rPr>
        <w:t xml:space="preserve">10. S. Wimbledon, 1923, PCIJ, Series A, No. 1. </w:t>
      </w:r>
      <w:r w:rsidRPr="00A36B9E">
        <w:rPr>
          <w:u w:val="single"/>
          <w:lang w:val="en-US"/>
        </w:rPr>
        <w:t>[cited as:</w:t>
      </w:r>
      <w:r w:rsidRPr="00A36B9E">
        <w:rPr>
          <w:lang w:val="en-US"/>
        </w:rPr>
        <w:t xml:space="preserve"> Wimbledon at</w:t>
      </w:r>
      <w:r w:rsidRPr="00A36B9E">
        <w:rPr>
          <w:iCs/>
          <w:lang w:val="en-US"/>
        </w:rPr>
        <w:t xml:space="preserve"> p.</w:t>
      </w:r>
    </w:p>
    <w:p w:rsidR="000A00D8" w:rsidRPr="00A36B9E" w:rsidRDefault="000A00D8" w:rsidP="000A00D8">
      <w:pPr>
        <w:autoSpaceDE w:val="0"/>
        <w:autoSpaceDN w:val="0"/>
        <w:adjustRightInd w:val="0"/>
        <w:rPr>
          <w:iCs/>
          <w:lang w:val="en-US"/>
        </w:rPr>
      </w:pPr>
    </w:p>
    <w:p w:rsidR="000A00D8" w:rsidRPr="00A36B9E" w:rsidRDefault="000A00D8" w:rsidP="000A00D8">
      <w:pPr>
        <w:autoSpaceDE w:val="0"/>
        <w:autoSpaceDN w:val="0"/>
        <w:adjustRightInd w:val="0"/>
        <w:rPr>
          <w:iCs/>
          <w:lang w:val="en-US"/>
        </w:rPr>
      </w:pPr>
    </w:p>
    <w:p w:rsidR="000A00D8" w:rsidRPr="00A36B9E" w:rsidRDefault="000A00D8" w:rsidP="000A00D8">
      <w:pPr>
        <w:autoSpaceDE w:val="0"/>
        <w:autoSpaceDN w:val="0"/>
        <w:adjustRightInd w:val="0"/>
        <w:rPr>
          <w:b/>
          <w:iCs/>
          <w:lang w:val="en-US"/>
        </w:rPr>
      </w:pPr>
      <w:r w:rsidRPr="00A36B9E">
        <w:rPr>
          <w:b/>
          <w:iCs/>
          <w:lang w:val="en-US"/>
        </w:rPr>
        <w:t xml:space="preserve">                                                   INTERNATIONAL COURT OF JUSTICE</w:t>
      </w:r>
    </w:p>
    <w:p w:rsidR="000A00D8" w:rsidRPr="00A36B9E" w:rsidRDefault="000A00D8" w:rsidP="000A00D8">
      <w:pPr>
        <w:autoSpaceDE w:val="0"/>
        <w:autoSpaceDN w:val="0"/>
        <w:adjustRightInd w:val="0"/>
        <w:rPr>
          <w:b/>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lang w:val="en-US"/>
        </w:rPr>
        <w:t>Fisheries case (United Kingdom v. Norway), Judgment of December 18, 1951, 1951 ICJ 116. [</w:t>
      </w:r>
      <w:r w:rsidRPr="00A36B9E">
        <w:rPr>
          <w:u w:val="single"/>
          <w:lang w:val="en-US"/>
        </w:rPr>
        <w:t>cited as</w:t>
      </w:r>
      <w:r w:rsidRPr="00A36B9E">
        <w:rPr>
          <w:lang w:val="en-US"/>
        </w:rPr>
        <w:t>: Fisheries at p.</w:t>
      </w:r>
    </w:p>
    <w:p w:rsidR="000A00D8" w:rsidRPr="00A36B9E" w:rsidRDefault="000A00D8" w:rsidP="000A00D8">
      <w:pPr>
        <w:autoSpaceDE w:val="0"/>
        <w:autoSpaceDN w:val="0"/>
        <w:adjustRightInd w:val="0"/>
        <w:rPr>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lang w:val="en-US"/>
        </w:rPr>
        <w:t xml:space="preserve">Nottebohm case </w:t>
      </w:r>
      <w:r w:rsidRPr="00A36B9E">
        <w:rPr>
          <w:shd w:val="clear" w:color="auto" w:fill="FFFFFF"/>
          <w:lang w:val="en-US"/>
        </w:rPr>
        <w:t xml:space="preserve">(Liechtenstein v. Guatemala) </w:t>
      </w:r>
      <w:r w:rsidRPr="00A36B9E">
        <w:rPr>
          <w:lang w:val="en-US"/>
        </w:rPr>
        <w:t>Judgment</w:t>
      </w:r>
      <w:r w:rsidRPr="00A36B9E">
        <w:rPr>
          <w:shd w:val="clear" w:color="auto" w:fill="FFFFFF"/>
          <w:lang w:val="en-US"/>
        </w:rPr>
        <w:t xml:space="preserve"> of November 18, 1953 (</w:t>
      </w:r>
      <w:r w:rsidRPr="00A36B9E">
        <w:rPr>
          <w:lang w:val="en-US"/>
        </w:rPr>
        <w:t>Preliminary Objection</w:t>
      </w:r>
      <w:r w:rsidRPr="00A36B9E">
        <w:rPr>
          <w:shd w:val="clear" w:color="auto" w:fill="FFFFFF"/>
          <w:lang w:val="en-US"/>
        </w:rPr>
        <w:t xml:space="preserve">), </w:t>
      </w:r>
      <w:r w:rsidRPr="00A36B9E">
        <w:rPr>
          <w:rStyle w:val="documentbody1"/>
          <w:rFonts w:ascii="Times New Roman" w:hAnsi="Times New Roman"/>
          <w:sz w:val="24"/>
          <w:szCs w:val="24"/>
          <w:lang w:val="en-US"/>
        </w:rPr>
        <w:t>1953 ICJ 111</w:t>
      </w:r>
      <w:r w:rsidRPr="00A36B9E">
        <w:rPr>
          <w:lang w:val="en-US"/>
        </w:rPr>
        <w:t>. [</w:t>
      </w:r>
      <w:r w:rsidRPr="00A36B9E">
        <w:rPr>
          <w:u w:val="single"/>
          <w:lang w:val="en-US"/>
        </w:rPr>
        <w:t>cited as</w:t>
      </w:r>
      <w:r w:rsidRPr="00A36B9E">
        <w:rPr>
          <w:lang w:val="en-US"/>
        </w:rPr>
        <w:t>: Nottebohm at p.</w:t>
      </w:r>
    </w:p>
    <w:p w:rsidR="000A00D8" w:rsidRPr="00A36B9E" w:rsidRDefault="000A00D8" w:rsidP="000A00D8">
      <w:pPr>
        <w:autoSpaceDE w:val="0"/>
        <w:autoSpaceDN w:val="0"/>
        <w:adjustRightInd w:val="0"/>
        <w:rPr>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shd w:val="clear" w:color="auto" w:fill="FFFFFF"/>
          <w:lang w:val="en-US"/>
        </w:rPr>
        <w:t xml:space="preserve">Case concerning the Application of the Convention of 1902 governing the Guardianship of Infants (Netherlands v. Sweden), </w:t>
      </w:r>
      <w:r w:rsidRPr="00A36B9E">
        <w:rPr>
          <w:rStyle w:val="documentbody1"/>
          <w:rFonts w:ascii="Times New Roman" w:hAnsi="Times New Roman"/>
          <w:sz w:val="24"/>
          <w:szCs w:val="24"/>
          <w:lang w:val="en-US"/>
        </w:rPr>
        <w:t>Judgment of November 28, 1958, 1958 ICJ 55</w:t>
      </w:r>
      <w:r w:rsidRPr="00A36B9E">
        <w:rPr>
          <w:iCs/>
          <w:lang w:val="en-US"/>
        </w:rPr>
        <w:t>[</w:t>
      </w:r>
      <w:r w:rsidRPr="00A36B9E">
        <w:rPr>
          <w:iCs/>
          <w:u w:val="single"/>
          <w:lang w:val="en-US"/>
        </w:rPr>
        <w:t>cited as</w:t>
      </w:r>
      <w:r w:rsidRPr="00A36B9E">
        <w:rPr>
          <w:iCs/>
          <w:lang w:val="en-US"/>
        </w:rPr>
        <w:t xml:space="preserve">: </w:t>
      </w:r>
      <w:r w:rsidRPr="00A36B9E">
        <w:rPr>
          <w:shd w:val="clear" w:color="auto" w:fill="FFFFFF"/>
          <w:lang w:val="en-US"/>
        </w:rPr>
        <w:t>Guardianship of Infants</w:t>
      </w:r>
      <w:r w:rsidRPr="00A36B9E">
        <w:rPr>
          <w:lang w:val="en-US"/>
        </w:rPr>
        <w:t xml:space="preserve"> at p.</w:t>
      </w:r>
    </w:p>
    <w:p w:rsidR="000A00D8" w:rsidRPr="00A36B9E" w:rsidRDefault="000A00D8" w:rsidP="000A00D8">
      <w:pPr>
        <w:autoSpaceDE w:val="0"/>
        <w:autoSpaceDN w:val="0"/>
        <w:adjustRightInd w:val="0"/>
        <w:rPr>
          <w:lang w:val="en-US"/>
        </w:rPr>
      </w:pPr>
    </w:p>
    <w:p w:rsidR="000A00D8" w:rsidRPr="00A36B9E" w:rsidRDefault="000A00D8" w:rsidP="000A00D8">
      <w:pPr>
        <w:pStyle w:val="a5"/>
        <w:numPr>
          <w:ilvl w:val="0"/>
          <w:numId w:val="6"/>
        </w:numPr>
        <w:autoSpaceDE w:val="0"/>
        <w:autoSpaceDN w:val="0"/>
        <w:adjustRightInd w:val="0"/>
        <w:ind w:left="0"/>
        <w:rPr>
          <w:rStyle w:val="documentbody1"/>
          <w:rFonts w:ascii="Times New Roman" w:hAnsi="Times New Roman"/>
          <w:sz w:val="24"/>
          <w:szCs w:val="24"/>
          <w:lang w:val="en-US"/>
        </w:rPr>
      </w:pPr>
      <w:r w:rsidRPr="00A36B9E">
        <w:rPr>
          <w:rStyle w:val="documentbody1"/>
          <w:rFonts w:ascii="Times New Roman" w:hAnsi="Times New Roman"/>
          <w:sz w:val="24"/>
          <w:szCs w:val="24"/>
          <w:lang w:val="en-US"/>
        </w:rPr>
        <w:t>Namibia case [Legal Consequences for States of South Africa in Namibia (South West Africa nothing standing Security Council Resolution 276(1970) ]</w:t>
      </w:r>
      <w:r>
        <w:rPr>
          <w:rStyle w:val="documentbody1"/>
          <w:lang w:val="en-US"/>
        </w:rPr>
        <w:t xml:space="preserve"> [</w:t>
      </w:r>
      <w:r w:rsidRPr="00A36B9E">
        <w:rPr>
          <w:rStyle w:val="documentbody1"/>
          <w:u w:val="single"/>
          <w:lang w:val="en-US"/>
        </w:rPr>
        <w:t>sited as</w:t>
      </w:r>
      <w:r>
        <w:rPr>
          <w:rStyle w:val="documentbody1"/>
          <w:lang w:val="en-US"/>
        </w:rPr>
        <w:t>:</w:t>
      </w: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lang w:val="en-US"/>
        </w:rPr>
        <w:t>Case concerning Questions of Interpretation and Application of the 1971 Montreal Convention arising from the Aerial Incident at Lockerbie (1992) ICJ 3, p.22: 94 ILR 478.</w:t>
      </w:r>
      <w:r>
        <w:rPr>
          <w:lang w:val="en-US"/>
        </w:rPr>
        <w:t>[</w:t>
      </w:r>
      <w:r w:rsidRPr="00A36B9E">
        <w:rPr>
          <w:u w:val="single"/>
          <w:lang w:val="en-US"/>
        </w:rPr>
        <w:t>sited as</w:t>
      </w:r>
      <w:r>
        <w:rPr>
          <w:lang w:val="en-US"/>
        </w:rPr>
        <w:t>:</w:t>
      </w: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rFonts w:eastAsia="SimSun"/>
          <w:shd w:val="clear" w:color="auto" w:fill="FFFFFF"/>
          <w:lang w:val="en-US" w:eastAsia="zh-CN"/>
        </w:rPr>
        <w:t>Case concerning East Timor (Portugal v. Australia), Judgment of June 30, 1995, 1995 ICJ 90</w:t>
      </w:r>
      <w:r w:rsidRPr="00A36B9E">
        <w:rPr>
          <w:shd w:val="clear" w:color="auto" w:fill="FFFFFF"/>
          <w:lang w:val="en-US"/>
        </w:rPr>
        <w:t>.</w:t>
      </w:r>
      <w:r w:rsidRPr="00A36B9E">
        <w:rPr>
          <w:lang w:val="en-US"/>
        </w:rPr>
        <w:t xml:space="preserve"> [</w:t>
      </w:r>
      <w:r w:rsidRPr="00A36B9E">
        <w:rPr>
          <w:u w:val="single"/>
          <w:lang w:val="en-US"/>
        </w:rPr>
        <w:t>cited as</w:t>
      </w:r>
      <w:r w:rsidRPr="00A36B9E">
        <w:rPr>
          <w:lang w:val="en-US"/>
        </w:rPr>
        <w:t>:</w:t>
      </w:r>
      <w:r w:rsidRPr="00A36B9E">
        <w:rPr>
          <w:rFonts w:eastAsia="SimSun"/>
          <w:shd w:val="clear" w:color="auto" w:fill="FFFFFF"/>
          <w:lang w:val="en-US" w:eastAsia="zh-CN"/>
        </w:rPr>
        <w:t xml:space="preserve"> East Timor</w:t>
      </w:r>
      <w:r w:rsidRPr="00A36B9E">
        <w:rPr>
          <w:lang w:val="en-US"/>
        </w:rPr>
        <w:t xml:space="preserve"> at p.</w:t>
      </w: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pStyle w:val="a5"/>
        <w:numPr>
          <w:ilvl w:val="0"/>
          <w:numId w:val="6"/>
        </w:numPr>
        <w:autoSpaceDE w:val="0"/>
        <w:autoSpaceDN w:val="0"/>
        <w:adjustRightInd w:val="0"/>
        <w:ind w:left="0"/>
        <w:rPr>
          <w:lang w:val="en-US"/>
        </w:rPr>
      </w:pPr>
      <w:r w:rsidRPr="00A36B9E">
        <w:rPr>
          <w:shd w:val="clear" w:color="auto" w:fill="FFFFFF"/>
          <w:lang w:val="en-US"/>
        </w:rPr>
        <w:t xml:space="preserve">Case concerning the Gabcikovo-Nagymaros Project (Hungary v. Slovakia), Judgment of September 25, 1997, </w:t>
      </w:r>
      <w:r w:rsidRPr="00A36B9E">
        <w:rPr>
          <w:rStyle w:val="documentbody1"/>
          <w:rFonts w:ascii="Times New Roman" w:hAnsi="Times New Roman"/>
          <w:sz w:val="24"/>
          <w:szCs w:val="24"/>
          <w:lang w:val="en-US"/>
        </w:rPr>
        <w:t>1997 ICJ 7</w:t>
      </w:r>
      <w:r w:rsidRPr="00A36B9E">
        <w:rPr>
          <w:lang w:val="en-US"/>
        </w:rPr>
        <w:t>. [</w:t>
      </w:r>
      <w:r w:rsidRPr="00A36B9E">
        <w:rPr>
          <w:u w:val="single"/>
          <w:lang w:val="en-US"/>
        </w:rPr>
        <w:t>cited as</w:t>
      </w:r>
      <w:r w:rsidRPr="00A36B9E">
        <w:rPr>
          <w:lang w:val="en-US"/>
        </w:rPr>
        <w:t xml:space="preserve">: </w:t>
      </w:r>
      <w:r w:rsidRPr="00A36B9E">
        <w:rPr>
          <w:bCs/>
          <w:lang w:val="en-US"/>
        </w:rPr>
        <w:t xml:space="preserve">Gabcíkovo-Nagymaros </w:t>
      </w:r>
      <w:r w:rsidRPr="00A36B9E">
        <w:rPr>
          <w:shd w:val="clear" w:color="auto" w:fill="FFFFFF"/>
          <w:lang w:val="en-US"/>
        </w:rPr>
        <w:t>Project</w:t>
      </w:r>
      <w:r w:rsidRPr="00A36B9E">
        <w:rPr>
          <w:lang w:val="en-US"/>
        </w:rPr>
        <w:t xml:space="preserve"> at p.</w:t>
      </w: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autoSpaceDE w:val="0"/>
        <w:autoSpaceDN w:val="0"/>
        <w:adjustRightInd w:val="0"/>
        <w:rPr>
          <w:rFonts w:eastAsia="Calibri"/>
          <w:bCs/>
          <w:iCs/>
          <w:lang w:val="en-US"/>
        </w:rPr>
      </w:pPr>
    </w:p>
    <w:p w:rsidR="000A00D8" w:rsidRPr="00A36B9E" w:rsidRDefault="000A00D8" w:rsidP="000A00D8">
      <w:pPr>
        <w:pStyle w:val="a5"/>
        <w:numPr>
          <w:ilvl w:val="0"/>
          <w:numId w:val="6"/>
        </w:numPr>
        <w:autoSpaceDE w:val="0"/>
        <w:autoSpaceDN w:val="0"/>
        <w:adjustRightInd w:val="0"/>
        <w:ind w:left="0"/>
        <w:rPr>
          <w:rStyle w:val="documentbody1"/>
          <w:rFonts w:ascii="Times New Roman" w:hAnsi="Times New Roman"/>
          <w:sz w:val="24"/>
          <w:szCs w:val="24"/>
          <w:lang w:val="en-US"/>
        </w:rPr>
      </w:pPr>
      <w:r w:rsidRPr="00A36B9E">
        <w:rPr>
          <w:rStyle w:val="documentbody1"/>
          <w:rFonts w:ascii="Times New Roman" w:hAnsi="Times New Roman"/>
          <w:sz w:val="24"/>
          <w:szCs w:val="24"/>
          <w:lang w:val="en-US"/>
        </w:rPr>
        <w:t xml:space="preserve">Amoco International Finance Corporation v. The Islamic republic Iran (1987), 15 Iran-US CTR 189; 83 ILR500. </w:t>
      </w:r>
      <w:r>
        <w:rPr>
          <w:rStyle w:val="documentbody1"/>
          <w:lang w:val="en-US"/>
        </w:rPr>
        <w:t>[</w:t>
      </w:r>
      <w:r w:rsidRPr="00A36B9E">
        <w:rPr>
          <w:rStyle w:val="documentbody1"/>
          <w:u w:val="single"/>
          <w:lang w:val="en-US"/>
        </w:rPr>
        <w:t>sited as:</w:t>
      </w:r>
    </w:p>
    <w:p w:rsidR="000A00D8" w:rsidRPr="00A36B9E" w:rsidRDefault="000A00D8" w:rsidP="000A00D8">
      <w:pPr>
        <w:autoSpaceDE w:val="0"/>
        <w:autoSpaceDN w:val="0"/>
        <w:adjustRightInd w:val="0"/>
        <w:rPr>
          <w:rFonts w:eastAsia="Calibri"/>
          <w:bCs/>
          <w:iCs/>
          <w:lang w:val="en-US"/>
        </w:rPr>
      </w:pPr>
    </w:p>
    <w:p w:rsidR="000A00D8" w:rsidRPr="00A36B9E" w:rsidRDefault="000A00D8" w:rsidP="000A00D8">
      <w:pPr>
        <w:autoSpaceDE w:val="0"/>
        <w:autoSpaceDN w:val="0"/>
        <w:adjustRightInd w:val="0"/>
        <w:rPr>
          <w:rFonts w:eastAsia="Calibri"/>
          <w:bCs/>
          <w:iCs/>
          <w:lang w:val="en-US"/>
        </w:rPr>
      </w:pPr>
    </w:p>
    <w:p w:rsidR="000A00D8" w:rsidRPr="00A36B9E" w:rsidRDefault="000A00D8" w:rsidP="000A00D8">
      <w:pPr>
        <w:pStyle w:val="a5"/>
        <w:numPr>
          <w:ilvl w:val="0"/>
          <w:numId w:val="6"/>
        </w:numPr>
        <w:autoSpaceDE w:val="0"/>
        <w:autoSpaceDN w:val="0"/>
        <w:adjustRightInd w:val="0"/>
        <w:ind w:left="0"/>
        <w:rPr>
          <w:rStyle w:val="documentbody1"/>
          <w:rFonts w:ascii="Times New Roman" w:hAnsi="Times New Roman"/>
          <w:sz w:val="24"/>
          <w:szCs w:val="24"/>
          <w:lang w:val="en-US"/>
        </w:rPr>
      </w:pPr>
      <w:r w:rsidRPr="00A36B9E">
        <w:rPr>
          <w:rStyle w:val="documentbody1"/>
          <w:rFonts w:ascii="Times New Roman" w:hAnsi="Times New Roman"/>
          <w:sz w:val="24"/>
          <w:szCs w:val="24"/>
          <w:shd w:val="clear" w:color="auto" w:fill="FFFFFF"/>
          <w:lang w:val="en-US"/>
        </w:rPr>
        <w:t xml:space="preserve"> Ethyl Corp. v. Canada, 38 I.L.M 700 (1999)</w:t>
      </w:r>
      <w:r w:rsidRPr="00A36B9E">
        <w:rPr>
          <w:rStyle w:val="documentbody1"/>
          <w:rFonts w:ascii="Times New Roman" w:hAnsi="Times New Roman"/>
          <w:sz w:val="24"/>
          <w:szCs w:val="24"/>
          <w:lang w:val="en-US"/>
        </w:rPr>
        <w:t xml:space="preserve"> (UNCITRAL--NAFTA 1998);</w:t>
      </w:r>
      <w:r>
        <w:rPr>
          <w:rStyle w:val="documentbody1"/>
          <w:lang w:val="en-US"/>
        </w:rPr>
        <w:t>[sited as:</w:t>
      </w:r>
    </w:p>
    <w:p w:rsidR="000A00D8" w:rsidRPr="00A36B9E" w:rsidRDefault="000A00D8" w:rsidP="000A00D8">
      <w:pPr>
        <w:autoSpaceDE w:val="0"/>
        <w:autoSpaceDN w:val="0"/>
        <w:adjustRightInd w:val="0"/>
        <w:rPr>
          <w:rStyle w:val="documentbody1"/>
          <w:rFonts w:ascii="Times New Roman" w:hAnsi="Times New Roman"/>
          <w:lang w:val="en-US"/>
        </w:rPr>
      </w:pPr>
    </w:p>
    <w:p w:rsidR="000A00D8" w:rsidRPr="00A36B9E" w:rsidRDefault="000A00D8" w:rsidP="000A00D8">
      <w:pPr>
        <w:pStyle w:val="a5"/>
        <w:numPr>
          <w:ilvl w:val="0"/>
          <w:numId w:val="6"/>
        </w:numPr>
        <w:autoSpaceDE w:val="0"/>
        <w:autoSpaceDN w:val="0"/>
        <w:adjustRightInd w:val="0"/>
        <w:ind w:left="0"/>
        <w:rPr>
          <w:rStyle w:val="documentbody1"/>
          <w:rFonts w:ascii="Times New Roman" w:hAnsi="Times New Roman"/>
          <w:sz w:val="24"/>
          <w:szCs w:val="24"/>
          <w:lang w:val="en-US"/>
        </w:rPr>
      </w:pPr>
      <w:r w:rsidRPr="00A36B9E">
        <w:rPr>
          <w:rStyle w:val="documentbody1"/>
          <w:rFonts w:ascii="Times New Roman" w:hAnsi="Times New Roman"/>
          <w:sz w:val="24"/>
          <w:szCs w:val="24"/>
          <w:lang w:val="en-US"/>
        </w:rPr>
        <w:t xml:space="preserve">Norwegian Shipowners' Claims,  (Norway  v. United States of America),  Award of the Tribunal,  </w:t>
      </w:r>
    </w:p>
    <w:p w:rsidR="000A00D8" w:rsidRPr="00A36B9E" w:rsidRDefault="000A00D8" w:rsidP="000A00D8">
      <w:pPr>
        <w:autoSpaceDE w:val="0"/>
        <w:autoSpaceDN w:val="0"/>
        <w:adjustRightInd w:val="0"/>
        <w:rPr>
          <w:rStyle w:val="documentbody1"/>
          <w:lang w:val="en-US"/>
        </w:rPr>
      </w:pPr>
      <w:r w:rsidRPr="00A36B9E">
        <w:rPr>
          <w:rStyle w:val="documentbody1"/>
          <w:rFonts w:ascii="Times New Roman" w:hAnsi="Times New Roman"/>
          <w:sz w:val="24"/>
          <w:szCs w:val="24"/>
          <w:lang w:val="en-US"/>
        </w:rPr>
        <w:t xml:space="preserve">   The Hague, 13 October 1922</w:t>
      </w:r>
      <w:r w:rsidRPr="00A36B9E">
        <w:rPr>
          <w:rStyle w:val="documentbody1"/>
          <w:rFonts w:ascii="Times New Roman" w:hAnsi="Times New Roman"/>
          <w:lang w:val="en-US"/>
        </w:rPr>
        <w:t>.</w:t>
      </w:r>
      <w:r>
        <w:rPr>
          <w:rStyle w:val="documentbody1"/>
          <w:lang w:val="en-US"/>
        </w:rPr>
        <w:t xml:space="preserve"> [</w:t>
      </w:r>
      <w:r w:rsidRPr="00A36B9E">
        <w:rPr>
          <w:rStyle w:val="documentbody1"/>
          <w:u w:val="single"/>
          <w:lang w:val="en-US"/>
        </w:rPr>
        <w:t>cited as</w:t>
      </w:r>
      <w:r>
        <w:rPr>
          <w:rStyle w:val="documentbody1"/>
          <w:lang w:val="en-US"/>
        </w:rPr>
        <w:t>:</w:t>
      </w:r>
    </w:p>
    <w:p w:rsidR="000A00D8" w:rsidRPr="00A36B9E" w:rsidRDefault="000A00D8" w:rsidP="000A00D8">
      <w:pPr>
        <w:autoSpaceDE w:val="0"/>
        <w:autoSpaceDN w:val="0"/>
        <w:adjustRightInd w:val="0"/>
        <w:rPr>
          <w:rStyle w:val="documentbody1"/>
          <w:lang w:val="en-US"/>
        </w:rPr>
      </w:pPr>
    </w:p>
    <w:p w:rsidR="000A00D8" w:rsidRPr="00A36B9E" w:rsidRDefault="000A00D8" w:rsidP="000A00D8">
      <w:pPr>
        <w:pStyle w:val="a6"/>
        <w:spacing w:before="240" w:after="240"/>
        <w:rPr>
          <w:rStyle w:val="documentbody1"/>
          <w:sz w:val="24"/>
          <w:szCs w:val="24"/>
        </w:rPr>
      </w:pPr>
      <w:r w:rsidRPr="00A36B9E">
        <w:rPr>
          <w:rStyle w:val="documentbody1"/>
          <w:sz w:val="24"/>
          <w:szCs w:val="24"/>
        </w:rPr>
        <w:t xml:space="preserve">                                                  </w:t>
      </w:r>
      <w:r w:rsidRPr="00A36B9E">
        <w:rPr>
          <w:rStyle w:val="documentbody1"/>
          <w:rFonts w:ascii="Times New Roman" w:hAnsi="Times New Roman"/>
          <w:sz w:val="24"/>
          <w:szCs w:val="24"/>
        </w:rPr>
        <w:t>NATIONAL CASES</w:t>
      </w:r>
    </w:p>
    <w:p w:rsidR="000A00D8" w:rsidRPr="00A36B9E" w:rsidRDefault="000A00D8" w:rsidP="000A00D8">
      <w:pPr>
        <w:pStyle w:val="a6"/>
        <w:numPr>
          <w:ilvl w:val="0"/>
          <w:numId w:val="8"/>
        </w:numPr>
        <w:spacing w:before="240" w:after="240"/>
        <w:ind w:left="0"/>
        <w:rPr>
          <w:rFonts w:eastAsia="Calibri"/>
          <w:bCs/>
          <w:iCs/>
          <w:sz w:val="24"/>
          <w:szCs w:val="24"/>
        </w:rPr>
      </w:pPr>
      <w:r w:rsidRPr="00A36B9E">
        <w:rPr>
          <w:rFonts w:eastAsia="Calibri"/>
          <w:bCs/>
          <w:iCs/>
          <w:sz w:val="24"/>
          <w:szCs w:val="24"/>
        </w:rPr>
        <w:t>Banco National de Cuba v. Sabbatino, 376 U.S. 398 (1964), United Nations Supreme Court.</w:t>
      </w:r>
      <w:r>
        <w:rPr>
          <w:rFonts w:eastAsia="Calibri"/>
          <w:bCs/>
          <w:iCs/>
          <w:sz w:val="24"/>
          <w:szCs w:val="24"/>
        </w:rPr>
        <w:t xml:space="preserve"> [</w:t>
      </w:r>
      <w:r w:rsidRPr="00A36B9E">
        <w:rPr>
          <w:rFonts w:eastAsia="Calibri"/>
          <w:bCs/>
          <w:iCs/>
          <w:sz w:val="24"/>
          <w:szCs w:val="24"/>
          <w:u w:val="single"/>
        </w:rPr>
        <w:t>sited as:</w:t>
      </w:r>
    </w:p>
    <w:p w:rsidR="000A00D8" w:rsidRPr="00A36B9E" w:rsidRDefault="000A00D8" w:rsidP="000A00D8">
      <w:pPr>
        <w:autoSpaceDE w:val="0"/>
        <w:autoSpaceDN w:val="0"/>
        <w:adjustRightInd w:val="0"/>
        <w:rPr>
          <w:lang w:val="en-US"/>
        </w:rPr>
      </w:pPr>
    </w:p>
    <w:p w:rsidR="00F33E82" w:rsidRDefault="000A00D8" w:rsidP="000A00D8">
      <w:pPr>
        <w:pStyle w:val="a6"/>
        <w:spacing w:before="240" w:after="240"/>
        <w:rPr>
          <w:b/>
          <w:bCs/>
          <w:sz w:val="24"/>
          <w:szCs w:val="24"/>
          <w:lang w:val="ru-RU" w:eastAsia="zh-CN"/>
        </w:rPr>
      </w:pPr>
      <w:r w:rsidRPr="00A36B9E">
        <w:rPr>
          <w:b/>
          <w:bCs/>
          <w:sz w:val="24"/>
          <w:szCs w:val="24"/>
          <w:lang w:eastAsia="zh-CN"/>
        </w:rPr>
        <w:t xml:space="preserve">                                               </w:t>
      </w:r>
    </w:p>
    <w:p w:rsidR="000A00D8" w:rsidRPr="00A36B9E" w:rsidRDefault="000A00D8" w:rsidP="000A00D8">
      <w:pPr>
        <w:pStyle w:val="a6"/>
        <w:spacing w:before="240" w:after="240"/>
        <w:rPr>
          <w:b/>
          <w:bCs/>
          <w:sz w:val="24"/>
          <w:szCs w:val="24"/>
          <w:lang w:eastAsia="zh-CN"/>
        </w:rPr>
      </w:pPr>
      <w:r w:rsidRPr="00A36B9E">
        <w:rPr>
          <w:b/>
          <w:bCs/>
          <w:sz w:val="24"/>
          <w:szCs w:val="24"/>
          <w:lang w:eastAsia="zh-CN"/>
        </w:rPr>
        <w:lastRenderedPageBreak/>
        <w:t>ADVISORY OPINIONS</w:t>
      </w:r>
    </w:p>
    <w:p w:rsidR="000A00D8" w:rsidRPr="00A36B9E" w:rsidRDefault="000A00D8" w:rsidP="000A00D8">
      <w:pPr>
        <w:pStyle w:val="a5"/>
        <w:numPr>
          <w:ilvl w:val="0"/>
          <w:numId w:val="7"/>
        </w:numPr>
        <w:autoSpaceDE w:val="0"/>
        <w:autoSpaceDN w:val="0"/>
        <w:adjustRightInd w:val="0"/>
        <w:ind w:left="0"/>
        <w:rPr>
          <w:lang w:val="en-US"/>
        </w:rPr>
      </w:pPr>
      <w:r w:rsidRPr="00A36B9E">
        <w:rPr>
          <w:lang w:val="en-US"/>
        </w:rPr>
        <w:t>Applicability of the Obligation to Arbitrate under Section 21 of the United Nations Headquarters Agreement of 26 June 1947, Advisory Opinion of April 26, 1988, 1988 ICJ 12. [</w:t>
      </w:r>
      <w:r w:rsidRPr="00A36B9E">
        <w:rPr>
          <w:u w:val="single"/>
          <w:lang w:val="en-US"/>
        </w:rPr>
        <w:t>cited as</w:t>
      </w:r>
      <w:r w:rsidRPr="00A36B9E">
        <w:rPr>
          <w:lang w:val="en-US"/>
        </w:rPr>
        <w:t xml:space="preserve">: Applicability of the Obligation to Arbitrate at p. </w:t>
      </w:r>
    </w:p>
    <w:p w:rsidR="000A00D8" w:rsidRPr="00A36B9E" w:rsidRDefault="000A00D8" w:rsidP="000A00D8">
      <w:pPr>
        <w:autoSpaceDE w:val="0"/>
        <w:autoSpaceDN w:val="0"/>
        <w:adjustRightInd w:val="0"/>
        <w:rPr>
          <w:lang w:val="en-US"/>
        </w:rPr>
      </w:pPr>
    </w:p>
    <w:p w:rsidR="000A00D8" w:rsidRPr="00A36B9E" w:rsidRDefault="000A00D8" w:rsidP="000A00D8">
      <w:pPr>
        <w:pStyle w:val="a5"/>
        <w:numPr>
          <w:ilvl w:val="0"/>
          <w:numId w:val="7"/>
        </w:numPr>
        <w:autoSpaceDE w:val="0"/>
        <w:autoSpaceDN w:val="0"/>
        <w:adjustRightInd w:val="0"/>
        <w:ind w:left="0"/>
        <w:rPr>
          <w:lang w:val="en-US"/>
        </w:rPr>
      </w:pPr>
      <w:r w:rsidRPr="00A36B9E">
        <w:rPr>
          <w:lang w:val="en-US"/>
        </w:rPr>
        <w:t xml:space="preserve">Western Sahara, Advisory Opinion </w:t>
      </w:r>
      <w:r w:rsidRPr="00A36B9E">
        <w:rPr>
          <w:shd w:val="clear" w:color="auto" w:fill="FFFFFF"/>
          <w:lang w:val="en-US"/>
        </w:rPr>
        <w:t>of 16 October 1975</w:t>
      </w:r>
      <w:r w:rsidRPr="00A36B9E">
        <w:rPr>
          <w:lang w:val="en-US"/>
        </w:rPr>
        <w:t xml:space="preserve">, </w:t>
      </w:r>
      <w:r w:rsidRPr="00A36B9E">
        <w:rPr>
          <w:shd w:val="clear" w:color="auto" w:fill="FFFFFF"/>
          <w:lang w:val="en-US"/>
        </w:rPr>
        <w:t>1975 ICJ 12</w:t>
      </w:r>
      <w:r w:rsidRPr="00A36B9E">
        <w:rPr>
          <w:lang w:val="en-US"/>
        </w:rPr>
        <w:t>. [</w:t>
      </w:r>
      <w:r w:rsidRPr="00A36B9E">
        <w:rPr>
          <w:u w:val="single"/>
          <w:lang w:val="en-US"/>
        </w:rPr>
        <w:t>cited as</w:t>
      </w:r>
      <w:r w:rsidRPr="00A36B9E">
        <w:rPr>
          <w:lang w:val="en-US"/>
        </w:rPr>
        <w:t>: Western Sahara at p.</w:t>
      </w:r>
    </w:p>
    <w:p w:rsidR="000A00D8" w:rsidRPr="00F67814" w:rsidRDefault="000A00D8" w:rsidP="000A00D8">
      <w:pPr>
        <w:autoSpaceDE w:val="0"/>
        <w:autoSpaceDN w:val="0"/>
        <w:adjustRightInd w:val="0"/>
        <w:rPr>
          <w:rStyle w:val="documentbody1"/>
          <w:rFonts w:ascii="Times New Roman" w:hAnsi="Times New Roman"/>
          <w:sz w:val="24"/>
          <w:szCs w:val="24"/>
          <w:lang w:val="en-US"/>
        </w:rPr>
      </w:pPr>
    </w:p>
    <w:p w:rsidR="000A00D8" w:rsidRPr="00F67814" w:rsidRDefault="000A00D8" w:rsidP="000A00D8">
      <w:pPr>
        <w:autoSpaceDE w:val="0"/>
        <w:autoSpaceDN w:val="0"/>
        <w:adjustRightInd w:val="0"/>
        <w:rPr>
          <w:rStyle w:val="documentbody1"/>
          <w:rFonts w:ascii="Times New Roman" w:hAnsi="Times New Roman"/>
          <w:sz w:val="24"/>
          <w:szCs w:val="24"/>
          <w:lang w:val="en-US"/>
        </w:rPr>
      </w:pPr>
    </w:p>
    <w:p w:rsidR="000A00D8" w:rsidRDefault="000A00D8" w:rsidP="000A00D8">
      <w:pPr>
        <w:autoSpaceDE w:val="0"/>
        <w:autoSpaceDN w:val="0"/>
        <w:adjustRightInd w:val="0"/>
        <w:rPr>
          <w:b/>
          <w:bCs/>
          <w:lang w:val="en-US"/>
        </w:rPr>
      </w:pPr>
      <w:r w:rsidRPr="00F67814">
        <w:rPr>
          <w:b/>
          <w:bCs/>
          <w:lang w:val="en-US"/>
        </w:rPr>
        <w:t xml:space="preserve">                                         AUTHORS AND PUBLICATIONS         </w:t>
      </w:r>
    </w:p>
    <w:p w:rsidR="000A00D8" w:rsidRPr="00CF2907" w:rsidRDefault="000A00D8" w:rsidP="000A00D8">
      <w:pPr>
        <w:autoSpaceDE w:val="0"/>
        <w:autoSpaceDN w:val="0"/>
        <w:adjustRightInd w:val="0"/>
        <w:rPr>
          <w:b/>
          <w:bCs/>
          <w:lang w:val="en-US"/>
        </w:rPr>
      </w:pPr>
    </w:p>
    <w:p w:rsidR="000A00D8" w:rsidRPr="00CF2907" w:rsidRDefault="000A00D8" w:rsidP="000A00D8">
      <w:pPr>
        <w:autoSpaceDE w:val="0"/>
        <w:autoSpaceDN w:val="0"/>
        <w:adjustRightInd w:val="0"/>
        <w:spacing w:after="100" w:afterAutospacing="1"/>
        <w:rPr>
          <w:lang w:val="en-US"/>
        </w:rPr>
      </w:pPr>
      <w:r w:rsidRPr="00CF2907">
        <w:rPr>
          <w:lang w:val="en-US"/>
        </w:rPr>
        <w:t xml:space="preserve">1. Brownlie, </w:t>
      </w:r>
      <w:r w:rsidRPr="00CF2907">
        <w:rPr>
          <w:rFonts w:eastAsia="Calibri"/>
        </w:rPr>
        <w:t>Principles of Public International Law</w:t>
      </w:r>
      <w:r w:rsidRPr="00CF2907">
        <w:t>,</w:t>
      </w:r>
      <w:r w:rsidRPr="00CF2907">
        <w:rPr>
          <w:lang w:val="en-US"/>
        </w:rPr>
        <w:t xml:space="preserve"> 1990 [cited as:</w:t>
      </w:r>
    </w:p>
    <w:p w:rsidR="000A00D8" w:rsidRPr="00CF2907" w:rsidRDefault="000A00D8" w:rsidP="000A00D8">
      <w:pPr>
        <w:autoSpaceDE w:val="0"/>
        <w:autoSpaceDN w:val="0"/>
        <w:adjustRightInd w:val="0"/>
        <w:spacing w:after="100" w:afterAutospacing="1"/>
        <w:rPr>
          <w:color w:val="333333"/>
          <w:lang w:val="en-US"/>
        </w:rPr>
      </w:pPr>
      <w:r w:rsidRPr="00CF2907">
        <w:rPr>
          <w:lang w:val="en-US"/>
        </w:rPr>
        <w:t xml:space="preserve">2. </w:t>
      </w:r>
      <w:r w:rsidRPr="00CF2907">
        <w:rPr>
          <w:color w:val="333333"/>
          <w:lang w:val="en-US"/>
        </w:rPr>
        <w:t xml:space="preserve"> Brownlie, Principles of Public International Law (5th edn, 1998), p.34.[ sited as:</w:t>
      </w:r>
    </w:p>
    <w:p w:rsidR="000A00D8" w:rsidRPr="00CF2907" w:rsidRDefault="000A00D8" w:rsidP="000A00D8">
      <w:pPr>
        <w:autoSpaceDE w:val="0"/>
        <w:autoSpaceDN w:val="0"/>
        <w:adjustRightInd w:val="0"/>
        <w:spacing w:after="100" w:afterAutospacing="1"/>
        <w:rPr>
          <w:iCs/>
          <w:lang w:val="en-US"/>
        </w:rPr>
      </w:pPr>
      <w:r w:rsidRPr="00CF2907">
        <w:rPr>
          <w:lang w:val="en-US"/>
        </w:rPr>
        <w:t xml:space="preserve">3. Dolzer and Stevens, “Bilateral Investment Treaties”, </w:t>
      </w:r>
      <w:r w:rsidRPr="00CF2907">
        <w:rPr>
          <w:iCs/>
          <w:lang w:val="en-US"/>
        </w:rPr>
        <w:t>ICSID 1995 at 98. op. cit.</w:t>
      </w:r>
      <w:r w:rsidRPr="00CF2907">
        <w:rPr>
          <w:lang w:val="en-US"/>
        </w:rPr>
        <w:t xml:space="preserve"> </w:t>
      </w:r>
      <w:r w:rsidRPr="00CF2907">
        <w:rPr>
          <w:iCs/>
          <w:lang w:val="en-US"/>
        </w:rPr>
        <w:t>n. 5</w:t>
      </w:r>
    </w:p>
    <w:p w:rsidR="000A00D8" w:rsidRPr="00CF2907" w:rsidRDefault="000A00D8" w:rsidP="000A00D8">
      <w:pPr>
        <w:autoSpaceDE w:val="0"/>
        <w:autoSpaceDN w:val="0"/>
        <w:adjustRightInd w:val="0"/>
        <w:spacing w:after="100" w:afterAutospacing="1"/>
        <w:rPr>
          <w:rFonts w:eastAsia="Calibri"/>
          <w:lang w:val="en-US"/>
        </w:rPr>
      </w:pPr>
      <w:r w:rsidRPr="00CF2907">
        <w:rPr>
          <w:rFonts w:eastAsia="Calibri"/>
          <w:lang w:val="en-US"/>
        </w:rPr>
        <w:t xml:space="preserve">4.  Dolzer, “Indirect Expropriation of Alien Property”, </w:t>
      </w:r>
      <w:r w:rsidRPr="00CF2907">
        <w:rPr>
          <w:rFonts w:eastAsia="Calibri"/>
          <w:iCs/>
          <w:lang w:val="en-US"/>
        </w:rPr>
        <w:t>ICSID Review, Foreign Investment Law Journal, (1986) pp. 41-59 at 44.</w:t>
      </w:r>
    </w:p>
    <w:p w:rsidR="00F33E82" w:rsidRPr="00F33E82" w:rsidRDefault="000A00D8" w:rsidP="00F33E82">
      <w:pPr>
        <w:spacing w:after="100" w:afterAutospacing="1" w:line="480" w:lineRule="auto"/>
        <w:rPr>
          <w:lang w:val="en-US"/>
        </w:rPr>
      </w:pPr>
      <w:r w:rsidRPr="00CF2907">
        <w:rPr>
          <w:lang w:val="en-US"/>
        </w:rPr>
        <w:t xml:space="preserve">5. Domke, </w:t>
      </w:r>
      <w:r w:rsidRPr="00CF2907">
        <w:rPr>
          <w:rFonts w:eastAsia="Calibri"/>
          <w:lang w:val="en-US"/>
        </w:rPr>
        <w:t xml:space="preserve">Foreign nationalization, some aspects of contemporary international law//AJIL, </w:t>
      </w:r>
      <w:r w:rsidRPr="00CF2907">
        <w:rPr>
          <w:lang w:val="en-US"/>
        </w:rPr>
        <w:t>1961 [sited as:</w:t>
      </w:r>
    </w:p>
    <w:p w:rsidR="000A00D8" w:rsidRPr="00CF2907" w:rsidRDefault="000A00D8" w:rsidP="00F33E82">
      <w:pPr>
        <w:spacing w:after="100" w:afterAutospacing="1" w:line="480" w:lineRule="auto"/>
      </w:pPr>
      <w:r w:rsidRPr="00CF2907">
        <w:t xml:space="preserve">6. Fitzmaurice, The Law and Procedure of the International Court of Justice </w:t>
      </w:r>
      <w:r w:rsidRPr="00CF2907">
        <w:rPr>
          <w:iCs/>
        </w:rPr>
        <w:t>(1986)</w:t>
      </w:r>
      <w:r w:rsidRPr="00CF2907">
        <w:t>, vol. I, p. 183, vol. II, p. 609.[sited as:</w:t>
      </w:r>
    </w:p>
    <w:p w:rsidR="00CF2907" w:rsidRPr="00CF2907" w:rsidRDefault="000A00D8" w:rsidP="00CF2907">
      <w:pPr>
        <w:pStyle w:val="a6"/>
        <w:spacing w:after="100" w:afterAutospacing="1"/>
        <w:rPr>
          <w:sz w:val="24"/>
          <w:szCs w:val="24"/>
        </w:rPr>
      </w:pPr>
      <w:r w:rsidRPr="00CF2907">
        <w:rPr>
          <w:sz w:val="24"/>
          <w:szCs w:val="24"/>
        </w:rPr>
        <w:t>7. F. V García Amador,Louis B. Sohn,’ Recent codification of the law of State responsibility for injuries to aliens’, p.13[sited as:</w:t>
      </w:r>
    </w:p>
    <w:p w:rsidR="000A00D8" w:rsidRPr="00CF2907" w:rsidRDefault="00CF2907" w:rsidP="00CF2907">
      <w:pPr>
        <w:pStyle w:val="a6"/>
        <w:spacing w:after="100" w:afterAutospacing="1"/>
        <w:rPr>
          <w:sz w:val="24"/>
          <w:szCs w:val="24"/>
        </w:rPr>
      </w:pPr>
      <w:r w:rsidRPr="00CF2907">
        <w:rPr>
          <w:sz w:val="24"/>
          <w:szCs w:val="24"/>
        </w:rPr>
        <w:t xml:space="preserve">8. </w:t>
      </w:r>
      <w:r w:rsidR="000A00D8" w:rsidRPr="00CF2907">
        <w:rPr>
          <w:sz w:val="24"/>
          <w:szCs w:val="24"/>
        </w:rPr>
        <w:t xml:space="preserve">Jennings, Watts, Oppenheim's International Law </w:t>
      </w:r>
      <w:r w:rsidR="000A00D8" w:rsidRPr="00CF2907">
        <w:rPr>
          <w:iCs/>
          <w:sz w:val="24"/>
          <w:szCs w:val="24"/>
        </w:rPr>
        <w:t>(1992)</w:t>
      </w:r>
      <w:r w:rsidR="000A00D8" w:rsidRPr="00CF2907">
        <w:rPr>
          <w:sz w:val="24"/>
          <w:szCs w:val="24"/>
        </w:rPr>
        <w:t>, p. 38</w:t>
      </w:r>
    </w:p>
    <w:p w:rsidR="000A00D8" w:rsidRPr="00CF2907" w:rsidRDefault="00CF2907" w:rsidP="000A00D8">
      <w:pPr>
        <w:pStyle w:val="a6"/>
        <w:spacing w:after="240"/>
        <w:rPr>
          <w:sz w:val="24"/>
          <w:szCs w:val="24"/>
        </w:rPr>
      </w:pPr>
      <w:r w:rsidRPr="00CF2907">
        <w:rPr>
          <w:rStyle w:val="documentbody1"/>
          <w:rFonts w:ascii="Times New Roman" w:hAnsi="Times New Roman"/>
          <w:sz w:val="24"/>
        </w:rPr>
        <w:t xml:space="preserve">9. </w:t>
      </w:r>
      <w:r w:rsidR="000A00D8" w:rsidRPr="00CF2907">
        <w:rPr>
          <w:rStyle w:val="documentbody1"/>
          <w:rFonts w:ascii="Times New Roman" w:hAnsi="Times New Roman"/>
          <w:sz w:val="24"/>
        </w:rPr>
        <w:t>Maffezini v. Kingdom of Spain, 16(1) ICSID REV. FOREIGN INVESTMENT L.J. 248 (2000) (ICSID Case No. ARB/97/7--Argentina/Spain BIT 1997).</w:t>
      </w:r>
    </w:p>
    <w:p w:rsidR="00CF2907" w:rsidRPr="00CF2907" w:rsidRDefault="00CF2907" w:rsidP="00CF2907">
      <w:pPr>
        <w:autoSpaceDE w:val="0"/>
        <w:autoSpaceDN w:val="0"/>
        <w:adjustRightInd w:val="0"/>
        <w:spacing w:after="240"/>
        <w:rPr>
          <w:rFonts w:eastAsia="Calibri" w:cs="TimesNewRomanPS"/>
          <w:lang w:val="en-US"/>
        </w:rPr>
      </w:pPr>
      <w:r w:rsidRPr="00CF2907">
        <w:rPr>
          <w:rFonts w:eastAsia="Calibri" w:cs="TimesNewRomanPS-ItalicMT"/>
          <w:iCs/>
          <w:lang w:val="en-US"/>
        </w:rPr>
        <w:t xml:space="preserve">10. </w:t>
      </w:r>
      <w:r w:rsidR="000A00D8" w:rsidRPr="00CF2907">
        <w:rPr>
          <w:rFonts w:eastAsia="Calibri" w:cs="TimesNewRomanPS-ItalicMT"/>
          <w:iCs/>
          <w:lang w:val="en-US"/>
        </w:rPr>
        <w:t>Military and Paramilitary Activities in and against Nicaragua</w:t>
      </w:r>
      <w:r w:rsidR="000A00D8" w:rsidRPr="00CF2907">
        <w:rPr>
          <w:rFonts w:eastAsia="Calibri" w:cs="TimesNewRomanPS"/>
          <w:lang w:val="en-US"/>
        </w:rPr>
        <w:t>, p. 64, para. 115, and p. 98, para. 186, respectively.</w:t>
      </w:r>
    </w:p>
    <w:p w:rsidR="00CF2907" w:rsidRPr="00CF2907" w:rsidRDefault="00CF2907" w:rsidP="00CF2907">
      <w:pPr>
        <w:autoSpaceDE w:val="0"/>
        <w:autoSpaceDN w:val="0"/>
        <w:adjustRightInd w:val="0"/>
        <w:spacing w:after="240"/>
        <w:rPr>
          <w:lang w:val="en-US"/>
        </w:rPr>
      </w:pPr>
      <w:r w:rsidRPr="00CF2907">
        <w:rPr>
          <w:rFonts w:eastAsia="Calibri" w:cs="TimesNewRomanPS"/>
          <w:lang w:val="en-US"/>
        </w:rPr>
        <w:t>11.</w:t>
      </w:r>
      <w:r w:rsidR="000A00D8" w:rsidRPr="00CF2907">
        <w:rPr>
          <w:lang w:val="en-US"/>
        </w:rPr>
        <w:t>Sornarajah M.. The international law on foreign investment ,</w:t>
      </w:r>
      <w:r w:rsidR="000A00D8" w:rsidRPr="00CF2907">
        <w:rPr>
          <w:iCs/>
          <w:lang w:val="uk-UA" w:eastAsia="uk-UA"/>
        </w:rPr>
        <w:t xml:space="preserve"> Cambridge University Press.</w:t>
      </w:r>
      <w:r w:rsidR="000A00D8" w:rsidRPr="00CF2907">
        <w:rPr>
          <w:lang w:val="en-US"/>
        </w:rPr>
        <w:t xml:space="preserve">  p.135</w:t>
      </w:r>
    </w:p>
    <w:p w:rsidR="000A00D8" w:rsidRPr="00CF2907" w:rsidRDefault="00CF2907" w:rsidP="00CF2907">
      <w:pPr>
        <w:autoSpaceDE w:val="0"/>
        <w:autoSpaceDN w:val="0"/>
        <w:adjustRightInd w:val="0"/>
        <w:spacing w:after="240"/>
        <w:rPr>
          <w:lang w:val="en-US"/>
        </w:rPr>
      </w:pPr>
      <w:r w:rsidRPr="00CF2907">
        <w:rPr>
          <w:lang w:val="en-US"/>
        </w:rPr>
        <w:t xml:space="preserve">12. </w:t>
      </w:r>
      <w:r w:rsidR="000A00D8" w:rsidRPr="00CF2907">
        <w:rPr>
          <w:lang w:val="en-US"/>
        </w:rPr>
        <w:t xml:space="preserve">Thirlway, </w:t>
      </w:r>
      <w:r w:rsidR="000A00D8" w:rsidRPr="00CF2907">
        <w:rPr>
          <w:iCs/>
          <w:lang w:val="en-US"/>
        </w:rPr>
        <w:t>The Law and Procedure of the International Court of Justice</w:t>
      </w:r>
      <w:r w:rsidR="000A00D8" w:rsidRPr="00CF2907">
        <w:rPr>
          <w:lang w:val="en-US"/>
        </w:rPr>
        <w:t>, p. 7;</w:t>
      </w:r>
    </w:p>
    <w:p w:rsidR="000A00D8" w:rsidRPr="00CF2907" w:rsidRDefault="00CF2907" w:rsidP="000A00D8">
      <w:pPr>
        <w:pStyle w:val="a6"/>
        <w:spacing w:after="240"/>
        <w:rPr>
          <w:sz w:val="24"/>
          <w:szCs w:val="24"/>
        </w:rPr>
      </w:pPr>
      <w:r w:rsidRPr="00CF2907">
        <w:rPr>
          <w:rStyle w:val="documentbody1"/>
          <w:rFonts w:ascii="Times New Roman" w:hAnsi="Times New Roman"/>
          <w:sz w:val="24"/>
        </w:rPr>
        <w:t>12.</w:t>
      </w:r>
      <w:r w:rsidR="000A00D8" w:rsidRPr="00CF2907">
        <w:rPr>
          <w:rStyle w:val="documentbody1"/>
          <w:rFonts w:ascii="Times New Roman" w:hAnsi="Times New Roman"/>
          <w:sz w:val="24"/>
        </w:rPr>
        <w:t>Vaughan Lowe, 'Regulation or Expropriation', Lecture Delivered at the University College of London (2003).</w:t>
      </w:r>
    </w:p>
    <w:p w:rsidR="00CF2907" w:rsidRPr="00CF2907" w:rsidRDefault="00CF2907" w:rsidP="00CF2907">
      <w:pPr>
        <w:autoSpaceDE w:val="0"/>
        <w:autoSpaceDN w:val="0"/>
        <w:adjustRightInd w:val="0"/>
        <w:spacing w:after="240"/>
        <w:rPr>
          <w:rFonts w:eastAsia="Calibri"/>
          <w:lang w:val="en-US"/>
        </w:rPr>
      </w:pPr>
      <w:r w:rsidRPr="00CF2907">
        <w:rPr>
          <w:rFonts w:eastAsia="Calibri"/>
          <w:lang w:val="en-US"/>
        </w:rPr>
        <w:t>14.</w:t>
      </w:r>
      <w:r w:rsidR="000A00D8" w:rsidRPr="00CF2907">
        <w:rPr>
          <w:rFonts w:eastAsia="Calibri"/>
          <w:lang w:val="en-US"/>
        </w:rPr>
        <w:t xml:space="preserve">Weston B. “‘Constructive Takings’ under International Law: A Modest Foray into the Problem of ‘Creeping Expropriation’”, </w:t>
      </w:r>
      <w:r w:rsidR="000A00D8" w:rsidRPr="00CF2907">
        <w:rPr>
          <w:rFonts w:eastAsia="Calibri"/>
          <w:iCs/>
          <w:lang w:val="en-US"/>
        </w:rPr>
        <w:t>Virginia  Journal of International Law, 1975, Volume 16, pp. 103-175 at 112</w:t>
      </w:r>
      <w:r w:rsidR="000A00D8" w:rsidRPr="00CF2907">
        <w:rPr>
          <w:rFonts w:eastAsia="Calibri"/>
          <w:lang w:val="en-US"/>
        </w:rPr>
        <w:t>.</w:t>
      </w:r>
    </w:p>
    <w:p w:rsidR="000A00D8" w:rsidRPr="00CF2907" w:rsidRDefault="00CF2907" w:rsidP="00CF2907">
      <w:pPr>
        <w:autoSpaceDE w:val="0"/>
        <w:autoSpaceDN w:val="0"/>
        <w:adjustRightInd w:val="0"/>
        <w:spacing w:after="240"/>
        <w:rPr>
          <w:lang w:val="en-US"/>
        </w:rPr>
      </w:pPr>
      <w:r w:rsidRPr="00CF2907">
        <w:rPr>
          <w:rFonts w:eastAsia="Calibri"/>
          <w:lang w:val="en-US"/>
        </w:rPr>
        <w:lastRenderedPageBreak/>
        <w:t xml:space="preserve">15. </w:t>
      </w:r>
      <w:r w:rsidR="000A00D8" w:rsidRPr="00CF2907">
        <w:rPr>
          <w:lang w:val="en-US"/>
        </w:rPr>
        <w:t xml:space="preserve">Zoller, Bonne Foi en Droit International Public </w:t>
      </w:r>
      <w:r w:rsidR="000A00D8" w:rsidRPr="00CF2907">
        <w:rPr>
          <w:iCs/>
          <w:lang w:val="en-US"/>
        </w:rPr>
        <w:t>(1977)</w:t>
      </w:r>
      <w:r w:rsidR="000A00D8" w:rsidRPr="00CF2907">
        <w:rPr>
          <w:lang w:val="en-US"/>
        </w:rPr>
        <w:t>;</w:t>
      </w:r>
    </w:p>
    <w:p w:rsidR="000A00D8" w:rsidRPr="00CF2907" w:rsidRDefault="000A00D8" w:rsidP="000A00D8">
      <w:pPr>
        <w:spacing w:line="480" w:lineRule="auto"/>
        <w:ind w:firstLine="348"/>
        <w:rPr>
          <w:iCs/>
          <w:lang w:val="en-US"/>
        </w:rPr>
      </w:pPr>
    </w:p>
    <w:p w:rsidR="00CF2907" w:rsidRPr="00CF2907" w:rsidRDefault="00CF2907" w:rsidP="00CF2907">
      <w:pPr>
        <w:pStyle w:val="a6"/>
        <w:spacing w:after="100" w:afterAutospacing="1"/>
        <w:rPr>
          <w:sz w:val="24"/>
          <w:szCs w:val="24"/>
        </w:rPr>
      </w:pPr>
      <w:r w:rsidRPr="00CF2907">
        <w:rPr>
          <w:sz w:val="24"/>
          <w:szCs w:val="24"/>
        </w:rPr>
        <w:t xml:space="preserve">16. </w:t>
      </w:r>
      <w:r w:rsidR="000A00D8" w:rsidRPr="00CF2907">
        <w:rPr>
          <w:sz w:val="24"/>
          <w:szCs w:val="24"/>
        </w:rPr>
        <w:t>“Indirect expropriation” and the “Right to regulate” in International investment law” OECD Peport, No 2004/4,  p.9</w:t>
      </w:r>
    </w:p>
    <w:p w:rsidR="000A00D8" w:rsidRPr="00CF2907" w:rsidRDefault="00CF2907" w:rsidP="00CF2907">
      <w:pPr>
        <w:pStyle w:val="a6"/>
        <w:spacing w:after="100" w:afterAutospacing="1"/>
        <w:rPr>
          <w:sz w:val="24"/>
          <w:szCs w:val="24"/>
        </w:rPr>
      </w:pPr>
      <w:r w:rsidRPr="00CF2907">
        <w:rPr>
          <w:sz w:val="24"/>
          <w:szCs w:val="24"/>
        </w:rPr>
        <w:t xml:space="preserve">17. </w:t>
      </w:r>
      <w:r w:rsidR="000A00D8" w:rsidRPr="00CF2907">
        <w:rPr>
          <w:sz w:val="24"/>
          <w:szCs w:val="24"/>
        </w:rPr>
        <w:t>Publications of the Permanent Court of International Justice, Series A, No 7, pp.30-37.</w:t>
      </w:r>
    </w:p>
    <w:p w:rsidR="000A00D8" w:rsidRDefault="000A00D8"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Pr="00112E83" w:rsidRDefault="00CF2907" w:rsidP="00CF2907">
      <w:pPr>
        <w:spacing w:line="360" w:lineRule="auto"/>
        <w:ind w:firstLine="720"/>
        <w:rPr>
          <w:b/>
          <w:sz w:val="28"/>
          <w:szCs w:val="28"/>
          <w:lang w:val="en-US"/>
        </w:rPr>
      </w:pPr>
      <w:r w:rsidRPr="00112E83">
        <w:rPr>
          <w:b/>
          <w:sz w:val="28"/>
          <w:szCs w:val="28"/>
          <w:lang w:val="en-US"/>
        </w:rPr>
        <w:t>STATEMENT OF JURISDICTION</w:t>
      </w:r>
    </w:p>
    <w:p w:rsidR="00CF2907" w:rsidRPr="00187CE4" w:rsidRDefault="00CF2907" w:rsidP="00CF2907">
      <w:pPr>
        <w:autoSpaceDE w:val="0"/>
        <w:autoSpaceDN w:val="0"/>
        <w:adjustRightInd w:val="0"/>
        <w:spacing w:line="480" w:lineRule="auto"/>
        <w:ind w:firstLine="720"/>
        <w:rPr>
          <w:szCs w:val="28"/>
          <w:lang w:val="en-US"/>
        </w:rPr>
      </w:pPr>
      <w:r w:rsidRPr="00187CE4">
        <w:rPr>
          <w:szCs w:val="28"/>
          <w:lang w:val="en-US"/>
        </w:rPr>
        <w:t xml:space="preserve">The Kingdom of Rydal and the Republic of Aspatria, submit the </w:t>
      </w:r>
      <w:r>
        <w:rPr>
          <w:szCs w:val="28"/>
          <w:lang w:val="en-US"/>
        </w:rPr>
        <w:t xml:space="preserve">questions and the matter of the dispute </w:t>
      </w:r>
      <w:r w:rsidRPr="00187CE4">
        <w:rPr>
          <w:szCs w:val="28"/>
          <w:lang w:val="en-US"/>
        </w:rPr>
        <w:t xml:space="preserve">by </w:t>
      </w:r>
      <w:r>
        <w:rPr>
          <w:szCs w:val="28"/>
          <w:lang w:val="en-US"/>
        </w:rPr>
        <w:t>S</w:t>
      </w:r>
      <w:r w:rsidRPr="00187CE4">
        <w:rPr>
          <w:szCs w:val="28"/>
          <w:lang w:val="en-US"/>
        </w:rPr>
        <w:t xml:space="preserve">pecial </w:t>
      </w:r>
      <w:r>
        <w:rPr>
          <w:szCs w:val="28"/>
          <w:lang w:val="en-US"/>
        </w:rPr>
        <w:t>A</w:t>
      </w:r>
      <w:r w:rsidRPr="00187CE4">
        <w:rPr>
          <w:szCs w:val="28"/>
          <w:lang w:val="en-US"/>
        </w:rPr>
        <w:t>greement</w:t>
      </w:r>
      <w:r>
        <w:rPr>
          <w:szCs w:val="28"/>
          <w:lang w:val="en-US"/>
        </w:rPr>
        <w:t xml:space="preserve"> </w:t>
      </w:r>
      <w:r w:rsidRPr="00B7681D">
        <w:rPr>
          <w:lang w:val="en-US"/>
        </w:rPr>
        <w:t>to the International Court of</w:t>
      </w:r>
      <w:r>
        <w:rPr>
          <w:lang w:val="en-US"/>
        </w:rPr>
        <w:t xml:space="preserve"> </w:t>
      </w:r>
      <w:r w:rsidRPr="00B7681D">
        <w:rPr>
          <w:lang w:val="en-US"/>
        </w:rPr>
        <w:t xml:space="preserve">Justice pursuant to article 40(1) of the Statute of the Court. </w:t>
      </w:r>
      <w:r w:rsidRPr="00187CE4">
        <w:rPr>
          <w:szCs w:val="28"/>
          <w:lang w:val="en-US"/>
        </w:rPr>
        <w:t xml:space="preserve">“The Parties” in accordance with article 36 (1) of the Statute of International Court of Justice recognize the jurisdiction of the Court, </w:t>
      </w:r>
      <w:r>
        <w:rPr>
          <w:szCs w:val="28"/>
          <w:lang w:val="en-US"/>
        </w:rPr>
        <w:t>w</w:t>
      </w:r>
      <w:r w:rsidRPr="00187CE4">
        <w:rPr>
          <w:szCs w:val="28"/>
          <w:lang w:val="en-US"/>
        </w:rPr>
        <w:t xml:space="preserve">hich comprises all cases which the parties refer to it. </w:t>
      </w: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CF2907">
      <w:pPr>
        <w:spacing w:line="480" w:lineRule="auto"/>
        <w:jc w:val="center"/>
        <w:rPr>
          <w:b/>
          <w:lang w:val="en-US"/>
        </w:rPr>
      </w:pPr>
      <w:r>
        <w:rPr>
          <w:b/>
        </w:rPr>
        <w:t>QUESTIONS PRESENTED</w:t>
      </w:r>
    </w:p>
    <w:p w:rsidR="00CF2907" w:rsidRPr="005A2946" w:rsidRDefault="00CF2907" w:rsidP="00CF2907">
      <w:pPr>
        <w:pStyle w:val="a5"/>
        <w:numPr>
          <w:ilvl w:val="0"/>
          <w:numId w:val="10"/>
        </w:numPr>
        <w:spacing w:before="120" w:after="240" w:line="480" w:lineRule="auto"/>
        <w:ind w:left="1077" w:hanging="720"/>
      </w:pPr>
      <w:r>
        <w:t xml:space="preserve">Whether the occupation </w:t>
      </w:r>
      <w:r w:rsidRPr="005A2946">
        <w:t>of the island</w:t>
      </w:r>
      <w:r>
        <w:rPr>
          <w:lang w:val="en-US"/>
        </w:rPr>
        <w:t xml:space="preserve">s </w:t>
      </w:r>
      <w:r w:rsidRPr="005A2946">
        <w:t xml:space="preserve">completed at the time of its </w:t>
      </w:r>
      <w:r>
        <w:t>first discovering  by C</w:t>
      </w:r>
      <w:r w:rsidRPr="005A2946">
        <w:t>aptain</w:t>
      </w:r>
      <w:r>
        <w:t xml:space="preserve"> Geoffrey Parrish</w:t>
      </w:r>
      <w:r>
        <w:rPr>
          <w:lang w:val="uk-UA"/>
        </w:rPr>
        <w:t>?</w:t>
      </w:r>
    </w:p>
    <w:p w:rsidR="00CF2907" w:rsidRDefault="00CF2907" w:rsidP="00CF2907">
      <w:pPr>
        <w:pStyle w:val="a5"/>
        <w:numPr>
          <w:ilvl w:val="0"/>
          <w:numId w:val="10"/>
        </w:numPr>
        <w:spacing w:before="120" w:after="240" w:line="480" w:lineRule="auto"/>
        <w:ind w:left="1077" w:hanging="720"/>
      </w:pPr>
      <w:r>
        <w:t xml:space="preserve">Is the </w:t>
      </w:r>
      <w:r w:rsidRPr="0064396C">
        <w:t>Lieutenant Ricoy</w:t>
      </w:r>
      <w:r>
        <w:t xml:space="preserve"> occupied the Islands illegal</w:t>
      </w:r>
      <w:r w:rsidRPr="005A2946">
        <w:rPr>
          <w:lang w:val="en-US"/>
        </w:rPr>
        <w:t>?</w:t>
      </w:r>
      <w:r>
        <w:t xml:space="preserve"> </w:t>
      </w:r>
    </w:p>
    <w:p w:rsidR="00CF2907" w:rsidRDefault="00CF2907" w:rsidP="00CF2907">
      <w:pPr>
        <w:pStyle w:val="a5"/>
        <w:numPr>
          <w:ilvl w:val="0"/>
          <w:numId w:val="10"/>
        </w:numPr>
        <w:spacing w:before="120" w:after="240" w:line="480" w:lineRule="auto"/>
        <w:ind w:left="1077" w:hanging="720"/>
      </w:pPr>
      <w:r>
        <w:t>Can we recognize the actions of Rydal  and legal ties between it and islands territory as the effective possession?</w:t>
      </w:r>
    </w:p>
    <w:p w:rsidR="00CF2907" w:rsidRPr="00A26EAD" w:rsidRDefault="00CF2907" w:rsidP="00CF2907">
      <w:pPr>
        <w:pStyle w:val="a5"/>
        <w:numPr>
          <w:ilvl w:val="0"/>
          <w:numId w:val="10"/>
        </w:numPr>
        <w:spacing w:before="120" w:after="240" w:line="480" w:lineRule="auto"/>
        <w:ind w:left="1077" w:hanging="720"/>
      </w:pPr>
      <w:r>
        <w:t>Whether the actions of peaceful and continuous display of the kingdom of Rydal under the Islands can be recognized as manifestation of the state sovereignty</w:t>
      </w:r>
      <w:r>
        <w:rPr>
          <w:lang w:val="uk-UA"/>
        </w:rPr>
        <w:t>?</w:t>
      </w:r>
    </w:p>
    <w:p w:rsidR="00CF2907" w:rsidRPr="00504E8D" w:rsidRDefault="00CF2907" w:rsidP="00CF2907">
      <w:pPr>
        <w:pStyle w:val="a5"/>
        <w:numPr>
          <w:ilvl w:val="0"/>
          <w:numId w:val="10"/>
        </w:numPr>
        <w:spacing w:before="120" w:after="240" w:line="480" w:lineRule="auto"/>
        <w:ind w:left="1077" w:hanging="720"/>
      </w:pPr>
      <w:r>
        <w:t>Whether the Islanders the right of self-determination under the established principles of international law</w:t>
      </w:r>
      <w:r>
        <w:rPr>
          <w:lang w:val="uk-UA"/>
        </w:rPr>
        <w:t>?</w:t>
      </w:r>
    </w:p>
    <w:p w:rsidR="00CF2907" w:rsidRPr="00F621A8" w:rsidRDefault="00CF2907" w:rsidP="00CF2907">
      <w:pPr>
        <w:pStyle w:val="a5"/>
        <w:numPr>
          <w:ilvl w:val="0"/>
          <w:numId w:val="10"/>
        </w:numPr>
        <w:spacing w:before="120" w:after="240" w:line="480" w:lineRule="auto"/>
        <w:ind w:left="1077" w:hanging="720"/>
      </w:pPr>
      <w:r>
        <w:rPr>
          <w:lang w:val="en-US"/>
        </w:rPr>
        <w:t>Whether the plebiscite which was conducted upon Rydal to the Islanders can be recognized as   their will to full independence?</w:t>
      </w:r>
    </w:p>
    <w:p w:rsidR="00CF2907" w:rsidRPr="003B3A9E" w:rsidRDefault="00CF2907" w:rsidP="00CF2907">
      <w:pPr>
        <w:pStyle w:val="a5"/>
        <w:numPr>
          <w:ilvl w:val="0"/>
          <w:numId w:val="10"/>
        </w:numPr>
        <w:spacing w:before="120" w:after="240" w:line="480" w:lineRule="auto"/>
        <w:ind w:left="1077" w:hanging="720"/>
      </w:pPr>
      <w:r>
        <w:t>Whether the kingdom of Rydal has the right to dispose the natural resources of the Islands on the base of permanent sovereignty</w:t>
      </w:r>
      <w:r>
        <w:rPr>
          <w:lang w:val="uk-UA"/>
        </w:rPr>
        <w:t>?</w:t>
      </w:r>
    </w:p>
    <w:p w:rsidR="00CF2907" w:rsidRPr="00517ECB" w:rsidRDefault="00CF2907" w:rsidP="00CF2907">
      <w:pPr>
        <w:pStyle w:val="a5"/>
        <w:numPr>
          <w:ilvl w:val="0"/>
          <w:numId w:val="10"/>
        </w:numPr>
        <w:spacing w:before="120" w:after="240" w:line="480" w:lineRule="auto"/>
        <w:ind w:left="1077" w:hanging="720"/>
      </w:pPr>
      <w:r>
        <w:rPr>
          <w:lang w:val="en-US"/>
        </w:rPr>
        <w:t xml:space="preserve">Was the rejection of the MDR bid </w:t>
      </w:r>
      <w:r>
        <w:t>in the interest of the national development and of well-being of Islanders</w:t>
      </w:r>
      <w:r>
        <w:rPr>
          <w:lang w:val="uk-UA"/>
        </w:rPr>
        <w:t>?</w:t>
      </w:r>
    </w:p>
    <w:p w:rsidR="00CF2907" w:rsidRDefault="00CF2907" w:rsidP="00CF2907">
      <w:pPr>
        <w:pStyle w:val="a5"/>
        <w:numPr>
          <w:ilvl w:val="0"/>
          <w:numId w:val="10"/>
        </w:numPr>
        <w:spacing w:before="120" w:after="240" w:line="480" w:lineRule="auto"/>
        <w:ind w:left="1077" w:hanging="720"/>
      </w:pPr>
      <w:r w:rsidRPr="00517ECB">
        <w:rPr>
          <w:lang w:val="en-US"/>
        </w:rPr>
        <w:t xml:space="preserve">Whether the actions of Aspatria to seize all ALEC assets the </w:t>
      </w:r>
      <w:r w:rsidRPr="00517ECB">
        <w:t>violat</w:t>
      </w:r>
      <w:r>
        <w:t>ion of</w:t>
      </w:r>
      <w:r w:rsidRPr="00517ECB">
        <w:t xml:space="preserve"> the principle of good faith and non-discrimination measures which is established by the Treaty Concerning the Encouragement and Reciprocal Protection of Investment ( Aspatria-Rydal Bit) </w:t>
      </w:r>
      <w:r>
        <w:t>.</w:t>
      </w:r>
    </w:p>
    <w:p w:rsidR="00CF2907" w:rsidRPr="00517ECB" w:rsidRDefault="00CF2907" w:rsidP="00CF2907">
      <w:pPr>
        <w:pStyle w:val="a5"/>
        <w:numPr>
          <w:ilvl w:val="0"/>
          <w:numId w:val="10"/>
        </w:numPr>
        <w:spacing w:before="120" w:after="240" w:line="480" w:lineRule="auto"/>
        <w:ind w:left="1077" w:hanging="720"/>
      </w:pPr>
      <w:r>
        <w:t>Whether the Applicant violated the obligations which was undertook?</w:t>
      </w:r>
    </w:p>
    <w:p w:rsidR="00CF2907" w:rsidRPr="00270541" w:rsidRDefault="00CF2907" w:rsidP="00CF2907">
      <w:pPr>
        <w:pStyle w:val="a5"/>
        <w:numPr>
          <w:ilvl w:val="0"/>
          <w:numId w:val="10"/>
        </w:numPr>
        <w:spacing w:before="120" w:after="240" w:line="480" w:lineRule="auto"/>
        <w:ind w:left="1077" w:hanging="720"/>
      </w:pPr>
      <w:r>
        <w:t xml:space="preserve">Whether the Applicant breached the </w:t>
      </w:r>
      <w:r w:rsidRPr="00517ECB">
        <w:t>Aspatria-Rydal Bit</w:t>
      </w:r>
      <w:r>
        <w:rPr>
          <w:lang w:val="uk-UA"/>
        </w:rPr>
        <w:t>?</w:t>
      </w:r>
    </w:p>
    <w:p w:rsidR="00CF2907" w:rsidRPr="004866E6" w:rsidRDefault="00CF2907" w:rsidP="00CF2907">
      <w:pPr>
        <w:pStyle w:val="a5"/>
        <w:numPr>
          <w:ilvl w:val="0"/>
          <w:numId w:val="10"/>
        </w:numPr>
        <w:spacing w:before="120" w:after="240" w:line="480" w:lineRule="auto"/>
        <w:ind w:left="1077" w:hanging="720"/>
      </w:pPr>
      <w:r>
        <w:t xml:space="preserve">Can </w:t>
      </w:r>
      <w:r w:rsidRPr="00270541">
        <w:t>be recognized</w:t>
      </w:r>
      <w:r>
        <w:t xml:space="preserve"> </w:t>
      </w:r>
      <w:r w:rsidRPr="00270541">
        <w:t>The Natural Resource Act (NRA)</w:t>
      </w:r>
      <w:r w:rsidRPr="00862676">
        <w:rPr>
          <w:b/>
        </w:rPr>
        <w:t xml:space="preserve"> </w:t>
      </w:r>
      <w:r w:rsidRPr="00270541">
        <w:t xml:space="preserve"> “tantamount and expropriation</w:t>
      </w:r>
      <w:r>
        <w:t>”</w:t>
      </w:r>
      <w:r>
        <w:rPr>
          <w:lang w:val="uk-UA"/>
        </w:rPr>
        <w:t>?</w:t>
      </w:r>
    </w:p>
    <w:p w:rsidR="00CF2907" w:rsidRPr="004866E6" w:rsidRDefault="00CF2907" w:rsidP="00CF2907">
      <w:pPr>
        <w:pStyle w:val="a5"/>
        <w:numPr>
          <w:ilvl w:val="0"/>
          <w:numId w:val="10"/>
        </w:numPr>
        <w:spacing w:before="120" w:after="240" w:line="480" w:lineRule="auto"/>
        <w:ind w:left="1077" w:hanging="720"/>
      </w:pPr>
      <w:r>
        <w:t>Whether the actions of Aspatria can be considered as expropriation</w:t>
      </w:r>
      <w:r>
        <w:rPr>
          <w:lang w:val="uk-UA"/>
        </w:rPr>
        <w:t>?</w:t>
      </w:r>
    </w:p>
    <w:p w:rsidR="00CF2907" w:rsidRPr="0031284D" w:rsidRDefault="00CF2907" w:rsidP="00CF2907">
      <w:pPr>
        <w:pStyle w:val="a5"/>
        <w:numPr>
          <w:ilvl w:val="0"/>
          <w:numId w:val="10"/>
        </w:numPr>
        <w:spacing w:before="120" w:after="240" w:line="480" w:lineRule="auto"/>
        <w:ind w:left="1077" w:hanging="720"/>
      </w:pPr>
      <w:r>
        <w:lastRenderedPageBreak/>
        <w:t>Whether the government of Aspatria is obliged to pay compensation</w:t>
      </w:r>
      <w:r>
        <w:rPr>
          <w:lang w:val="uk-UA"/>
        </w:rPr>
        <w:t>?</w:t>
      </w:r>
    </w:p>
    <w:p w:rsidR="00CF2907" w:rsidRPr="00AB777F" w:rsidRDefault="00CF2907" w:rsidP="00CF2907">
      <w:pPr>
        <w:pStyle w:val="a5"/>
        <w:numPr>
          <w:ilvl w:val="0"/>
          <w:numId w:val="10"/>
        </w:numPr>
        <w:spacing w:before="120" w:after="240" w:line="480" w:lineRule="auto"/>
        <w:ind w:left="1077" w:hanging="720"/>
      </w:pPr>
      <w:r>
        <w:t xml:space="preserve">Did </w:t>
      </w:r>
      <w:r w:rsidRPr="00A747F4">
        <w:t>Aspatria commit an international wrongful act</w:t>
      </w:r>
      <w:r>
        <w:rPr>
          <w:lang w:val="uk-UA"/>
        </w:rPr>
        <w:t>?</w:t>
      </w:r>
    </w:p>
    <w:p w:rsidR="00CF2907" w:rsidRPr="00AB777F" w:rsidRDefault="00CF2907" w:rsidP="00CF2907">
      <w:pPr>
        <w:pStyle w:val="a5"/>
        <w:numPr>
          <w:ilvl w:val="0"/>
          <w:numId w:val="10"/>
        </w:numPr>
        <w:spacing w:before="120" w:after="240" w:line="480" w:lineRule="auto"/>
        <w:ind w:left="1077" w:hanging="720"/>
      </w:pPr>
      <w:r>
        <w:rPr>
          <w:lang w:val="en-US"/>
        </w:rPr>
        <w:t xml:space="preserve">Whether the </w:t>
      </w:r>
      <w:r w:rsidRPr="00AB777F">
        <w:t>International Law regulation has greater power than domestic legislation</w:t>
      </w:r>
      <w:r>
        <w:rPr>
          <w:lang w:val="uk-UA"/>
        </w:rPr>
        <w:t>?</w:t>
      </w: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Default="00CF2907" w:rsidP="000A00D8">
      <w:pPr>
        <w:spacing w:line="480" w:lineRule="auto"/>
      </w:pPr>
    </w:p>
    <w:p w:rsidR="00CF2907" w:rsidRPr="00AD6BF8" w:rsidRDefault="00CF2907" w:rsidP="00CF2907">
      <w:pPr>
        <w:spacing w:line="480" w:lineRule="auto"/>
        <w:jc w:val="both"/>
        <w:rPr>
          <w:b/>
          <w:sz w:val="28"/>
          <w:szCs w:val="28"/>
          <w:lang w:val="en-US"/>
        </w:rPr>
      </w:pPr>
      <w:r w:rsidRPr="00AD6BF8">
        <w:rPr>
          <w:b/>
          <w:sz w:val="28"/>
          <w:szCs w:val="28"/>
          <w:lang w:val="en-US"/>
        </w:rPr>
        <w:lastRenderedPageBreak/>
        <w:t>Statements of facts</w:t>
      </w:r>
    </w:p>
    <w:p w:rsidR="00CF2907" w:rsidRPr="000D7E55" w:rsidRDefault="00CF2907" w:rsidP="00CF2907">
      <w:pPr>
        <w:spacing w:line="480" w:lineRule="auto"/>
        <w:ind w:firstLine="708"/>
        <w:jc w:val="both"/>
        <w:rPr>
          <w:lang w:val="en-US"/>
        </w:rPr>
      </w:pPr>
      <w:r w:rsidRPr="000D7E55">
        <w:rPr>
          <w:lang w:val="en-US"/>
        </w:rPr>
        <w:t>The present dispute has arisen between the Republic of Aspatria (the Applicant) and the Kingdom of Rydal (the Respondent) over the territory of Windscale Islands that are the archipelago lying in the Eden Ocean.</w:t>
      </w:r>
    </w:p>
    <w:p w:rsidR="00CF2907" w:rsidRPr="000D7E55" w:rsidRDefault="00CF2907" w:rsidP="00CF2907">
      <w:pPr>
        <w:spacing w:line="480" w:lineRule="auto"/>
        <w:ind w:firstLine="708"/>
        <w:jc w:val="both"/>
        <w:rPr>
          <w:lang w:val="en-US"/>
        </w:rPr>
      </w:pPr>
      <w:r w:rsidRPr="000D7E55">
        <w:rPr>
          <w:lang w:val="en-US"/>
        </w:rPr>
        <w:t xml:space="preserve">The revival around the islands started in the far eighteen century at the time of great geographical discoveries when the Rydalian vessel “Wansfel” with </w:t>
      </w:r>
      <w:r>
        <w:rPr>
          <w:lang w:val="en-US"/>
        </w:rPr>
        <w:t>R</w:t>
      </w:r>
      <w:r w:rsidRPr="000D7E55">
        <w:rPr>
          <w:lang w:val="en-US"/>
        </w:rPr>
        <w:t>ydalian crew and its commander Geoffrey Parrish first landed on the islands (1777). It was a voyage of naturalist discovery under the Commission from the King of Rydal. Captain Parrish recorded in his ship’s log that there were no signs of human habitation and then he left behind the flag of Rydal and a stone carved with a declaration asserting the sovereignty of King Andrew of Rydal and his successors over the Islands.</w:t>
      </w:r>
    </w:p>
    <w:p w:rsidR="00CF2907" w:rsidRPr="000D7E55" w:rsidRDefault="00CF2907" w:rsidP="00CF2907">
      <w:pPr>
        <w:pStyle w:val="NumberedParagraphs"/>
        <w:numPr>
          <w:ilvl w:val="0"/>
          <w:numId w:val="0"/>
        </w:numPr>
        <w:snapToGrid w:val="0"/>
        <w:spacing w:line="480" w:lineRule="auto"/>
        <w:ind w:firstLine="708"/>
        <w:rPr>
          <w:sz w:val="24"/>
          <w:szCs w:val="24"/>
        </w:rPr>
      </w:pPr>
      <w:r w:rsidRPr="000D7E55">
        <w:rPr>
          <w:sz w:val="24"/>
          <w:szCs w:val="24"/>
          <w:lang w:val="en-US"/>
        </w:rPr>
        <w:t xml:space="preserve">One year later a naval ship from Plumbland (a mother country over the Aspatia), </w:t>
      </w:r>
      <w:r w:rsidRPr="000D7E55">
        <w:rPr>
          <w:i/>
          <w:sz w:val="24"/>
          <w:szCs w:val="24"/>
          <w:lang w:val="en-US"/>
        </w:rPr>
        <w:t>The Salkeld</w:t>
      </w:r>
      <w:r w:rsidRPr="000D7E55">
        <w:rPr>
          <w:sz w:val="24"/>
          <w:szCs w:val="24"/>
          <w:lang w:val="en-US"/>
        </w:rPr>
        <w:t xml:space="preserve">, came across the Islands. Afterwards </w:t>
      </w:r>
      <w:r w:rsidRPr="000D7E55">
        <w:rPr>
          <w:sz w:val="24"/>
          <w:szCs w:val="24"/>
        </w:rPr>
        <w:t xml:space="preserve">the Viceroy of Aspatria sent Lieutenant  Ricoy to establish a fort and settlement (which then was called Salkeld) on one of the islands as they didn’t find any </w:t>
      </w:r>
      <w:r>
        <w:rPr>
          <w:sz w:val="24"/>
          <w:szCs w:val="24"/>
        </w:rPr>
        <w:t>of the signs left there by the R</w:t>
      </w:r>
      <w:r w:rsidRPr="000D7E55">
        <w:rPr>
          <w:sz w:val="24"/>
          <w:szCs w:val="24"/>
        </w:rPr>
        <w:t xml:space="preserve">ydalian expedition and thought that the islands were still uninhabited. </w:t>
      </w:r>
    </w:p>
    <w:p w:rsidR="00CF2907" w:rsidRPr="000D7E55" w:rsidRDefault="00CF2907" w:rsidP="00CF2907">
      <w:pPr>
        <w:spacing w:line="480" w:lineRule="auto"/>
        <w:ind w:firstLine="708"/>
        <w:jc w:val="both"/>
        <w:rPr>
          <w:lang w:val="en-US"/>
        </w:rPr>
      </w:pPr>
      <w:r w:rsidRPr="000D7E55">
        <w:rPr>
          <w:lang w:val="en-US"/>
        </w:rPr>
        <w:t>Internal disturbances in the Viceroyalty of Aspatria caused Lieutenant Ricoy and his men to be ordered back to Langdale, the capital city of Aspatria. Lieutenant Ricoy also left the Aspatrian flag but, however, there was no return to the Islands by Plumbland or its Viceroyalty of Aspatria.</w:t>
      </w:r>
    </w:p>
    <w:p w:rsidR="00CF2907" w:rsidRPr="000D7E55" w:rsidRDefault="00CF2907" w:rsidP="00CF2907">
      <w:pPr>
        <w:spacing w:line="480" w:lineRule="auto"/>
        <w:jc w:val="both"/>
        <w:rPr>
          <w:lang w:val="en-US"/>
        </w:rPr>
      </w:pPr>
      <w:r w:rsidRPr="000D7E55">
        <w:rPr>
          <w:lang w:val="en-US"/>
        </w:rPr>
        <w:tab/>
        <w:t xml:space="preserve">Although the first civilian settlement was </w:t>
      </w:r>
      <w:r>
        <w:rPr>
          <w:lang w:val="en-US"/>
        </w:rPr>
        <w:t>set by the R</w:t>
      </w:r>
      <w:r w:rsidRPr="000D7E55">
        <w:rPr>
          <w:lang w:val="en-US"/>
        </w:rPr>
        <w:t xml:space="preserve">ydalians 25 years after it in 1813 when the rydalian naval ship HMS Applethwaite wrecked on one of the smaller islands of the archipelago. The commander of the ship Admiral Aikton and people who stayed alive set the settlement St. Bees. </w:t>
      </w:r>
      <w:r w:rsidRPr="000D7E55">
        <w:rPr>
          <w:lang w:val="en-US"/>
        </w:rPr>
        <w:tab/>
      </w:r>
    </w:p>
    <w:p w:rsidR="00CF2907" w:rsidRPr="000D7E55" w:rsidRDefault="00CF2907" w:rsidP="00CF2907">
      <w:pPr>
        <w:spacing w:line="480" w:lineRule="auto"/>
        <w:ind w:firstLine="708"/>
        <w:jc w:val="both"/>
        <w:rPr>
          <w:lang w:val="en-US"/>
        </w:rPr>
      </w:pPr>
    </w:p>
    <w:p w:rsidR="00CF2907" w:rsidRPr="000D7E55" w:rsidRDefault="00CF2907" w:rsidP="00CF2907">
      <w:pPr>
        <w:spacing w:line="480" w:lineRule="auto"/>
        <w:ind w:firstLine="708"/>
        <w:jc w:val="both"/>
        <w:rPr>
          <w:lang w:val="en-US"/>
        </w:rPr>
      </w:pPr>
      <w:r w:rsidRPr="000D7E55">
        <w:rPr>
          <w:lang w:val="en-US"/>
        </w:rPr>
        <w:lastRenderedPageBreak/>
        <w:t xml:space="preserve">Two years later the slave ship from the third state Sodor also wrecked not far from the </w:t>
      </w:r>
      <w:r>
        <w:rPr>
          <w:lang w:val="en-US"/>
        </w:rPr>
        <w:t>R</w:t>
      </w:r>
      <w:r w:rsidRPr="000D7E55">
        <w:rPr>
          <w:lang w:val="en-US"/>
        </w:rPr>
        <w:t>ydalian settlement on the islands. The Rydalians assisted those people to stay alive. All the slaves were declared free as the slavery was prohibited in Rydal and they all together with the crew of the Sodorian vessel swore loyalty to the Queen of Rydal. Basically, became citizens of Rydal.</w:t>
      </w:r>
    </w:p>
    <w:p w:rsidR="00CF2907" w:rsidRPr="000D7E55" w:rsidRDefault="00CF2907" w:rsidP="00CF2907">
      <w:pPr>
        <w:spacing w:line="480" w:lineRule="auto"/>
        <w:ind w:firstLine="708"/>
        <w:jc w:val="both"/>
        <w:rPr>
          <w:lang w:val="en-US"/>
        </w:rPr>
      </w:pPr>
      <w:r w:rsidRPr="000D7E55">
        <w:rPr>
          <w:lang w:val="en-US"/>
        </w:rPr>
        <w:t>From this time started the era of effective control of Rydal over the islands as the people who were staying there started to cultivate the land and to domesticate wild species of equines.</w:t>
      </w:r>
      <w:r>
        <w:rPr>
          <w:lang w:val="en-US"/>
        </w:rPr>
        <w:t xml:space="preserve"> Later on Vice-Admiral Arthur Wilkinson was appointed by the Queen Constance as the Governor of Windscale Islands. </w:t>
      </w:r>
      <w:r w:rsidRPr="000D7E55">
        <w:rPr>
          <w:lang w:val="en-US"/>
        </w:rPr>
        <w:t xml:space="preserve">  </w:t>
      </w:r>
    </w:p>
    <w:p w:rsidR="00CF2907" w:rsidRDefault="00CF2907" w:rsidP="00CF2907">
      <w:pPr>
        <w:spacing w:line="480" w:lineRule="auto"/>
        <w:ind w:firstLine="708"/>
        <w:jc w:val="both"/>
        <w:rPr>
          <w:lang w:val="en-US"/>
        </w:rPr>
      </w:pPr>
      <w:r w:rsidRPr="000D7E55">
        <w:rPr>
          <w:lang w:val="en-US"/>
        </w:rPr>
        <w:t xml:space="preserve">The dispute over this territory between Plumbland and Rydal was also warming up by the war that started between these two states, though not from the reason concerning the islands. The diplomatic missions between them also were never successful till the </w:t>
      </w:r>
      <w:r>
        <w:rPr>
          <w:lang w:val="en-US"/>
        </w:rPr>
        <w:t xml:space="preserve">both sides signed and ratified the treaty of Great Corby (1821 September 22) that contained an article according to which Plumbland and his King acknowledged the sovereignty of Queen of Rydal over the Windscale Islands. </w:t>
      </w:r>
    </w:p>
    <w:p w:rsidR="00CF2907" w:rsidRDefault="00CF2907" w:rsidP="00CF2907">
      <w:pPr>
        <w:spacing w:line="480" w:lineRule="auto"/>
        <w:ind w:firstLine="708"/>
        <w:jc w:val="both"/>
        <w:rPr>
          <w:lang w:val="en-US"/>
        </w:rPr>
      </w:pPr>
      <w:r>
        <w:rPr>
          <w:lang w:val="en-US"/>
        </w:rPr>
        <w:t>But former Vice-Royalty of Aspatria continued claiming on Islands and as the independent state (Republic of Aspatria) since 1 July 1820. During the governing of Alejandro Diaz on the post of President of Aspatria there were not only the legal remedies to claim on the Islands but also some crucial and inadmissible attempts to take the territory of the Islands by force as it was taking place in 1826.</w:t>
      </w:r>
    </w:p>
    <w:p w:rsidR="00CF2907" w:rsidRDefault="00CF2907" w:rsidP="00CF2907">
      <w:pPr>
        <w:spacing w:line="480" w:lineRule="auto"/>
        <w:ind w:firstLine="708"/>
        <w:jc w:val="both"/>
        <w:rPr>
          <w:lang w:val="en-US"/>
        </w:rPr>
      </w:pPr>
      <w:r>
        <w:rPr>
          <w:lang w:val="en-US"/>
        </w:rPr>
        <w:t xml:space="preserve">Meanwhile, the life on the Islands progressed from day to day and the population was </w:t>
      </w:r>
      <w:r w:rsidRPr="00BE3508">
        <w:rPr>
          <w:lang w:val="en-US"/>
        </w:rPr>
        <w:t>growing too. Survey says that by 1899, the population was 4,420, and by 1999, it was 7,054.</w:t>
      </w:r>
      <w:r>
        <w:rPr>
          <w:lang w:val="en-US"/>
        </w:rPr>
        <w:t xml:space="preserve"> Most of those people were Rydalians – the offspring of those who stepped on the land of Islands from the vessels: “Unthank”, “Applethwaite” and the “Braithwaite”.</w:t>
      </w:r>
    </w:p>
    <w:p w:rsidR="00CF2907" w:rsidRDefault="00CF2907" w:rsidP="00CF2907">
      <w:pPr>
        <w:spacing w:line="480" w:lineRule="auto"/>
        <w:ind w:firstLine="708"/>
        <w:jc w:val="both"/>
        <w:rPr>
          <w:lang w:val="en-US"/>
        </w:rPr>
      </w:pPr>
      <w:r w:rsidRPr="00C12598">
        <w:rPr>
          <w:lang w:val="en-US"/>
        </w:rPr>
        <w:lastRenderedPageBreak/>
        <w:t xml:space="preserve">In 1903, the King of Rydal issued an order to the Governor of the Islands to establish a consultative Assembly to allow the Islanders to express their views to the Governor on matters of day-to-day administration of the Islands. </w:t>
      </w:r>
    </w:p>
    <w:p w:rsidR="00CF2907" w:rsidRDefault="00CF2907" w:rsidP="00CF2907">
      <w:pPr>
        <w:pStyle w:val="NumberedParagraphs"/>
        <w:numPr>
          <w:ilvl w:val="0"/>
          <w:numId w:val="0"/>
        </w:numPr>
        <w:snapToGrid w:val="0"/>
        <w:spacing w:line="480" w:lineRule="auto"/>
        <w:ind w:firstLine="708"/>
        <w:jc w:val="left"/>
        <w:rPr>
          <w:sz w:val="24"/>
          <w:szCs w:val="24"/>
        </w:rPr>
      </w:pPr>
      <w:r>
        <w:rPr>
          <w:sz w:val="24"/>
          <w:szCs w:val="24"/>
          <w:lang w:val="en-US"/>
        </w:rPr>
        <w:t xml:space="preserve">In 1945 when Rydal joined the United Nations the Windscale Islands get the status of “non-self-governing territory”. In 1947 the Islands were given a Constitution that proclaimed </w:t>
      </w:r>
      <w:r w:rsidRPr="0064396C">
        <w:rPr>
          <w:sz w:val="24"/>
          <w:szCs w:val="24"/>
        </w:rPr>
        <w:t xml:space="preserve">Rydalian sovereignty over the Islands, but gave control over day-to-day governance, including the exploitation of natural resources, to the Assembly, subject to the approval of the Governor appointed by Rydal as the </w:t>
      </w:r>
      <w:r>
        <w:rPr>
          <w:sz w:val="24"/>
          <w:szCs w:val="24"/>
        </w:rPr>
        <w:t>Monarch</w:t>
      </w:r>
      <w:r w:rsidRPr="0064396C">
        <w:rPr>
          <w:sz w:val="24"/>
          <w:szCs w:val="24"/>
        </w:rPr>
        <w:t>’s representative. Rydal maintained exclusive authority over the defence and foreign relations of the Islands.</w:t>
      </w:r>
    </w:p>
    <w:p w:rsidR="00CF2907" w:rsidRDefault="00CF2907" w:rsidP="00CF2907">
      <w:pPr>
        <w:pStyle w:val="NumberedParagraphs"/>
        <w:numPr>
          <w:ilvl w:val="0"/>
          <w:numId w:val="0"/>
        </w:numPr>
        <w:snapToGrid w:val="0"/>
        <w:spacing w:line="480" w:lineRule="auto"/>
        <w:ind w:firstLine="708"/>
        <w:jc w:val="left"/>
        <w:rPr>
          <w:sz w:val="24"/>
          <w:szCs w:val="24"/>
        </w:rPr>
      </w:pPr>
      <w:r>
        <w:rPr>
          <w:sz w:val="24"/>
          <w:szCs w:val="24"/>
        </w:rPr>
        <w:t xml:space="preserve">In 1962 on the base of the UN a Special Committee (to the situation of islands) was created. </w:t>
      </w:r>
      <w:r w:rsidRPr="0064396C">
        <w:rPr>
          <w:sz w:val="24"/>
          <w:szCs w:val="24"/>
        </w:rPr>
        <w:t xml:space="preserve">In the 1980s, the Special Committee began allowing a delegation from the Islands to make presentations at the Committee’s meetings. </w:t>
      </w:r>
      <w:r>
        <w:rPr>
          <w:sz w:val="24"/>
          <w:szCs w:val="24"/>
        </w:rPr>
        <w:t>The</w:t>
      </w:r>
      <w:r w:rsidRPr="0064396C">
        <w:rPr>
          <w:sz w:val="24"/>
          <w:szCs w:val="24"/>
        </w:rPr>
        <w:t xml:space="preserve"> delegation routinely expressed its desire that the Islands remain a part of Rydal</w:t>
      </w:r>
      <w:r>
        <w:rPr>
          <w:sz w:val="24"/>
          <w:szCs w:val="24"/>
        </w:rPr>
        <w:t xml:space="preserve">. </w:t>
      </w:r>
    </w:p>
    <w:p w:rsidR="00CF2907" w:rsidRDefault="00CF2907" w:rsidP="00CF2907">
      <w:pPr>
        <w:pStyle w:val="NumberedParagraphs"/>
        <w:numPr>
          <w:ilvl w:val="0"/>
          <w:numId w:val="0"/>
        </w:numPr>
        <w:snapToGrid w:val="0"/>
        <w:spacing w:line="480" w:lineRule="auto"/>
        <w:ind w:firstLine="708"/>
        <w:jc w:val="left"/>
        <w:rPr>
          <w:sz w:val="24"/>
          <w:szCs w:val="24"/>
        </w:rPr>
      </w:pPr>
      <w:r>
        <w:rPr>
          <w:sz w:val="24"/>
          <w:szCs w:val="24"/>
        </w:rPr>
        <w:t>Although on 6 December 2008 the plebiscite on the territory of Islands was held. The subject discussed was the independence of the Windscale Islands or whether the islanders want to stay under the jurisdiction of the Kingdom of Rydal or to become a part of the Republic of Aspatria. The results of the plebiscite were following:</w:t>
      </w:r>
    </w:p>
    <w:p w:rsidR="00CF2907" w:rsidRDefault="00CF2907" w:rsidP="00CF2907">
      <w:pPr>
        <w:pStyle w:val="NumberedParagraphs"/>
        <w:numPr>
          <w:ilvl w:val="0"/>
          <w:numId w:val="11"/>
        </w:numPr>
        <w:snapToGrid w:val="0"/>
        <w:spacing w:line="276" w:lineRule="auto"/>
        <w:jc w:val="left"/>
        <w:rPr>
          <w:sz w:val="24"/>
          <w:szCs w:val="24"/>
        </w:rPr>
      </w:pPr>
      <w:r>
        <w:rPr>
          <w:sz w:val="24"/>
          <w:szCs w:val="24"/>
        </w:rPr>
        <w:t>76% voted for the full independence;</w:t>
      </w:r>
    </w:p>
    <w:p w:rsidR="00CF2907" w:rsidRDefault="00CF2907" w:rsidP="00CF2907">
      <w:pPr>
        <w:pStyle w:val="NumberedParagraphs"/>
        <w:numPr>
          <w:ilvl w:val="0"/>
          <w:numId w:val="11"/>
        </w:numPr>
        <w:snapToGrid w:val="0"/>
        <w:spacing w:line="276" w:lineRule="auto"/>
        <w:jc w:val="left"/>
        <w:rPr>
          <w:sz w:val="24"/>
          <w:szCs w:val="24"/>
        </w:rPr>
      </w:pPr>
      <w:r>
        <w:rPr>
          <w:sz w:val="24"/>
          <w:szCs w:val="24"/>
        </w:rPr>
        <w:t>18% voted for remaining with Rydal;</w:t>
      </w:r>
    </w:p>
    <w:p w:rsidR="00CF2907" w:rsidRDefault="00CF2907" w:rsidP="00CF2907">
      <w:pPr>
        <w:pStyle w:val="NumberedParagraphs"/>
        <w:numPr>
          <w:ilvl w:val="0"/>
          <w:numId w:val="11"/>
        </w:numPr>
        <w:snapToGrid w:val="0"/>
        <w:spacing w:line="480" w:lineRule="auto"/>
        <w:jc w:val="left"/>
        <w:rPr>
          <w:sz w:val="24"/>
          <w:szCs w:val="24"/>
        </w:rPr>
      </w:pPr>
      <w:r>
        <w:rPr>
          <w:sz w:val="24"/>
          <w:szCs w:val="24"/>
        </w:rPr>
        <w:t>6% voted for the unification with Aspatria.</w:t>
      </w:r>
    </w:p>
    <w:p w:rsidR="00CF2907" w:rsidRDefault="00CF2907" w:rsidP="00CF2907">
      <w:pPr>
        <w:pStyle w:val="NumberedParagraphs"/>
        <w:numPr>
          <w:ilvl w:val="0"/>
          <w:numId w:val="0"/>
        </w:numPr>
        <w:snapToGrid w:val="0"/>
        <w:spacing w:line="480" w:lineRule="auto"/>
        <w:jc w:val="left"/>
        <w:rPr>
          <w:sz w:val="24"/>
          <w:szCs w:val="24"/>
        </w:rPr>
      </w:pPr>
      <w:r>
        <w:rPr>
          <w:sz w:val="24"/>
          <w:szCs w:val="24"/>
        </w:rPr>
        <w:tab/>
        <w:t xml:space="preserve">Anyways, the Kingdom of Rydal was ready to support any of the decisions that will be taken by the islanders and guaranteed to </w:t>
      </w:r>
      <w:r w:rsidRPr="0064396C">
        <w:rPr>
          <w:sz w:val="24"/>
          <w:szCs w:val="24"/>
        </w:rPr>
        <w:t>facilitate their desire and respect their righ</w:t>
      </w:r>
      <w:r>
        <w:rPr>
          <w:sz w:val="24"/>
          <w:szCs w:val="24"/>
        </w:rPr>
        <w:t>t to determine their own future.</w:t>
      </w:r>
    </w:p>
    <w:p w:rsidR="00CF2907" w:rsidRDefault="00CF2907" w:rsidP="00CF2907">
      <w:pPr>
        <w:pStyle w:val="NumberedParagraphs"/>
        <w:numPr>
          <w:ilvl w:val="0"/>
          <w:numId w:val="0"/>
        </w:numPr>
        <w:snapToGrid w:val="0"/>
        <w:spacing w:line="480" w:lineRule="auto"/>
        <w:jc w:val="left"/>
        <w:rPr>
          <w:sz w:val="24"/>
          <w:szCs w:val="24"/>
        </w:rPr>
      </w:pPr>
      <w:r>
        <w:rPr>
          <w:sz w:val="24"/>
          <w:szCs w:val="24"/>
        </w:rPr>
        <w:lastRenderedPageBreak/>
        <w:tab/>
        <w:t>In 1970s – 80s the tension around the islands calmed down a little; vice versa the level of trading between Rydal and Aspatria positively increased. As a result i</w:t>
      </w:r>
      <w:r w:rsidRPr="0064396C">
        <w:rPr>
          <w:sz w:val="24"/>
          <w:szCs w:val="24"/>
        </w:rPr>
        <w:t>n 1985, Aspatria and Rydal negotiated and signed a Treaty Concerning the Encouragement and Reciprocal Protection of Investment ("the Aspatria-Rydal BIT"), which entered into force in the same year.</w:t>
      </w:r>
    </w:p>
    <w:p w:rsidR="00CF2907" w:rsidRDefault="00CF2907" w:rsidP="00CF2907">
      <w:pPr>
        <w:pStyle w:val="NumberedParagraphs"/>
        <w:numPr>
          <w:ilvl w:val="0"/>
          <w:numId w:val="0"/>
        </w:numPr>
        <w:snapToGrid w:val="0"/>
        <w:spacing w:line="480" w:lineRule="auto"/>
        <w:jc w:val="left"/>
        <w:rPr>
          <w:sz w:val="24"/>
          <w:szCs w:val="24"/>
        </w:rPr>
      </w:pPr>
      <w:r>
        <w:rPr>
          <w:sz w:val="24"/>
          <w:szCs w:val="24"/>
        </w:rPr>
        <w:tab/>
        <w:t>Since that moment when the oil was found in the basin of the Islands Aspatria renewed its attempts to possess the control over the Windscale Islands. At the same time</w:t>
      </w:r>
      <w:r w:rsidRPr="00C732F5">
        <w:rPr>
          <w:sz w:val="24"/>
          <w:szCs w:val="24"/>
        </w:rPr>
        <w:t xml:space="preserve"> </w:t>
      </w:r>
      <w:r>
        <w:rPr>
          <w:sz w:val="24"/>
          <w:szCs w:val="24"/>
        </w:rPr>
        <w:t>t</w:t>
      </w:r>
      <w:r w:rsidRPr="0064396C">
        <w:rPr>
          <w:sz w:val="24"/>
          <w:szCs w:val="24"/>
        </w:rPr>
        <w:t>he discovery of oil energised an already growing independence movement on the Islands, led by a group calling itself Islanders Longing for Sovereignty and Autonomy ("ILSA"). ILSA’s statement of principles declared</w:t>
      </w:r>
      <w:r>
        <w:rPr>
          <w:sz w:val="24"/>
          <w:szCs w:val="24"/>
        </w:rPr>
        <w:t>,</w:t>
      </w:r>
      <w:r w:rsidRPr="0064396C">
        <w:rPr>
          <w:sz w:val="24"/>
          <w:szCs w:val="24"/>
        </w:rPr>
        <w:t xml:space="preserve"> "The Islands are entitled to independence, which ILSA seeks as an ultimate goal.</w:t>
      </w:r>
    </w:p>
    <w:p w:rsidR="00CF2907" w:rsidRDefault="00CF2907" w:rsidP="00CF2907">
      <w:pPr>
        <w:pStyle w:val="NumberedParagraphs"/>
        <w:numPr>
          <w:ilvl w:val="0"/>
          <w:numId w:val="0"/>
        </w:numPr>
        <w:snapToGrid w:val="0"/>
        <w:spacing w:line="480" w:lineRule="auto"/>
        <w:jc w:val="left"/>
        <w:rPr>
          <w:sz w:val="24"/>
          <w:szCs w:val="24"/>
        </w:rPr>
      </w:pPr>
      <w:r>
        <w:rPr>
          <w:sz w:val="24"/>
          <w:szCs w:val="24"/>
        </w:rPr>
        <w:tab/>
        <w:t xml:space="preserve">Then it was an agreement between two states that the Assembly of the Windscale Islands had to decide what company will explore the oil beds by the islands. There were only two nominates for that purpose: Rydalian oil company “ROCO” (with its representative company “Alec” incorporated in Aspatria 80% shares of which is the property of “ROCO”) and the Aspatrian company “MDR Ltd.”. </w:t>
      </w:r>
      <w:r w:rsidRPr="0064396C">
        <w:rPr>
          <w:sz w:val="24"/>
          <w:szCs w:val="24"/>
        </w:rPr>
        <w:t>On 14 November 2007, the Assembly approved the ROCO bid, by a vote of 22 to 13.</w:t>
      </w:r>
      <w:r>
        <w:rPr>
          <w:sz w:val="24"/>
          <w:szCs w:val="24"/>
        </w:rPr>
        <w:t xml:space="preserve"> </w:t>
      </w:r>
    </w:p>
    <w:p w:rsidR="00CF2907" w:rsidRDefault="00CF2907" w:rsidP="00CF2907">
      <w:pPr>
        <w:pStyle w:val="NumberedParagraphs"/>
        <w:numPr>
          <w:ilvl w:val="0"/>
          <w:numId w:val="0"/>
        </w:numPr>
        <w:snapToGrid w:val="0"/>
        <w:spacing w:line="480" w:lineRule="auto"/>
        <w:jc w:val="left"/>
        <w:rPr>
          <w:sz w:val="24"/>
          <w:szCs w:val="24"/>
        </w:rPr>
      </w:pPr>
      <w:r>
        <w:rPr>
          <w:sz w:val="24"/>
          <w:szCs w:val="24"/>
        </w:rPr>
        <w:tab/>
      </w:r>
      <w:r w:rsidRPr="0064396C">
        <w:rPr>
          <w:sz w:val="24"/>
          <w:szCs w:val="24"/>
        </w:rPr>
        <w:t>On 16 November 2007, the Public Prosecutor of Aspatria filed criminal charges against ALEC under the</w:t>
      </w:r>
      <w:r>
        <w:rPr>
          <w:sz w:val="24"/>
          <w:szCs w:val="24"/>
        </w:rPr>
        <w:t xml:space="preserve"> “Natural Resources Act” that also restricted</w:t>
      </w:r>
      <w:r w:rsidRPr="0064396C">
        <w:rPr>
          <w:sz w:val="24"/>
          <w:szCs w:val="24"/>
        </w:rPr>
        <w:t xml:space="preserve"> licenses for the exploitation of energy resources in Aspatria to locally incorporated companies</w:t>
      </w:r>
      <w:r>
        <w:rPr>
          <w:sz w:val="24"/>
          <w:szCs w:val="24"/>
        </w:rPr>
        <w:t xml:space="preserve">. </w:t>
      </w:r>
      <w:r w:rsidRPr="0064396C">
        <w:rPr>
          <w:sz w:val="24"/>
          <w:szCs w:val="24"/>
        </w:rPr>
        <w:t>In connection with the criminal case, the Prosecutor contemporaneously filed an administrative petition, asking the court to seize all assets of ALEC within Aspatria.</w:t>
      </w:r>
      <w:r>
        <w:rPr>
          <w:sz w:val="24"/>
          <w:szCs w:val="24"/>
        </w:rPr>
        <w:t xml:space="preserve"> The </w:t>
      </w:r>
      <w:r w:rsidRPr="0064396C">
        <w:rPr>
          <w:sz w:val="24"/>
          <w:szCs w:val="24"/>
        </w:rPr>
        <w:t>Aspatrian federal police immediately seized all assets of ALEC that could be found within Aspatrian territory, including bank accounts and an oil tanker valued at approximately US$80 million.</w:t>
      </w:r>
    </w:p>
    <w:p w:rsidR="00CF2907" w:rsidRPr="00FB4BBF" w:rsidRDefault="00CF2907" w:rsidP="00CF2907">
      <w:pPr>
        <w:pStyle w:val="NumberedParagraphs"/>
        <w:numPr>
          <w:ilvl w:val="0"/>
          <w:numId w:val="0"/>
        </w:numPr>
        <w:snapToGrid w:val="0"/>
        <w:spacing w:line="480" w:lineRule="auto"/>
        <w:jc w:val="left"/>
        <w:rPr>
          <w:sz w:val="24"/>
          <w:szCs w:val="24"/>
        </w:rPr>
      </w:pPr>
      <w:r>
        <w:rPr>
          <w:sz w:val="24"/>
          <w:szCs w:val="24"/>
        </w:rPr>
        <w:tab/>
      </w:r>
    </w:p>
    <w:p w:rsidR="00CF2907" w:rsidRPr="00767306" w:rsidRDefault="00CF2907" w:rsidP="00CF2907">
      <w:pPr>
        <w:spacing w:line="480" w:lineRule="auto"/>
        <w:ind w:firstLine="708"/>
        <w:jc w:val="both"/>
      </w:pPr>
    </w:p>
    <w:p w:rsidR="00CF2907" w:rsidRPr="005F7DE8" w:rsidRDefault="00CF2907" w:rsidP="00CF2907">
      <w:pPr>
        <w:spacing w:line="480" w:lineRule="auto"/>
        <w:ind w:firstLine="720"/>
        <w:rPr>
          <w:b/>
          <w:lang w:val="en-US"/>
        </w:rPr>
      </w:pPr>
      <w:r w:rsidRPr="005F7DE8">
        <w:rPr>
          <w:b/>
          <w:lang w:val="en-US"/>
        </w:rPr>
        <w:lastRenderedPageBreak/>
        <w:t>SUMMURY OF PLEADINGS</w:t>
      </w:r>
    </w:p>
    <w:p w:rsidR="00CF2907" w:rsidRPr="005F7DE8" w:rsidRDefault="00CF2907" w:rsidP="00CF2907">
      <w:pPr>
        <w:spacing w:line="480" w:lineRule="auto"/>
        <w:ind w:firstLine="720"/>
        <w:rPr>
          <w:lang w:val="en-US"/>
        </w:rPr>
      </w:pPr>
      <w:r w:rsidRPr="005F7DE8">
        <w:rPr>
          <w:lang w:val="en-US"/>
        </w:rPr>
        <w:t xml:space="preserve">1. The occupation of the Windscale Islands </w:t>
      </w:r>
      <w:r w:rsidRPr="005F7DE8">
        <w:rPr>
          <w:rFonts w:eastAsia="Calibri"/>
          <w:lang w:val="en-US"/>
        </w:rPr>
        <w:t>must be considered as accomplished</w:t>
      </w:r>
      <w:r w:rsidRPr="005F7DE8">
        <w:rPr>
          <w:lang w:val="en-US"/>
        </w:rPr>
        <w:t>, when the Captain Geoffrey Parrish first discovered it at 1777, such as the territory over the Islands was uninhabited or “terra nullius”.  T</w:t>
      </w:r>
      <w:r w:rsidRPr="005F7DE8">
        <w:rPr>
          <w:rFonts w:eastAsia="Calibri"/>
          <w:color w:val="000000"/>
          <w:lang w:val="en-US"/>
        </w:rPr>
        <w:t>he flag of Rydal was left on the islands identifying that they were discovered by Rydalian vessel</w:t>
      </w:r>
      <w:r w:rsidRPr="005F7DE8">
        <w:rPr>
          <w:color w:val="000000"/>
          <w:lang w:val="en-US"/>
        </w:rPr>
        <w:t xml:space="preserve"> and the</w:t>
      </w:r>
      <w:r w:rsidRPr="005F7DE8">
        <w:rPr>
          <w:rFonts w:eastAsia="Calibri"/>
          <w:color w:val="000000"/>
          <w:lang w:val="en-US"/>
        </w:rPr>
        <w:t xml:space="preserve"> terra nullius rule is applicable in the </w:t>
      </w:r>
      <w:r w:rsidRPr="005F7DE8">
        <w:rPr>
          <w:color w:val="000000"/>
          <w:lang w:val="en-US"/>
        </w:rPr>
        <w:t>case</w:t>
      </w:r>
      <w:r w:rsidRPr="005F7DE8">
        <w:rPr>
          <w:lang w:val="en-US"/>
        </w:rPr>
        <w:t>.</w:t>
      </w:r>
    </w:p>
    <w:p w:rsidR="00CF2907" w:rsidRPr="005F7DE8" w:rsidRDefault="00CF2907" w:rsidP="00CF2907">
      <w:pPr>
        <w:spacing w:line="480" w:lineRule="auto"/>
        <w:ind w:firstLine="720"/>
        <w:rPr>
          <w:lang w:val="en-US"/>
        </w:rPr>
      </w:pPr>
      <w:r w:rsidRPr="005F7DE8">
        <w:rPr>
          <w:lang w:val="en-US"/>
        </w:rPr>
        <w:t xml:space="preserve">2. The Kingdom of Rydal established under the international </w:t>
      </w:r>
      <w:r w:rsidR="009F073F" w:rsidRPr="005F7DE8">
        <w:rPr>
          <w:lang w:val="en-US"/>
        </w:rPr>
        <w:t>law full</w:t>
      </w:r>
      <w:r w:rsidRPr="005F7DE8">
        <w:rPr>
          <w:lang w:val="en-US"/>
        </w:rPr>
        <w:t xml:space="preserve"> and undivided sovereignty over the Windscale Islands supported throughout by effective possession evidenced by acts which manifest a continuous display of sovereignty.</w:t>
      </w:r>
    </w:p>
    <w:p w:rsidR="00CF2907" w:rsidRPr="005F7DE8" w:rsidRDefault="00CF2907" w:rsidP="00CF2907">
      <w:pPr>
        <w:spacing w:line="480" w:lineRule="auto"/>
        <w:ind w:firstLine="720"/>
        <w:rPr>
          <w:lang w:val="en-US"/>
        </w:rPr>
      </w:pPr>
      <w:r w:rsidRPr="005F7DE8">
        <w:rPr>
          <w:lang w:val="en-US"/>
        </w:rPr>
        <w:t>3. The Rydal exercise in facto the sovereignty over the islands because they are connected by legal ties between them.</w:t>
      </w:r>
    </w:p>
    <w:p w:rsidR="00CF2907" w:rsidRPr="005F7DE8" w:rsidRDefault="00CF2907" w:rsidP="00CF2907">
      <w:pPr>
        <w:spacing w:line="480" w:lineRule="auto"/>
        <w:ind w:firstLine="720"/>
        <w:rPr>
          <w:lang w:val="en-US"/>
        </w:rPr>
      </w:pPr>
      <w:r w:rsidRPr="005F7DE8">
        <w:rPr>
          <w:lang w:val="en-US"/>
        </w:rPr>
        <w:t xml:space="preserve">4. </w:t>
      </w:r>
      <w:r w:rsidRPr="005F7DE8">
        <w:rPr>
          <w:rFonts w:eastAsia="Calibri"/>
          <w:lang w:val="en-US"/>
        </w:rPr>
        <w:t>Rydal establishes sovereignty over the islands on the basis of a tangible demonstration of power on its territory</w:t>
      </w:r>
      <w:r w:rsidRPr="005F7DE8">
        <w:rPr>
          <w:lang w:val="en-US"/>
        </w:rPr>
        <w:t xml:space="preserve"> and </w:t>
      </w:r>
      <w:r w:rsidRPr="005F7DE8">
        <w:rPr>
          <w:rFonts w:eastAsia="Calibri"/>
          <w:lang w:val="en-US"/>
        </w:rPr>
        <w:t xml:space="preserve">the continuous peaceful display of </w:t>
      </w:r>
      <w:r w:rsidRPr="005F7DE8">
        <w:rPr>
          <w:lang w:val="en-US"/>
        </w:rPr>
        <w:t xml:space="preserve">its </w:t>
      </w:r>
      <w:r w:rsidRPr="005F7DE8">
        <w:rPr>
          <w:rFonts w:eastAsia="Calibri"/>
          <w:lang w:val="en-US"/>
        </w:rPr>
        <w:t>authority</w:t>
      </w:r>
      <w:r w:rsidRPr="005F7DE8">
        <w:rPr>
          <w:lang w:val="en-US"/>
        </w:rPr>
        <w:t>.</w:t>
      </w:r>
    </w:p>
    <w:p w:rsidR="00CF2907" w:rsidRPr="005F7DE8" w:rsidRDefault="00CF2907" w:rsidP="00CF2907">
      <w:pPr>
        <w:spacing w:line="480" w:lineRule="auto"/>
        <w:ind w:firstLine="720"/>
        <w:rPr>
          <w:lang w:val="en-US"/>
        </w:rPr>
      </w:pPr>
      <w:r w:rsidRPr="005F7DE8">
        <w:rPr>
          <w:lang w:val="en-US"/>
        </w:rPr>
        <w:t>5. Population of the Islands has the right of self-determination and to determine their own future. Rydal provides all necessary assistance in the progression of their independence.</w:t>
      </w:r>
    </w:p>
    <w:p w:rsidR="00CF2907" w:rsidRPr="005F7DE8" w:rsidRDefault="00CF2907" w:rsidP="00CF2907">
      <w:pPr>
        <w:spacing w:line="480" w:lineRule="auto"/>
        <w:ind w:firstLine="720"/>
        <w:rPr>
          <w:lang w:val="en-US"/>
        </w:rPr>
      </w:pPr>
      <w:r w:rsidRPr="005F7DE8">
        <w:rPr>
          <w:lang w:val="en-US"/>
        </w:rPr>
        <w:t>6. Radalians have the</w:t>
      </w:r>
      <w:r w:rsidRPr="005F7DE8">
        <w:rPr>
          <w:rFonts w:eastAsia="Calibri"/>
          <w:lang w:val="en-US"/>
        </w:rPr>
        <w:t xml:space="preserve"> sovereign right to dispose wealth </w:t>
      </w:r>
      <w:r w:rsidRPr="005F7DE8">
        <w:rPr>
          <w:lang w:val="en-US"/>
        </w:rPr>
        <w:t>and natural</w:t>
      </w:r>
      <w:r w:rsidRPr="005F7DE8">
        <w:rPr>
          <w:rFonts w:eastAsia="Calibri"/>
          <w:lang w:val="en-US"/>
        </w:rPr>
        <w:t xml:space="preserve"> resources</w:t>
      </w:r>
      <w:r w:rsidRPr="005F7DE8">
        <w:rPr>
          <w:lang w:val="en-US"/>
        </w:rPr>
        <w:t xml:space="preserve"> of the Islands on the base of the</w:t>
      </w:r>
      <w:r w:rsidRPr="005F7DE8">
        <w:rPr>
          <w:rFonts w:eastAsia="Calibri"/>
          <w:lang w:val="en-US"/>
        </w:rPr>
        <w:t xml:space="preserve"> principle of economic self-determination and permanent sovereignty over natural resources.</w:t>
      </w:r>
    </w:p>
    <w:p w:rsidR="00CF2907" w:rsidRPr="005F7DE8" w:rsidRDefault="00CF2907" w:rsidP="00CF2907">
      <w:pPr>
        <w:spacing w:line="480" w:lineRule="auto"/>
        <w:ind w:firstLine="720"/>
        <w:rPr>
          <w:lang w:val="en-US"/>
        </w:rPr>
      </w:pPr>
      <w:r w:rsidRPr="005F7DE8">
        <w:rPr>
          <w:lang w:val="en-US"/>
        </w:rPr>
        <w:t xml:space="preserve">7. </w:t>
      </w:r>
      <w:r w:rsidRPr="005F7DE8">
        <w:rPr>
          <w:rFonts w:eastAsia="Calibri"/>
          <w:lang w:val="en-US"/>
        </w:rPr>
        <w:t>Rydal’s rejection of the MDR’s bid does not violate Aspatria-Rydal bid, because the ROCO bit satisfied the interest of national development and well-being of the Islanders</w:t>
      </w:r>
      <w:r w:rsidRPr="005F7DE8">
        <w:rPr>
          <w:lang w:val="en-US"/>
        </w:rPr>
        <w:t>.</w:t>
      </w:r>
    </w:p>
    <w:p w:rsidR="00CF2907" w:rsidRPr="005F7DE8" w:rsidRDefault="00CF2907" w:rsidP="00CF2907">
      <w:pPr>
        <w:spacing w:line="480" w:lineRule="auto"/>
        <w:ind w:firstLine="709"/>
        <w:jc w:val="both"/>
        <w:rPr>
          <w:lang w:val="en-US"/>
        </w:rPr>
      </w:pPr>
      <w:r w:rsidRPr="005F7DE8">
        <w:rPr>
          <w:lang w:val="en-US"/>
        </w:rPr>
        <w:t xml:space="preserve">8. </w:t>
      </w:r>
      <w:r w:rsidRPr="005F7DE8">
        <w:rPr>
          <w:rFonts w:eastAsia="Calibri"/>
          <w:lang w:val="en-US"/>
        </w:rPr>
        <w:t>Actions of Aspatria to seize the assets of the ALEC company violate the principle of good faith and non-discrimination measures which is established by the Treaty Concerning the Encouragement and Reciprocal Protection of Investment ( Aspatria-Rydal Bit) the between Rydal and Aspatria.</w:t>
      </w:r>
    </w:p>
    <w:p w:rsidR="00CF2907" w:rsidRPr="005F7DE8" w:rsidRDefault="00CF2907" w:rsidP="00CF2907">
      <w:pPr>
        <w:spacing w:line="480" w:lineRule="auto"/>
        <w:ind w:firstLine="709"/>
        <w:jc w:val="both"/>
        <w:rPr>
          <w:lang w:val="en-US"/>
        </w:rPr>
      </w:pPr>
      <w:r w:rsidRPr="005F7DE8">
        <w:rPr>
          <w:lang w:val="en-US"/>
        </w:rPr>
        <w:t xml:space="preserve">9. </w:t>
      </w:r>
      <w:r w:rsidRPr="005F7DE8">
        <w:rPr>
          <w:rFonts w:eastAsia="Calibri"/>
          <w:lang w:val="en-US"/>
        </w:rPr>
        <w:t xml:space="preserve"> Aspatria violated the international obligations which it undertook by Rydal-Aspatria BIT and this action could be regarded as the actions which breach the Treaty Concerning the Encouragement and Reciprocal Protection of Investment.</w:t>
      </w:r>
    </w:p>
    <w:p w:rsidR="00CF2907" w:rsidRPr="005F7DE8" w:rsidRDefault="00CF2907" w:rsidP="00CF2907">
      <w:pPr>
        <w:spacing w:line="480" w:lineRule="auto"/>
        <w:ind w:firstLine="709"/>
        <w:jc w:val="both"/>
        <w:rPr>
          <w:lang w:val="en-US"/>
        </w:rPr>
      </w:pPr>
      <w:r w:rsidRPr="005F7DE8">
        <w:rPr>
          <w:lang w:val="en-US"/>
        </w:rPr>
        <w:lastRenderedPageBreak/>
        <w:t xml:space="preserve">10.The actions of thr  </w:t>
      </w:r>
      <w:r w:rsidRPr="005F7DE8">
        <w:rPr>
          <w:rFonts w:eastAsia="Calibri"/>
          <w:lang w:val="en-US"/>
        </w:rPr>
        <w:t>Aspatrian federal police</w:t>
      </w:r>
      <w:r w:rsidRPr="005F7DE8">
        <w:rPr>
          <w:lang w:val="en-US"/>
        </w:rPr>
        <w:t xml:space="preserve"> to</w:t>
      </w:r>
      <w:r w:rsidRPr="005F7DE8">
        <w:rPr>
          <w:rFonts w:eastAsia="Calibri"/>
          <w:lang w:val="en-US"/>
        </w:rPr>
        <w:t xml:space="preserve"> seize all assets of ALEC, including bank accounts and an oil tanker valued at approximately US$80 million</w:t>
      </w:r>
      <w:r w:rsidRPr="005F7DE8">
        <w:rPr>
          <w:lang w:val="en-US"/>
        </w:rPr>
        <w:t xml:space="preserve">  breaches the obligations not to </w:t>
      </w:r>
      <w:r w:rsidRPr="005F7DE8">
        <w:rPr>
          <w:rFonts w:eastAsia="Calibri"/>
          <w:lang w:val="en-US"/>
        </w:rPr>
        <w:t>expropriate or nationalise an investment either directly or indirectly through measures equivalent to expropriation or nationalisation ("expropriation"),</w:t>
      </w:r>
      <w:r w:rsidRPr="005F7DE8">
        <w:rPr>
          <w:lang w:val="en-US"/>
        </w:rPr>
        <w:t>which was undertook  under the   the Aspatria-Rydal BIT .</w:t>
      </w:r>
    </w:p>
    <w:p w:rsidR="00CF2907" w:rsidRPr="005F7DE8" w:rsidRDefault="00CF2907" w:rsidP="00CF2907">
      <w:pPr>
        <w:spacing w:line="480" w:lineRule="auto"/>
        <w:ind w:firstLine="709"/>
        <w:jc w:val="both"/>
        <w:rPr>
          <w:lang w:val="en-US"/>
        </w:rPr>
      </w:pPr>
      <w:r w:rsidRPr="005F7DE8">
        <w:rPr>
          <w:lang w:val="en-US"/>
        </w:rPr>
        <w:t xml:space="preserve">11. </w:t>
      </w:r>
      <w:r w:rsidRPr="005F7DE8">
        <w:rPr>
          <w:rFonts w:eastAsia="Calibri"/>
          <w:lang w:val="en-US"/>
        </w:rPr>
        <w:t>The Natural Resource Act (NRA) is the legislation which should be recognized “tantamount and expropriation”</w:t>
      </w:r>
      <w:r w:rsidRPr="005F7DE8">
        <w:rPr>
          <w:lang w:val="en-US"/>
        </w:rPr>
        <w:t xml:space="preserve"> because it violates the rules of international law in the field of protection of the foreign property.</w:t>
      </w:r>
    </w:p>
    <w:p w:rsidR="00CF2907" w:rsidRPr="005F7DE8" w:rsidRDefault="00CF2907" w:rsidP="00CF2907">
      <w:pPr>
        <w:spacing w:line="480" w:lineRule="auto"/>
        <w:ind w:firstLine="720"/>
        <w:rPr>
          <w:b/>
          <w:lang w:val="en-US"/>
        </w:rPr>
      </w:pPr>
      <w:r>
        <w:rPr>
          <w:b/>
          <w:lang w:val="en-US"/>
        </w:rPr>
        <w:t xml:space="preserve">    </w:t>
      </w:r>
    </w:p>
    <w:p w:rsidR="00CF2907" w:rsidRPr="00CF2907" w:rsidRDefault="00CF2907" w:rsidP="000A00D8">
      <w:pPr>
        <w:spacing w:line="480" w:lineRule="auto"/>
        <w:rPr>
          <w:lang w:val="en-US"/>
        </w:rPr>
      </w:pPr>
    </w:p>
    <w:p w:rsidR="00CF2907" w:rsidRPr="00CF2907" w:rsidRDefault="00CF2907" w:rsidP="000A00D8">
      <w:pPr>
        <w:spacing w:line="480" w:lineRule="auto"/>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Default="00CF2907" w:rsidP="000A00D8">
      <w:pPr>
        <w:spacing w:line="480" w:lineRule="auto"/>
        <w:rPr>
          <w:lang w:val="en-US"/>
        </w:rPr>
      </w:pPr>
    </w:p>
    <w:p w:rsidR="00CF2907" w:rsidRPr="00CF2907" w:rsidRDefault="00CF2907" w:rsidP="000A00D8">
      <w:pPr>
        <w:spacing w:line="480" w:lineRule="auto"/>
        <w:rPr>
          <w:lang w:val="en-US"/>
        </w:rPr>
      </w:pPr>
    </w:p>
    <w:p w:rsidR="000A00D8" w:rsidRPr="00CF2907" w:rsidRDefault="000A00D8" w:rsidP="000A00D8">
      <w:pPr>
        <w:spacing w:line="480" w:lineRule="auto"/>
      </w:pPr>
    </w:p>
    <w:p w:rsidR="000A00D8" w:rsidRPr="00CF2907" w:rsidRDefault="000A00D8" w:rsidP="000A00D8">
      <w:pPr>
        <w:spacing w:line="480" w:lineRule="auto"/>
      </w:pPr>
    </w:p>
    <w:p w:rsidR="000A00D8" w:rsidRPr="00CF2907" w:rsidRDefault="000A00D8" w:rsidP="000A00D8">
      <w:pPr>
        <w:spacing w:line="480" w:lineRule="auto"/>
      </w:pPr>
    </w:p>
    <w:p w:rsidR="000A00D8" w:rsidRPr="000A00D8" w:rsidRDefault="000A00D8" w:rsidP="000A00D8">
      <w:pPr>
        <w:spacing w:line="480" w:lineRule="auto"/>
      </w:pPr>
    </w:p>
    <w:p w:rsidR="000A00D8" w:rsidRPr="000A00D8" w:rsidRDefault="000A00D8" w:rsidP="000A00D8">
      <w:pPr>
        <w:spacing w:line="480" w:lineRule="auto"/>
        <w:ind w:firstLine="709"/>
      </w:pPr>
    </w:p>
    <w:p w:rsidR="00CF2907" w:rsidRPr="00AC7B5A" w:rsidRDefault="00CF2907" w:rsidP="00CF2907">
      <w:pPr>
        <w:rPr>
          <w:b/>
          <w:sz w:val="28"/>
          <w:szCs w:val="28"/>
        </w:rPr>
      </w:pPr>
      <w:r w:rsidRPr="00583D15">
        <w:rPr>
          <w:b/>
          <w:sz w:val="28"/>
          <w:szCs w:val="28"/>
        </w:rPr>
        <w:lastRenderedPageBreak/>
        <w:t>Pleadings</w:t>
      </w:r>
    </w:p>
    <w:p w:rsidR="00CF2907" w:rsidRDefault="009F073F" w:rsidP="00CF2907">
      <w:pPr>
        <w:spacing w:line="480" w:lineRule="auto"/>
        <w:ind w:left="360"/>
        <w:rPr>
          <w:b/>
          <w:sz w:val="28"/>
          <w:szCs w:val="28"/>
        </w:rPr>
      </w:pPr>
      <w:r w:rsidRPr="00E764C4">
        <w:rPr>
          <w:b/>
          <w:sz w:val="28"/>
          <w:szCs w:val="28"/>
        </w:rPr>
        <w:t>1.</w:t>
      </w:r>
      <w:r w:rsidR="00CF2907" w:rsidRPr="00E764C4">
        <w:rPr>
          <w:b/>
          <w:sz w:val="28"/>
          <w:szCs w:val="28"/>
        </w:rPr>
        <w:t xml:space="preserve"> Sovereignty over the Islands belongs to Rydal.</w:t>
      </w:r>
    </w:p>
    <w:p w:rsidR="00CF2907" w:rsidRPr="001868D8" w:rsidRDefault="00CF2907" w:rsidP="00CF2907">
      <w:pPr>
        <w:spacing w:line="480" w:lineRule="auto"/>
        <w:ind w:left="360"/>
        <w:rPr>
          <w:b/>
        </w:rPr>
      </w:pPr>
      <w:r>
        <w:rPr>
          <w:b/>
          <w:sz w:val="28"/>
          <w:szCs w:val="28"/>
        </w:rPr>
        <w:t>1.1</w:t>
      </w:r>
      <w:r w:rsidR="009F073F">
        <w:t>.</w:t>
      </w:r>
      <w:r w:rsidR="009F073F" w:rsidRPr="001868D8">
        <w:rPr>
          <w:b/>
        </w:rPr>
        <w:t xml:space="preserve"> Sovereignty</w:t>
      </w:r>
      <w:r w:rsidRPr="001868D8">
        <w:rPr>
          <w:b/>
        </w:rPr>
        <w:t xml:space="preserve"> over the Islands Delong to Rydal on the right of effective possession</w:t>
      </w:r>
    </w:p>
    <w:p w:rsidR="00CF2907" w:rsidRPr="00494EA0" w:rsidRDefault="00CF2907" w:rsidP="00CF2907">
      <w:pPr>
        <w:spacing w:line="480" w:lineRule="auto"/>
        <w:ind w:left="360"/>
        <w:rPr>
          <w:b/>
        </w:rPr>
      </w:pPr>
      <w:r w:rsidRPr="00494EA0">
        <w:rPr>
          <w:b/>
        </w:rPr>
        <w:t>1.1.</w:t>
      </w:r>
      <w:r>
        <w:rPr>
          <w:b/>
        </w:rPr>
        <w:t>1</w:t>
      </w:r>
      <w:r w:rsidR="00053F9A">
        <w:rPr>
          <w:b/>
        </w:rPr>
        <w:t>.</w:t>
      </w:r>
      <w:r w:rsidR="00053F9A" w:rsidRPr="00494EA0">
        <w:rPr>
          <w:b/>
        </w:rPr>
        <w:t xml:space="preserve"> The</w:t>
      </w:r>
      <w:r w:rsidRPr="00494EA0">
        <w:rPr>
          <w:b/>
        </w:rPr>
        <w:t xml:space="preserve"> occupation of the Windscale islands where completed, when the Captain Geoffrey Parrish first discovered it at 1777.</w:t>
      </w:r>
    </w:p>
    <w:p w:rsidR="00CF2907" w:rsidRDefault="00CF2907" w:rsidP="00CF2907">
      <w:pPr>
        <w:spacing w:line="480" w:lineRule="auto"/>
        <w:ind w:firstLine="720"/>
      </w:pPr>
      <w:r w:rsidRPr="008D03A9">
        <w:rPr>
          <w:color w:val="000000"/>
        </w:rPr>
        <w:t>As has been noted by the court in Clipperton Islands case</w:t>
      </w:r>
      <w:r>
        <w:rPr>
          <w:color w:val="FF0000"/>
        </w:rPr>
        <w:t xml:space="preserve"> </w:t>
      </w:r>
      <w:r>
        <w:t>the taking of possession consists in the act, or series of acts, by which the occupying state reduces to its possession the territory in question and takes steps to exercise exclusive authority there.</w:t>
      </w:r>
      <w:r w:rsidRPr="00167028">
        <w:t xml:space="preserve"> </w:t>
      </w:r>
      <w:r>
        <w:t>If a territory, by virtue of the fact that it was completely uninhabited, is, from the first moment when the occupying state makes its appearance there, at the absolute and undisputed disposition of that state, from that moment the taking of possession must be considered as accomplished, and occupation is thereby completed</w:t>
      </w:r>
      <w:r>
        <w:rPr>
          <w:rStyle w:val="aa"/>
        </w:rPr>
        <w:footnoteReference w:id="2"/>
      </w:r>
      <w:r>
        <w:t xml:space="preserve">. </w:t>
      </w:r>
    </w:p>
    <w:p w:rsidR="00CF2907" w:rsidRPr="008669AB" w:rsidRDefault="00CF2907" w:rsidP="00CF2907">
      <w:pPr>
        <w:spacing w:line="480" w:lineRule="auto"/>
        <w:ind w:firstLine="708"/>
      </w:pPr>
      <w:r w:rsidRPr="008669AB">
        <w:t xml:space="preserve">When the Captain Geoffrey Parrish first discovered the Islands there were no signs of human habitation, that is what he said in his ship’s log: </w:t>
      </w:r>
      <w:r>
        <w:t>“</w:t>
      </w:r>
      <w:r w:rsidRPr="009B3F72">
        <w:rPr>
          <w:i/>
        </w:rPr>
        <w:t>On 6 December 1777, we discovered a group of remote and windswept islands not appearing on our charts. There were no signs of human habitation. Before our ship departed, we took short leave on one of the larger islands and left behind the flag of Rydal and a stone carved with a declaration asserting the sovereignty of King Andrew of Rydal and his successors over the Islands</w:t>
      </w:r>
      <w:r>
        <w:t>”</w:t>
      </w:r>
      <w:r w:rsidRPr="008669AB">
        <w:t>.</w:t>
      </w:r>
      <w:r>
        <w:rPr>
          <w:rStyle w:val="aa"/>
        </w:rPr>
        <w:footnoteReference w:id="3"/>
      </w:r>
    </w:p>
    <w:p w:rsidR="00CF2907" w:rsidRPr="008669AB" w:rsidRDefault="00CF2907" w:rsidP="00CF2907">
      <w:pPr>
        <w:spacing w:line="480" w:lineRule="auto"/>
        <w:ind w:firstLine="720"/>
      </w:pPr>
      <w:r>
        <w:t xml:space="preserve"> The territory of Windscale Islands was </w:t>
      </w:r>
      <w:r w:rsidRPr="00164005">
        <w:rPr>
          <w:b/>
        </w:rPr>
        <w:t>“</w:t>
      </w:r>
      <w:r w:rsidRPr="00164005">
        <w:rPr>
          <w:b/>
          <w:i/>
        </w:rPr>
        <w:t>terra nullius</w:t>
      </w:r>
      <w:r w:rsidRPr="00164005">
        <w:rPr>
          <w:b/>
        </w:rPr>
        <w:t>”</w:t>
      </w:r>
      <w:r>
        <w:rPr>
          <w:b/>
        </w:rPr>
        <w:t>.</w:t>
      </w:r>
      <w:r w:rsidRPr="00164005">
        <w:rPr>
          <w:b/>
        </w:rPr>
        <w:t xml:space="preserve"> </w:t>
      </w:r>
    </w:p>
    <w:p w:rsidR="00CF2907" w:rsidRPr="00F33E82" w:rsidRDefault="00CF2907" w:rsidP="00CF2907">
      <w:pPr>
        <w:autoSpaceDE w:val="0"/>
        <w:autoSpaceDN w:val="0"/>
        <w:adjustRightInd w:val="0"/>
        <w:spacing w:line="480" w:lineRule="auto"/>
        <w:rPr>
          <w:rFonts w:eastAsia="Calibri"/>
        </w:rPr>
      </w:pPr>
      <w:r w:rsidRPr="008D03A9">
        <w:rPr>
          <w:color w:val="000000"/>
        </w:rPr>
        <w:t xml:space="preserve"> The International Court of Justice noticed in “Western Sahara” case that t</w:t>
      </w:r>
      <w:r w:rsidRPr="008D03A9">
        <w:rPr>
          <w:rFonts w:eastAsia="Calibri"/>
          <w:color w:val="000000"/>
        </w:rPr>
        <w:t>he</w:t>
      </w:r>
      <w:r w:rsidRPr="002D7262">
        <w:rPr>
          <w:rFonts w:eastAsia="Calibri"/>
        </w:rPr>
        <w:t xml:space="preserve"> expression </w:t>
      </w:r>
      <w:r w:rsidRPr="002D7262">
        <w:rPr>
          <w:rFonts w:eastAsia="Calibri"/>
          <w:b/>
          <w:bCs/>
          <w:i/>
          <w:iCs/>
        </w:rPr>
        <w:t xml:space="preserve">"terra nullius" </w:t>
      </w:r>
      <w:r>
        <w:rPr>
          <w:rFonts w:eastAsia="Calibri"/>
        </w:rPr>
        <w:t>is</w:t>
      </w:r>
      <w:r w:rsidRPr="002D7262">
        <w:rPr>
          <w:rFonts w:eastAsia="Calibri"/>
        </w:rPr>
        <w:t xml:space="preserve"> a legal term of art employed in connection with "occupation" as one of the accepted legal methods of acquiring sovereignty over territory. "Occupation" being legally an original means of peaceably acquiring sovereignty over territory otherwise than by cession or succession, </w:t>
      </w:r>
      <w:r w:rsidRPr="002D7262">
        <w:rPr>
          <w:rFonts w:eastAsia="Calibri"/>
        </w:rPr>
        <w:lastRenderedPageBreak/>
        <w:t xml:space="preserve">it was a cardinal condition of a valid "occupation" that the territory should be </w:t>
      </w:r>
      <w:r w:rsidRPr="002D7262">
        <w:rPr>
          <w:rFonts w:eastAsia="Calibri"/>
          <w:b/>
          <w:bCs/>
          <w:i/>
          <w:iCs/>
        </w:rPr>
        <w:t>terra nullius</w:t>
      </w:r>
      <w:r w:rsidRPr="00795873">
        <w:rPr>
          <w:rFonts w:eastAsia="Calibri"/>
          <w:b/>
          <w:bCs/>
          <w:i/>
          <w:iCs/>
        </w:rPr>
        <w:t xml:space="preserve"> </w:t>
      </w:r>
      <w:r w:rsidRPr="002D7262">
        <w:rPr>
          <w:rFonts w:eastAsia="Calibri"/>
          <w:b/>
          <w:bCs/>
          <w:i/>
          <w:iCs/>
        </w:rPr>
        <w:t xml:space="preserve">- </w:t>
      </w:r>
      <w:r w:rsidRPr="002D7262">
        <w:rPr>
          <w:rFonts w:eastAsia="Calibri"/>
        </w:rPr>
        <w:t xml:space="preserve">a </w:t>
      </w:r>
      <w:r w:rsidRPr="00F33E82">
        <w:rPr>
          <w:rFonts w:eastAsia="Calibri"/>
        </w:rPr>
        <w:t>territory belonging to no-one - at the time of the act alleged to constitute the "occupation"</w:t>
      </w:r>
      <w:r w:rsidRPr="00F33E82">
        <w:rPr>
          <w:rStyle w:val="aa"/>
          <w:rFonts w:eastAsia="Calibri"/>
        </w:rPr>
        <w:footnoteReference w:id="4"/>
      </w:r>
      <w:r w:rsidRPr="00F33E82">
        <w:rPr>
          <w:rFonts w:eastAsia="Calibri"/>
        </w:rPr>
        <w:t>.</w:t>
      </w:r>
    </w:p>
    <w:p w:rsidR="00CF2907" w:rsidRPr="00F33E82" w:rsidRDefault="00CF2907" w:rsidP="00CF2907">
      <w:pPr>
        <w:autoSpaceDE w:val="0"/>
        <w:autoSpaceDN w:val="0"/>
        <w:adjustRightInd w:val="0"/>
        <w:spacing w:line="480" w:lineRule="auto"/>
        <w:ind w:firstLine="720"/>
        <w:rPr>
          <w:rFonts w:eastAsia="Calibri"/>
          <w:color w:val="000000"/>
        </w:rPr>
      </w:pPr>
      <w:r w:rsidRPr="00F33E82">
        <w:rPr>
          <w:color w:val="000000"/>
        </w:rPr>
        <w:t xml:space="preserve">This rule is firmly established in the ICJ practice. In the Eastern Greenland case the ICJ observed that under the concept of </w:t>
      </w:r>
      <w:r w:rsidRPr="00F33E82">
        <w:rPr>
          <w:i/>
          <w:color w:val="000000"/>
        </w:rPr>
        <w:t>terra nullius</w:t>
      </w:r>
      <w:r w:rsidRPr="00F33E82">
        <w:rPr>
          <w:color w:val="000000"/>
        </w:rPr>
        <w:t xml:space="preserve"> “</w:t>
      </w:r>
      <w:r w:rsidRPr="00F33E82">
        <w:rPr>
          <w:rStyle w:val="documentbody1"/>
          <w:rFonts w:ascii="Times New Roman" w:hAnsi="Times New Roman"/>
          <w:color w:val="000000"/>
          <w:sz w:val="24"/>
          <w:szCs w:val="24"/>
        </w:rPr>
        <w:t>in order to acquire sovereignty over territory which is not under the control of any state [sparsely populated and desolate areas</w:t>
      </w:r>
      <w:r w:rsidRPr="00F33E82">
        <w:rPr>
          <w:rStyle w:val="aa"/>
          <w:color w:val="000000"/>
        </w:rPr>
        <w:footnoteReference w:id="5"/>
      </w:r>
      <w:r w:rsidRPr="00F33E82">
        <w:rPr>
          <w:rStyle w:val="documentbody1"/>
          <w:rFonts w:ascii="Times New Roman" w:hAnsi="Times New Roman"/>
          <w:color w:val="000000"/>
          <w:sz w:val="24"/>
          <w:szCs w:val="24"/>
        </w:rPr>
        <w:t xml:space="preserve">], a state must </w:t>
      </w:r>
      <w:r w:rsidRPr="00F33E82">
        <w:rPr>
          <w:rStyle w:val="documentbody1"/>
          <w:rFonts w:ascii="Times New Roman" w:hAnsi="Times New Roman"/>
          <w:i/>
          <w:iCs/>
          <w:color w:val="000000"/>
          <w:sz w:val="24"/>
          <w:szCs w:val="24"/>
        </w:rPr>
        <w:t>intend</w:t>
      </w:r>
      <w:r w:rsidRPr="00F33E82">
        <w:rPr>
          <w:rStyle w:val="documentbody1"/>
          <w:rFonts w:ascii="Times New Roman" w:hAnsi="Times New Roman"/>
          <w:color w:val="000000"/>
          <w:sz w:val="24"/>
          <w:szCs w:val="24"/>
        </w:rPr>
        <w:t xml:space="preserve"> to control the territory, and this intent must be accompanied by effective, uninterrupted, and permanent possession of the territory”</w:t>
      </w:r>
      <w:r w:rsidRPr="00F33E82">
        <w:rPr>
          <w:rStyle w:val="aa"/>
          <w:color w:val="000000"/>
        </w:rPr>
        <w:footnoteReference w:id="6"/>
      </w:r>
      <w:r w:rsidRPr="00F33E82">
        <w:rPr>
          <w:rStyle w:val="documentbody1"/>
          <w:rFonts w:ascii="Times New Roman" w:hAnsi="Times New Roman"/>
          <w:color w:val="000000"/>
          <w:sz w:val="24"/>
          <w:szCs w:val="24"/>
        </w:rPr>
        <w:t xml:space="preserve">. </w:t>
      </w:r>
    </w:p>
    <w:p w:rsidR="00CF2907" w:rsidRPr="00F33E82" w:rsidRDefault="00CF2907" w:rsidP="00CF2907">
      <w:pPr>
        <w:spacing w:line="480" w:lineRule="auto"/>
        <w:ind w:firstLine="720"/>
        <w:rPr>
          <w:color w:val="000000"/>
        </w:rPr>
      </w:pPr>
      <w:r w:rsidRPr="00F33E82">
        <w:rPr>
          <w:color w:val="000000"/>
        </w:rPr>
        <w:t>As it is known from the facts of the case, the flag of Rydal was left on the islands identifying that they were discovered by Rydalian vessel, thus the terra nullis rule is applicable in the case.</w:t>
      </w:r>
    </w:p>
    <w:p w:rsidR="00CF2907" w:rsidRPr="008D03A9" w:rsidRDefault="00CF2907" w:rsidP="00CF2907">
      <w:pPr>
        <w:spacing w:line="480" w:lineRule="auto"/>
        <w:rPr>
          <w:color w:val="000000"/>
        </w:rPr>
      </w:pPr>
    </w:p>
    <w:p w:rsidR="00CF2907" w:rsidRPr="008D03A9" w:rsidRDefault="00CF2907" w:rsidP="00CF2907">
      <w:pPr>
        <w:spacing w:line="480" w:lineRule="auto"/>
        <w:rPr>
          <w:b/>
          <w:color w:val="000000"/>
        </w:rPr>
      </w:pPr>
      <w:r w:rsidRPr="008D03A9">
        <w:rPr>
          <w:b/>
          <w:color w:val="000000"/>
        </w:rPr>
        <w:t>1.1.2 The sovereignty over the Islands belongs the Kingdom of Rydal on the base of legal ties between the state and territory.</w:t>
      </w:r>
    </w:p>
    <w:p w:rsidR="00CF2907" w:rsidRPr="008D03A9" w:rsidRDefault="00CF2907" w:rsidP="00CF2907">
      <w:pPr>
        <w:spacing w:line="480" w:lineRule="auto"/>
        <w:ind w:firstLine="708"/>
        <w:rPr>
          <w:color w:val="000000"/>
        </w:rPr>
      </w:pPr>
      <w:r w:rsidRPr="008D03A9">
        <w:rPr>
          <w:color w:val="000000"/>
        </w:rPr>
        <w:t>Rydal exercises in facto the sovereignty over the islands because of its legal ties with it. The “legal ties” concept has been explained by the ICJ in the Western Sahara case.</w:t>
      </w:r>
      <w:r w:rsidRPr="008D03A9">
        <w:rPr>
          <w:rStyle w:val="aa"/>
          <w:color w:val="000000"/>
        </w:rPr>
        <w:footnoteReference w:id="7"/>
      </w:r>
      <w:r w:rsidRPr="008D03A9">
        <w:rPr>
          <w:color w:val="000000"/>
        </w:rPr>
        <w:t xml:space="preserve"> The court emphasized the importance of sovereignty for determination of legal ties. In casu, Rydol has effectively exercised sovereignty over the islands for decades and this sovereignty, including establishment of government, effective control over the Islands' territory and organization of independence referendum, and this sovereignty has not been questioned by any state except Aspatria. </w:t>
      </w:r>
      <w:r w:rsidRPr="008D03A9">
        <w:rPr>
          <w:color w:val="000000"/>
        </w:rPr>
        <w:br/>
      </w:r>
    </w:p>
    <w:p w:rsidR="00CF2907" w:rsidRPr="00BA3E60" w:rsidRDefault="00CF2907" w:rsidP="00CF2907">
      <w:pPr>
        <w:spacing w:line="480" w:lineRule="auto"/>
        <w:ind w:firstLine="708"/>
        <w:rPr>
          <w:color w:val="000000"/>
          <w:lang w:val="en-US"/>
        </w:rPr>
      </w:pPr>
      <w:r w:rsidRPr="008D03A9">
        <w:rPr>
          <w:color w:val="000000"/>
        </w:rPr>
        <w:lastRenderedPageBreak/>
        <w:t>The meaning of the words "legal ties" has to be sought in the object and purpose of resolution 3292 (XXIX) of the United Nations General Assembly. One of the questions presented in the resolution (together with the “terra nullius” question) was the question concerning legal ties between the territory of Western Sahara and the Kingdom of Morocco and the Mauritanian entity.</w:t>
      </w:r>
      <w:r w:rsidRPr="008D03A9">
        <w:rPr>
          <w:rStyle w:val="aa"/>
          <w:color w:val="000000"/>
        </w:rPr>
        <w:footnoteReference w:id="8"/>
      </w:r>
      <w:r w:rsidRPr="008D03A9">
        <w:rPr>
          <w:color w:val="000000"/>
        </w:rPr>
        <w:t xml:space="preserve">  It appears to the Court that they must be understood as referring to such legal ties as may affect the policy to be followed in the decolonization of Western Sahara.</w:t>
      </w:r>
    </w:p>
    <w:p w:rsidR="00F33E82" w:rsidRPr="00BA3E60" w:rsidRDefault="00F33E82" w:rsidP="00CF2907">
      <w:pPr>
        <w:spacing w:line="480" w:lineRule="auto"/>
        <w:ind w:firstLine="708"/>
        <w:rPr>
          <w:color w:val="000000"/>
          <w:lang w:val="en-US"/>
        </w:rPr>
      </w:pPr>
    </w:p>
    <w:p w:rsidR="00CF2907" w:rsidRPr="008D03A9" w:rsidRDefault="00CF2907" w:rsidP="00CF2907">
      <w:pPr>
        <w:spacing w:line="480" w:lineRule="auto"/>
        <w:rPr>
          <w:b/>
          <w:color w:val="000000"/>
        </w:rPr>
      </w:pPr>
      <w:r w:rsidRPr="008D03A9">
        <w:rPr>
          <w:b/>
          <w:color w:val="000000"/>
        </w:rPr>
        <w:t>1.1.3 Rydal establishes sovereignty over the islands on the basis of a tangible demonstration of power on its territory.</w:t>
      </w:r>
    </w:p>
    <w:p w:rsidR="00CF2907" w:rsidRPr="008D03A9" w:rsidRDefault="00CF2907" w:rsidP="00CF2907">
      <w:pPr>
        <w:spacing w:line="480" w:lineRule="auto"/>
        <w:ind w:firstLine="720"/>
        <w:rPr>
          <w:color w:val="000000"/>
        </w:rPr>
      </w:pPr>
      <w:r w:rsidRPr="008D03A9">
        <w:rPr>
          <w:color w:val="000000"/>
        </w:rPr>
        <w:t>The Rydal executes its authority functions through effective administration managerial control over islands.</w:t>
      </w:r>
    </w:p>
    <w:p w:rsidR="00CF2907" w:rsidRDefault="00CF2907" w:rsidP="00CF2907">
      <w:pPr>
        <w:autoSpaceDE w:val="0"/>
        <w:autoSpaceDN w:val="0"/>
        <w:adjustRightInd w:val="0"/>
        <w:spacing w:line="480" w:lineRule="auto"/>
        <w:ind w:firstLine="720"/>
        <w:rPr>
          <w:rFonts w:ascii="TimesNewRoman" w:eastAsia="Calibri" w:hAnsi="TimesNewRoman" w:cs="TimesNewRoman"/>
        </w:rPr>
      </w:pPr>
      <w:r w:rsidRPr="008D03A9">
        <w:rPr>
          <w:rFonts w:ascii="TimesNewRoman" w:eastAsia="Calibri" w:hAnsi="TimesNewRoman" w:cs="TimesNewRoman"/>
          <w:color w:val="000000"/>
        </w:rPr>
        <w:t>As has been stated in the landmark Las Palmas case sovereignty in relation to a portion of the surface of the globe is the legal condition necessary for the inclusion of such</w:t>
      </w:r>
      <w:r>
        <w:rPr>
          <w:rFonts w:ascii="TimesNewRoman" w:eastAsia="Calibri" w:hAnsi="TimesNewRoman" w:cs="TimesNewRoman"/>
        </w:rPr>
        <w:t xml:space="preserve"> </w:t>
      </w:r>
      <w:r w:rsidRPr="0052455C">
        <w:rPr>
          <w:rFonts w:ascii="TimesNewRoman" w:eastAsia="Calibri" w:hAnsi="TimesNewRoman" w:cs="TimesNewRoman"/>
        </w:rPr>
        <w:t>portion in the territory of any particular State. Sovereignty in relation to territory is in the</w:t>
      </w:r>
      <w:r>
        <w:rPr>
          <w:rFonts w:ascii="TimesNewRoman" w:eastAsia="Calibri" w:hAnsi="TimesNewRoman" w:cs="TimesNewRoman"/>
        </w:rPr>
        <w:t xml:space="preserve"> </w:t>
      </w:r>
      <w:r w:rsidRPr="0052455C">
        <w:rPr>
          <w:rFonts w:ascii="TimesNewRoman" w:eastAsia="Calibri" w:hAnsi="TimesNewRoman" w:cs="TimesNewRoman"/>
        </w:rPr>
        <w:t>present award called “territorial sovereignty”.</w:t>
      </w:r>
      <w:r>
        <w:rPr>
          <w:rFonts w:ascii="TimesNewRoman" w:eastAsia="Calibri" w:hAnsi="TimesNewRoman" w:cs="TimesNewRoman"/>
        </w:rPr>
        <w:t xml:space="preserve"> </w:t>
      </w:r>
      <w:r w:rsidRPr="0052455C">
        <w:rPr>
          <w:rFonts w:ascii="TimesNewRoman" w:eastAsia="Calibri" w:hAnsi="TimesNewRoman" w:cs="TimesNewRoman"/>
        </w:rPr>
        <w:t>Sovereignty in the relations between States signifies independence. Independence in</w:t>
      </w:r>
      <w:r>
        <w:rPr>
          <w:rFonts w:ascii="TimesNewRoman" w:eastAsia="Calibri" w:hAnsi="TimesNewRoman" w:cs="TimesNewRoman"/>
        </w:rPr>
        <w:t xml:space="preserve"> </w:t>
      </w:r>
      <w:r w:rsidRPr="0052455C">
        <w:rPr>
          <w:rFonts w:ascii="TimesNewRoman" w:eastAsia="Calibri" w:hAnsi="TimesNewRoman" w:cs="TimesNewRoman"/>
        </w:rPr>
        <w:t>regard to a portion of the globe is the right to exercise therein, to the exclusion of any other</w:t>
      </w:r>
      <w:r>
        <w:rPr>
          <w:rFonts w:ascii="TimesNewRoman" w:eastAsia="Calibri" w:hAnsi="TimesNewRoman" w:cs="TimesNewRoman"/>
        </w:rPr>
        <w:t xml:space="preserve"> </w:t>
      </w:r>
      <w:r w:rsidRPr="0052455C">
        <w:rPr>
          <w:rFonts w:ascii="TimesNewRoman" w:eastAsia="Calibri" w:hAnsi="TimesNewRoman" w:cs="TimesNewRoman"/>
        </w:rPr>
        <w:t>State, the functions of a State</w:t>
      </w:r>
      <w:r>
        <w:rPr>
          <w:rStyle w:val="aa"/>
          <w:rFonts w:ascii="TimesNewRoman" w:eastAsia="Calibri" w:hAnsi="TimesNewRoman" w:cs="TimesNewRoman"/>
        </w:rPr>
        <w:footnoteReference w:id="9"/>
      </w:r>
      <w:r w:rsidRPr="0052455C">
        <w:rPr>
          <w:rFonts w:ascii="TimesNewRoman" w:eastAsia="Calibri" w:hAnsi="TimesNewRoman" w:cs="TimesNewRoman"/>
        </w:rPr>
        <w:t>.</w:t>
      </w:r>
    </w:p>
    <w:p w:rsidR="00CF2907" w:rsidRDefault="00CF2907" w:rsidP="00CF2907">
      <w:pPr>
        <w:autoSpaceDE w:val="0"/>
        <w:autoSpaceDN w:val="0"/>
        <w:adjustRightInd w:val="0"/>
        <w:spacing w:line="480" w:lineRule="auto"/>
        <w:ind w:firstLine="720"/>
        <w:rPr>
          <w:rFonts w:ascii="TimesNewRoman" w:eastAsia="Calibri" w:hAnsi="TimesNewRoman" w:cs="TimesNewRoman"/>
          <w:sz w:val="23"/>
          <w:szCs w:val="23"/>
        </w:rPr>
      </w:pPr>
      <w:r w:rsidRPr="0052455C">
        <w:rPr>
          <w:rFonts w:ascii="TimesNewRoman" w:eastAsia="Calibri" w:hAnsi="TimesNewRoman" w:cs="TimesNewRoman"/>
          <w:sz w:val="23"/>
          <w:szCs w:val="23"/>
        </w:rPr>
        <w:t>The growing insistence with which international</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law, ever since the middle of the 18</w:t>
      </w:r>
      <w:r w:rsidRPr="0052455C">
        <w:rPr>
          <w:rFonts w:ascii="TimesNewRoman" w:eastAsia="Calibri" w:hAnsi="TimesNewRoman" w:cs="TimesNewRoman"/>
          <w:sz w:val="15"/>
          <w:szCs w:val="15"/>
        </w:rPr>
        <w:t xml:space="preserve">th </w:t>
      </w:r>
      <w:r w:rsidRPr="0052455C">
        <w:rPr>
          <w:rFonts w:ascii="TimesNewRoman" w:eastAsia="Calibri" w:hAnsi="TimesNewRoman" w:cs="TimesNewRoman"/>
          <w:sz w:val="23"/>
          <w:szCs w:val="23"/>
        </w:rPr>
        <w:t>century, has demanded that the occupation shall be</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effective would be inconceivable, if effectiveness were required only for the act of acquisition</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and not equally for the maintenance of the right. If the effectiveness has above all been</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insisted on in regard to occupation, this is because the question rarely arises in connection</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with territories in which there is already an established order of things. Just as before the rise</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of international law, boundaries of lands were necessarily determined by the fact that the</w:t>
      </w:r>
      <w:r>
        <w:rPr>
          <w:rFonts w:ascii="TimesNewRoman" w:eastAsia="Calibri" w:hAnsi="TimesNewRoman" w:cs="TimesNewRoman"/>
          <w:sz w:val="23"/>
          <w:szCs w:val="23"/>
        </w:rPr>
        <w:t xml:space="preserve"> </w:t>
      </w:r>
      <w:r w:rsidRPr="0052455C">
        <w:rPr>
          <w:rFonts w:ascii="TimesNewRoman" w:eastAsia="Calibri" w:hAnsi="TimesNewRoman" w:cs="TimesNewRoman"/>
          <w:sz w:val="23"/>
          <w:szCs w:val="23"/>
        </w:rPr>
        <w:t xml:space="preserve">power of a State was exercised within them, so too, under the reign of international law, </w:t>
      </w:r>
      <w:r w:rsidRPr="0052455C">
        <w:rPr>
          <w:rFonts w:ascii="TimesNewRoman" w:eastAsia="Calibri" w:hAnsi="TimesNewRoman" w:cs="TimesNewRoman"/>
          <w:i/>
          <w:sz w:val="23"/>
          <w:szCs w:val="23"/>
        </w:rPr>
        <w:lastRenderedPageBreak/>
        <w:t>the fact of peaceful and continuous display is still one of the most important considerations in</w:t>
      </w:r>
      <w:r>
        <w:rPr>
          <w:rFonts w:ascii="TimesNewRoman" w:eastAsia="Calibri" w:hAnsi="TimesNewRoman" w:cs="TimesNewRoman"/>
          <w:i/>
          <w:sz w:val="23"/>
          <w:szCs w:val="23"/>
        </w:rPr>
        <w:t xml:space="preserve"> </w:t>
      </w:r>
      <w:r w:rsidRPr="00494EA0">
        <w:rPr>
          <w:rFonts w:ascii="TimesNewRoman" w:eastAsia="Calibri" w:hAnsi="TimesNewRoman" w:cs="TimesNewRoman"/>
          <w:i/>
          <w:sz w:val="23"/>
          <w:szCs w:val="23"/>
        </w:rPr>
        <w:t>establishing boundaries between States</w:t>
      </w:r>
      <w:r w:rsidRPr="00494EA0">
        <w:rPr>
          <w:rFonts w:ascii="TimesNewRoman" w:eastAsia="Calibri" w:hAnsi="TimesNewRoman" w:cs="TimesNewRoman"/>
          <w:sz w:val="23"/>
          <w:szCs w:val="23"/>
        </w:rPr>
        <w:t>.</w:t>
      </w:r>
    </w:p>
    <w:p w:rsidR="00CF2907" w:rsidRPr="00DA7131" w:rsidRDefault="00CF2907" w:rsidP="00CF2907">
      <w:pPr>
        <w:autoSpaceDE w:val="0"/>
        <w:autoSpaceDN w:val="0"/>
        <w:adjustRightInd w:val="0"/>
        <w:spacing w:line="480" w:lineRule="auto"/>
        <w:ind w:firstLine="720"/>
        <w:rPr>
          <w:rFonts w:ascii="TimesNewRoman" w:eastAsia="Calibri" w:hAnsi="TimesNewRoman" w:cs="TimesNewRoman"/>
        </w:rPr>
      </w:pPr>
      <w:r w:rsidRPr="00DA7131">
        <w:rPr>
          <w:rFonts w:ascii="TimesNewRoman" w:eastAsia="Calibri" w:hAnsi="TimesNewRoman" w:cs="TimesNewRoman"/>
        </w:rPr>
        <w:t>The principle that continuous and peaceful display of the functions of State within a</w:t>
      </w:r>
    </w:p>
    <w:p w:rsidR="00CF2907" w:rsidRPr="00DA7131" w:rsidRDefault="00CF2907" w:rsidP="00CF2907">
      <w:pPr>
        <w:autoSpaceDE w:val="0"/>
        <w:autoSpaceDN w:val="0"/>
        <w:adjustRightInd w:val="0"/>
        <w:spacing w:line="480" w:lineRule="auto"/>
        <w:rPr>
          <w:rFonts w:ascii="TimesNewRoman" w:eastAsia="Calibri" w:hAnsi="TimesNewRoman" w:cs="TimesNewRoman"/>
        </w:rPr>
      </w:pPr>
      <w:r w:rsidRPr="00DA7131">
        <w:rPr>
          <w:rFonts w:ascii="TimesNewRoman" w:eastAsia="Calibri" w:hAnsi="TimesNewRoman" w:cs="TimesNewRoman"/>
        </w:rPr>
        <w:t>given region is a constituent element of territorial sovereignty is not only based on the</w:t>
      </w:r>
    </w:p>
    <w:p w:rsidR="00CF2907" w:rsidRPr="00DA7131" w:rsidRDefault="00CF2907" w:rsidP="00CF2907">
      <w:pPr>
        <w:autoSpaceDE w:val="0"/>
        <w:autoSpaceDN w:val="0"/>
        <w:adjustRightInd w:val="0"/>
        <w:spacing w:line="480" w:lineRule="auto"/>
        <w:rPr>
          <w:rFonts w:ascii="TimesNewRoman" w:eastAsia="Calibri" w:hAnsi="TimesNewRoman" w:cs="TimesNewRoman"/>
        </w:rPr>
      </w:pPr>
      <w:r w:rsidRPr="00DA7131">
        <w:rPr>
          <w:rFonts w:ascii="TimesNewRoman" w:eastAsia="Calibri" w:hAnsi="TimesNewRoman" w:cs="TimesNewRoman"/>
        </w:rPr>
        <w:t>conditions of the formation of independent States and their boundaries (as shown by the</w:t>
      </w:r>
    </w:p>
    <w:p w:rsidR="00CF2907" w:rsidRPr="00DA7131" w:rsidRDefault="00CF2907" w:rsidP="00CF2907">
      <w:pPr>
        <w:autoSpaceDE w:val="0"/>
        <w:autoSpaceDN w:val="0"/>
        <w:adjustRightInd w:val="0"/>
        <w:spacing w:line="480" w:lineRule="auto"/>
        <w:rPr>
          <w:rFonts w:ascii="TimesNewRoman" w:eastAsia="Calibri" w:hAnsi="TimesNewRoman" w:cs="TimesNewRoman"/>
        </w:rPr>
      </w:pPr>
      <w:r w:rsidRPr="00DA7131">
        <w:rPr>
          <w:rFonts w:ascii="TimesNewRoman" w:eastAsia="Calibri" w:hAnsi="TimesNewRoman" w:cs="TimesNewRoman"/>
        </w:rPr>
        <w:t>experience of political history) as well as on an international jurisprudence and doctrine</w:t>
      </w:r>
    </w:p>
    <w:p w:rsidR="00CF2907" w:rsidRDefault="00CF2907" w:rsidP="00CF2907">
      <w:pPr>
        <w:autoSpaceDE w:val="0"/>
        <w:autoSpaceDN w:val="0"/>
        <w:adjustRightInd w:val="0"/>
        <w:spacing w:line="480" w:lineRule="auto"/>
        <w:rPr>
          <w:rFonts w:ascii="TimesNewRoman" w:eastAsia="Calibri" w:hAnsi="TimesNewRoman" w:cs="TimesNewRoman"/>
        </w:rPr>
      </w:pPr>
      <w:r w:rsidRPr="00AC7B5A">
        <w:rPr>
          <w:rFonts w:ascii="TimesNewRoman" w:eastAsia="Calibri" w:hAnsi="TimesNewRoman" w:cs="TimesNewRoman"/>
        </w:rPr>
        <w:t>widely accepted</w:t>
      </w:r>
      <w:r w:rsidRPr="00DA7131">
        <w:rPr>
          <w:rFonts w:ascii="TimesNewRoman" w:eastAsia="Calibri" w:hAnsi="TimesNewRoman" w:cs="TimesNewRoman"/>
        </w:rPr>
        <w:t>.</w:t>
      </w:r>
    </w:p>
    <w:p w:rsidR="00CF2907" w:rsidRDefault="00CF2907" w:rsidP="00CF2907">
      <w:pPr>
        <w:autoSpaceDE w:val="0"/>
        <w:autoSpaceDN w:val="0"/>
        <w:adjustRightInd w:val="0"/>
        <w:spacing w:line="480" w:lineRule="auto"/>
        <w:ind w:firstLine="720"/>
      </w:pPr>
      <w:r>
        <w:t xml:space="preserve"> According to the Las Palmas case t</w:t>
      </w:r>
      <w:r w:rsidRPr="00494EA0">
        <w:t>he continuous and peaceful display of authority</w:t>
      </w:r>
      <w:r>
        <w:t xml:space="preserve"> of the state </w:t>
      </w:r>
      <w:r w:rsidRPr="00494EA0">
        <w:t>is</w:t>
      </w:r>
      <w:r>
        <w:t xml:space="preserve"> prevail and</w:t>
      </w:r>
      <w:r w:rsidRPr="00494EA0">
        <w:t xml:space="preserve"> equivalent to a legal title</w:t>
      </w:r>
      <w:r>
        <w:t>.</w:t>
      </w:r>
    </w:p>
    <w:p w:rsidR="00CF2907" w:rsidRDefault="00CF2907" w:rsidP="00CF2907">
      <w:pPr>
        <w:pStyle w:val="NumberedParagraphs"/>
        <w:numPr>
          <w:ilvl w:val="0"/>
          <w:numId w:val="0"/>
        </w:numPr>
        <w:snapToGrid w:val="0"/>
        <w:spacing w:after="0" w:line="480" w:lineRule="auto"/>
        <w:ind w:firstLine="720"/>
        <w:rPr>
          <w:sz w:val="24"/>
          <w:szCs w:val="24"/>
        </w:rPr>
      </w:pPr>
      <w:r w:rsidRPr="00CE0A6A">
        <w:rPr>
          <w:i/>
          <w:sz w:val="24"/>
          <w:szCs w:val="24"/>
          <w:lang w:val="en-US"/>
        </w:rPr>
        <w:t>In casu</w:t>
      </w:r>
      <w:r>
        <w:rPr>
          <w:i/>
          <w:sz w:val="24"/>
          <w:szCs w:val="24"/>
          <w:lang w:val="en-US"/>
        </w:rPr>
        <w:t xml:space="preserve"> </w:t>
      </w:r>
      <w:r w:rsidRPr="00CE0A6A">
        <w:rPr>
          <w:sz w:val="24"/>
          <w:szCs w:val="24"/>
          <w:lang w:val="en-US"/>
        </w:rPr>
        <w:t>was stated</w:t>
      </w:r>
      <w:r>
        <w:rPr>
          <w:sz w:val="24"/>
          <w:szCs w:val="24"/>
        </w:rPr>
        <w:t xml:space="preserve"> that </w:t>
      </w:r>
      <w:r w:rsidRPr="0064396C">
        <w:rPr>
          <w:sz w:val="24"/>
          <w:szCs w:val="24"/>
        </w:rPr>
        <w:t>Rydalian governors of the Islands exercised control over the whole archipelago.</w:t>
      </w:r>
      <w:r w:rsidRPr="0017213D">
        <w:t xml:space="preserve"> </w:t>
      </w:r>
      <w:r w:rsidRPr="0064396C">
        <w:rPr>
          <w:sz w:val="24"/>
          <w:szCs w:val="24"/>
        </w:rPr>
        <w:t>The population was further supplemented by other immigrants to the Islands, mainly from Rydal.</w:t>
      </w:r>
      <w:r w:rsidRPr="0017213D">
        <w:t xml:space="preserve"> </w:t>
      </w:r>
      <w:r w:rsidRPr="0064396C">
        <w:rPr>
          <w:sz w:val="24"/>
          <w:szCs w:val="24"/>
        </w:rPr>
        <w:t>In 1903, the King of Rydal issued an order to the Governor of the Islands to establish a consultative Assembly to allow the Islanders to express their views to the Governor on matters of day-to-day administration of the Islands. However, the Governor retained sole authority to act.</w:t>
      </w:r>
    </w:p>
    <w:p w:rsidR="00CF2907" w:rsidRDefault="00CF2907" w:rsidP="00CF2907">
      <w:pPr>
        <w:pStyle w:val="NumberedParagraphs"/>
        <w:numPr>
          <w:ilvl w:val="0"/>
          <w:numId w:val="0"/>
        </w:numPr>
        <w:snapToGrid w:val="0"/>
        <w:spacing w:after="0" w:line="480" w:lineRule="auto"/>
        <w:ind w:firstLine="720"/>
        <w:jc w:val="left"/>
        <w:rPr>
          <w:sz w:val="24"/>
          <w:szCs w:val="24"/>
        </w:rPr>
      </w:pPr>
      <w:r w:rsidRPr="0064396C">
        <w:rPr>
          <w:sz w:val="24"/>
          <w:szCs w:val="24"/>
        </w:rPr>
        <w:t>Until World War II</w:t>
      </w:r>
      <w:r>
        <w:rPr>
          <w:sz w:val="24"/>
          <w:szCs w:val="24"/>
        </w:rPr>
        <w:t xml:space="preserve"> t</w:t>
      </w:r>
      <w:r w:rsidRPr="0064396C">
        <w:rPr>
          <w:sz w:val="24"/>
          <w:szCs w:val="24"/>
        </w:rPr>
        <w:t>he Islands depended upon Rydal for substantial investment in local business or infrastructure. Rydal paid for the introduction of telephones and radio transmissions, and for the building of an airport</w:t>
      </w:r>
      <w:r>
        <w:rPr>
          <w:rStyle w:val="aa"/>
          <w:sz w:val="24"/>
          <w:szCs w:val="24"/>
        </w:rPr>
        <w:footnoteReference w:id="10"/>
      </w:r>
      <w:r w:rsidRPr="0064396C">
        <w:rPr>
          <w:sz w:val="24"/>
          <w:szCs w:val="24"/>
        </w:rPr>
        <w:t>.</w:t>
      </w:r>
    </w:p>
    <w:p w:rsidR="00CF2907" w:rsidRPr="0064396C" w:rsidRDefault="00CF2907" w:rsidP="00CF2907">
      <w:pPr>
        <w:pStyle w:val="NumberedParagraphs"/>
        <w:numPr>
          <w:ilvl w:val="0"/>
          <w:numId w:val="0"/>
        </w:numPr>
        <w:snapToGrid w:val="0"/>
        <w:spacing w:after="0" w:line="480" w:lineRule="auto"/>
        <w:ind w:left="142" w:firstLine="720"/>
        <w:jc w:val="left"/>
        <w:rPr>
          <w:sz w:val="24"/>
          <w:szCs w:val="24"/>
        </w:rPr>
      </w:pPr>
      <w:r w:rsidRPr="0064396C">
        <w:rPr>
          <w:sz w:val="24"/>
          <w:szCs w:val="24"/>
        </w:rPr>
        <w:t>In 1945, Rydal joined the United Nations as an original member. It designated the Islands a non-self-governing territory and has fulfilled its obligations under article 73 of the Charter by regularly transmitting reports on the Islands to the Secretary-General</w:t>
      </w:r>
      <w:r>
        <w:rPr>
          <w:rStyle w:val="aa"/>
          <w:sz w:val="24"/>
          <w:szCs w:val="24"/>
        </w:rPr>
        <w:footnoteReference w:id="11"/>
      </w:r>
      <w:r w:rsidRPr="0064396C">
        <w:rPr>
          <w:sz w:val="24"/>
          <w:szCs w:val="24"/>
        </w:rPr>
        <w:t>.</w:t>
      </w:r>
    </w:p>
    <w:p w:rsidR="00CF2907" w:rsidRPr="00D30DF5" w:rsidRDefault="00CF2907" w:rsidP="00CF2907">
      <w:pPr>
        <w:pStyle w:val="NumberedParagraphs"/>
        <w:numPr>
          <w:ilvl w:val="0"/>
          <w:numId w:val="0"/>
        </w:numPr>
        <w:snapToGrid w:val="0"/>
        <w:spacing w:after="0" w:line="480" w:lineRule="auto"/>
        <w:ind w:left="142" w:firstLine="720"/>
        <w:jc w:val="left"/>
        <w:rPr>
          <w:sz w:val="24"/>
          <w:szCs w:val="24"/>
          <w:lang w:val="en-US"/>
        </w:rPr>
      </w:pPr>
      <w:r w:rsidRPr="0064396C">
        <w:rPr>
          <w:sz w:val="24"/>
          <w:szCs w:val="24"/>
        </w:rPr>
        <w:t xml:space="preserve">In 1947, Rydal gave the Islands a constitution, in line with Rydal’s treatment of its other colonies. It guaranteed universal suffrage to all adult residents of the Islands in elections to choose the members of the Assembly of the Islands. The Constitution confirmed Rydalian </w:t>
      </w:r>
      <w:r w:rsidRPr="0064396C">
        <w:rPr>
          <w:sz w:val="24"/>
          <w:szCs w:val="24"/>
        </w:rPr>
        <w:lastRenderedPageBreak/>
        <w:t>sovereignty over the Islands, but gave control over day-to-day governance, including the exploitation of natural resources, to the Assembly, subject to the approval of the Governor appointed by Rydal as the King’s representative. Rydal maintained exclusive authority over the defence and foreign relations of the Islands</w:t>
      </w:r>
      <w:r>
        <w:rPr>
          <w:rStyle w:val="aa"/>
          <w:sz w:val="24"/>
          <w:szCs w:val="24"/>
        </w:rPr>
        <w:footnoteReference w:id="12"/>
      </w:r>
      <w:r w:rsidRPr="0064396C">
        <w:rPr>
          <w:sz w:val="24"/>
          <w:szCs w:val="24"/>
        </w:rPr>
        <w:t>.</w:t>
      </w:r>
    </w:p>
    <w:p w:rsidR="00CF2907" w:rsidRDefault="00CF2907" w:rsidP="00CF2907">
      <w:pPr>
        <w:pStyle w:val="NumberedParagraphs"/>
        <w:numPr>
          <w:ilvl w:val="0"/>
          <w:numId w:val="0"/>
        </w:numPr>
        <w:snapToGrid w:val="0"/>
        <w:spacing w:after="0" w:line="480" w:lineRule="auto"/>
        <w:ind w:left="142" w:firstLine="720"/>
        <w:jc w:val="left"/>
        <w:rPr>
          <w:sz w:val="24"/>
          <w:szCs w:val="24"/>
          <w:lang w:val="en-US"/>
        </w:rPr>
      </w:pPr>
    </w:p>
    <w:p w:rsidR="00CF2907" w:rsidRPr="008B3F20" w:rsidRDefault="00CF2907" w:rsidP="00CF2907">
      <w:pPr>
        <w:pStyle w:val="NumberedParagraphs"/>
        <w:numPr>
          <w:ilvl w:val="0"/>
          <w:numId w:val="0"/>
        </w:numPr>
        <w:snapToGrid w:val="0"/>
        <w:spacing w:after="0" w:line="480" w:lineRule="auto"/>
        <w:ind w:left="142" w:firstLine="720"/>
        <w:jc w:val="left"/>
        <w:rPr>
          <w:b/>
          <w:sz w:val="24"/>
          <w:szCs w:val="24"/>
          <w:lang w:val="en-US"/>
        </w:rPr>
      </w:pPr>
      <w:r>
        <w:rPr>
          <w:b/>
          <w:sz w:val="24"/>
          <w:szCs w:val="24"/>
          <w:lang w:val="en-US"/>
        </w:rPr>
        <w:t>1.</w:t>
      </w:r>
      <w:r w:rsidRPr="00AC7B5A">
        <w:rPr>
          <w:b/>
          <w:sz w:val="24"/>
          <w:szCs w:val="24"/>
          <w:lang w:val="en-US"/>
        </w:rPr>
        <w:t>2.</w:t>
      </w:r>
      <w:r w:rsidRPr="00AC7B5A">
        <w:rPr>
          <w:b/>
          <w:sz w:val="24"/>
          <w:szCs w:val="24"/>
        </w:rPr>
        <w:t xml:space="preserve"> The Islanders are entitled to independence as an exercise of their right to self-determination</w:t>
      </w:r>
      <w:r>
        <w:rPr>
          <w:b/>
          <w:sz w:val="24"/>
          <w:szCs w:val="24"/>
        </w:rPr>
        <w:t>.</w:t>
      </w:r>
    </w:p>
    <w:p w:rsidR="00CF2907" w:rsidRPr="00F33E82" w:rsidRDefault="00CF2907" w:rsidP="00CF2907">
      <w:pPr>
        <w:pStyle w:val="NumberedParagraphs"/>
        <w:numPr>
          <w:ilvl w:val="0"/>
          <w:numId w:val="0"/>
        </w:numPr>
        <w:snapToGrid w:val="0"/>
        <w:spacing w:after="0" w:line="480" w:lineRule="auto"/>
        <w:ind w:left="142"/>
        <w:jc w:val="left"/>
        <w:rPr>
          <w:rFonts w:eastAsia="Calibri"/>
          <w:sz w:val="24"/>
          <w:szCs w:val="24"/>
          <w:lang w:eastAsia="en-US"/>
        </w:rPr>
      </w:pPr>
      <w:r>
        <w:rPr>
          <w:sz w:val="24"/>
          <w:szCs w:val="24"/>
          <w:lang w:val="en-US"/>
        </w:rPr>
        <w:tab/>
        <w:t xml:space="preserve">The right of self-determination is one of the general principles of the international law.  </w:t>
      </w:r>
      <w:r w:rsidRPr="00D30DF5">
        <w:rPr>
          <w:sz w:val="24"/>
          <w:szCs w:val="24"/>
          <w:lang w:val="en-US"/>
        </w:rPr>
        <w:t>He gained recognition in the process of disintegration of the colonial system and was enshrined in the Declaration on the Granting of Independence to Colonial Countries and Peoples (</w:t>
      </w:r>
      <w:r>
        <w:rPr>
          <w:sz w:val="24"/>
          <w:szCs w:val="24"/>
          <w:lang w:val="en-US"/>
        </w:rPr>
        <w:t>R</w:t>
      </w:r>
      <w:r w:rsidRPr="00D30DF5">
        <w:rPr>
          <w:sz w:val="24"/>
          <w:szCs w:val="24"/>
          <w:lang w:val="en-US"/>
        </w:rPr>
        <w:t>esolution</w:t>
      </w:r>
      <w:r>
        <w:rPr>
          <w:sz w:val="24"/>
          <w:szCs w:val="24"/>
          <w:lang w:val="en-US"/>
        </w:rPr>
        <w:t xml:space="preserve"> of the </w:t>
      </w:r>
      <w:r w:rsidRPr="00D30DF5">
        <w:rPr>
          <w:sz w:val="24"/>
          <w:szCs w:val="24"/>
          <w:lang w:val="en-US"/>
        </w:rPr>
        <w:t xml:space="preserve"> UN General Assembly 1514 XV</w:t>
      </w:r>
      <w:r>
        <w:rPr>
          <w:sz w:val="24"/>
          <w:szCs w:val="24"/>
          <w:lang w:val="en-US"/>
        </w:rPr>
        <w:t xml:space="preserve">, </w:t>
      </w:r>
      <w:r w:rsidRPr="00D30DF5">
        <w:rPr>
          <w:sz w:val="24"/>
          <w:szCs w:val="24"/>
          <w:lang w:val="en-US"/>
        </w:rPr>
        <w:t xml:space="preserve"> December 14, 1960) and subsequent international covenants and declarations of the U</w:t>
      </w:r>
      <w:r>
        <w:rPr>
          <w:sz w:val="24"/>
          <w:szCs w:val="24"/>
          <w:lang w:val="en-US"/>
        </w:rPr>
        <w:t xml:space="preserve">N. </w:t>
      </w:r>
      <w:r w:rsidRPr="00F33E82">
        <w:rPr>
          <w:sz w:val="24"/>
          <w:szCs w:val="24"/>
          <w:lang w:val="en-US"/>
        </w:rPr>
        <w:t>T</w:t>
      </w:r>
      <w:r w:rsidRPr="00F33E82">
        <w:rPr>
          <w:rFonts w:eastAsia="Calibri"/>
          <w:sz w:val="24"/>
          <w:szCs w:val="24"/>
          <w:lang w:val="en-US" w:eastAsia="en-US"/>
        </w:rPr>
        <w:t xml:space="preserve">o this end the resolution provides </w:t>
      </w:r>
      <w:r w:rsidRPr="00F33E82">
        <w:rPr>
          <w:rFonts w:eastAsia="Calibri"/>
          <w:bCs/>
          <w:i/>
          <w:iCs/>
          <w:sz w:val="24"/>
          <w:szCs w:val="24"/>
          <w:lang w:val="en-US" w:eastAsia="en-US"/>
        </w:rPr>
        <w:t xml:space="preserve">inter alia </w:t>
      </w:r>
      <w:r w:rsidRPr="00F33E82">
        <w:rPr>
          <w:rFonts w:eastAsia="Calibri"/>
          <w:sz w:val="24"/>
          <w:szCs w:val="24"/>
          <w:lang w:val="en-US" w:eastAsia="en-US"/>
        </w:rPr>
        <w:t>:</w:t>
      </w:r>
    </w:p>
    <w:p w:rsidR="00CF2907" w:rsidRPr="00F33E82" w:rsidRDefault="00CF2907" w:rsidP="00F33E82">
      <w:pPr>
        <w:autoSpaceDE w:val="0"/>
        <w:autoSpaceDN w:val="0"/>
        <w:adjustRightInd w:val="0"/>
        <w:spacing w:line="480" w:lineRule="auto"/>
        <w:ind w:firstLineChars="720" w:firstLine="1728"/>
        <w:rPr>
          <w:rFonts w:eastAsia="Calibri"/>
        </w:rPr>
      </w:pPr>
      <w:r w:rsidRPr="00F33E82">
        <w:rPr>
          <w:rFonts w:eastAsia="Calibri"/>
          <w:bCs/>
        </w:rPr>
        <w:t xml:space="preserve">"2. </w:t>
      </w:r>
      <w:r w:rsidRPr="00F33E82">
        <w:rPr>
          <w:rFonts w:eastAsia="Calibri"/>
        </w:rPr>
        <w:t>All peoples have the right to self-determination; by virtue of that right they freely determine their political status and freely pursue their economic, social and cultural development.</w:t>
      </w:r>
    </w:p>
    <w:p w:rsidR="00CF2907" w:rsidRPr="00F33E82" w:rsidRDefault="00CF2907" w:rsidP="00F33E82">
      <w:pPr>
        <w:autoSpaceDE w:val="0"/>
        <w:autoSpaceDN w:val="0"/>
        <w:adjustRightInd w:val="0"/>
        <w:spacing w:line="480" w:lineRule="auto"/>
        <w:ind w:firstLineChars="720" w:firstLine="1728"/>
        <w:rPr>
          <w:rFonts w:eastAsia="Calibri"/>
        </w:rPr>
      </w:pPr>
    </w:p>
    <w:p w:rsidR="00CF2907" w:rsidRPr="008E418D" w:rsidRDefault="00CF2907" w:rsidP="00F33E82">
      <w:pPr>
        <w:autoSpaceDE w:val="0"/>
        <w:autoSpaceDN w:val="0"/>
        <w:adjustRightInd w:val="0"/>
        <w:spacing w:line="480" w:lineRule="auto"/>
        <w:ind w:firstLineChars="720" w:firstLine="1728"/>
      </w:pPr>
      <w:r w:rsidRPr="00F33E82">
        <w:rPr>
          <w:rFonts w:eastAsia="Calibri"/>
          <w:bCs/>
        </w:rPr>
        <w:t xml:space="preserve">5. </w:t>
      </w:r>
      <w:r w:rsidRPr="00F33E82">
        <w:rPr>
          <w:rFonts w:eastAsia="Calibri"/>
        </w:rPr>
        <w:t>Immediate steps shall be taken, in Trust and Non-Self-Governing Territories or al1 other territories which have not yet attained independence, to transfer al1 powers to the peoples of those territories, without any conditions or reservations, in accordance with their freely expressed will and desire, without any distinction as to race, creed or color, in order to enable them to enjoy complete independence and freedom</w:t>
      </w:r>
      <w:r w:rsidRPr="008E418D">
        <w:rPr>
          <w:rFonts w:eastAsia="Calibri"/>
          <w:b/>
        </w:rPr>
        <w:t>.”</w:t>
      </w:r>
      <w:r>
        <w:rPr>
          <w:rStyle w:val="aa"/>
          <w:rFonts w:eastAsia="Calibri"/>
        </w:rPr>
        <w:footnoteReference w:id="13"/>
      </w:r>
    </w:p>
    <w:p w:rsidR="00CF2907" w:rsidRDefault="00CF2907" w:rsidP="00CF2907">
      <w:pPr>
        <w:pStyle w:val="NumberedParagraphs"/>
        <w:numPr>
          <w:ilvl w:val="0"/>
          <w:numId w:val="0"/>
        </w:numPr>
        <w:snapToGrid w:val="0"/>
        <w:spacing w:after="0" w:line="480" w:lineRule="auto"/>
        <w:ind w:left="142" w:firstLine="720"/>
        <w:jc w:val="left"/>
        <w:rPr>
          <w:lang w:val="en-US"/>
        </w:rPr>
      </w:pPr>
      <w:r w:rsidRPr="006D729D">
        <w:rPr>
          <w:sz w:val="24"/>
          <w:szCs w:val="24"/>
          <w:lang w:val="en-US"/>
        </w:rPr>
        <w:lastRenderedPageBreak/>
        <w:t>The principle of self-determination of peoples is enshrined in Article 1(2) of the UN Charter and in the jurisprudence of the Court</w:t>
      </w:r>
      <w:r>
        <w:rPr>
          <w:rStyle w:val="aa"/>
          <w:lang w:val="en-US"/>
        </w:rPr>
        <w:footnoteReference w:id="14"/>
      </w:r>
      <w:r>
        <w:rPr>
          <w:lang w:val="en-US"/>
        </w:rPr>
        <w:t>.</w:t>
      </w:r>
    </w:p>
    <w:p w:rsidR="00CF2907" w:rsidRPr="00F33E82" w:rsidRDefault="00CF2907" w:rsidP="00CF2907">
      <w:pPr>
        <w:autoSpaceDE w:val="0"/>
        <w:autoSpaceDN w:val="0"/>
        <w:adjustRightInd w:val="0"/>
        <w:spacing w:line="480" w:lineRule="auto"/>
        <w:ind w:firstLine="720"/>
        <w:rPr>
          <w:rFonts w:eastAsia="Calibri"/>
        </w:rPr>
      </w:pPr>
      <w:r w:rsidRPr="00F33E82">
        <w:rPr>
          <w:rFonts w:eastAsia="Calibri"/>
        </w:rPr>
        <w:t>The Charter of the United Nations, in Article 1</w:t>
      </w:r>
      <w:r w:rsidRPr="00F33E82">
        <w:rPr>
          <w:rFonts w:eastAsia="Calibri"/>
          <w:bCs/>
        </w:rPr>
        <w:t xml:space="preserve">, </w:t>
      </w:r>
      <w:r w:rsidRPr="00F33E82">
        <w:rPr>
          <w:rFonts w:eastAsia="Calibri"/>
        </w:rPr>
        <w:t>paragraph 2</w:t>
      </w:r>
      <w:r w:rsidRPr="00F33E82">
        <w:rPr>
          <w:rFonts w:eastAsia="Calibri"/>
          <w:bCs/>
        </w:rPr>
        <w:t xml:space="preserve">, </w:t>
      </w:r>
      <w:r w:rsidRPr="00F33E82">
        <w:rPr>
          <w:rFonts w:eastAsia="Calibri"/>
        </w:rPr>
        <w:t xml:space="preserve">indicates, as one of the purposes of the United Nations: "To develop friendly relations among nations based on respect for the principle of equal rights and self-determination of peoples </w:t>
      </w:r>
      <w:r w:rsidRPr="00F33E82">
        <w:rPr>
          <w:rStyle w:val="aa"/>
          <w:rFonts w:eastAsia="Calibri"/>
        </w:rPr>
        <w:footnoteReference w:id="15"/>
      </w:r>
      <w:r w:rsidRPr="00F33E82">
        <w:rPr>
          <w:rFonts w:eastAsia="Calibri"/>
        </w:rPr>
        <w:t xml:space="preserve">. . ." This purpose is further developed in Articles 55 and 56 of the Charter. Those provisions have direct and particular relevance for non-self-governing territories, which are dealt with in Chapter XI of the Charter. As the Court stated in its Advisory Opinion of </w:t>
      </w:r>
      <w:r w:rsidRPr="00F33E82">
        <w:rPr>
          <w:rFonts w:eastAsia="Calibri"/>
          <w:bCs/>
        </w:rPr>
        <w:t xml:space="preserve">21 </w:t>
      </w:r>
      <w:r w:rsidRPr="00F33E82">
        <w:rPr>
          <w:rFonts w:eastAsia="Calibri"/>
        </w:rPr>
        <w:t xml:space="preserve">June </w:t>
      </w:r>
      <w:r w:rsidRPr="00F33E82">
        <w:rPr>
          <w:rFonts w:eastAsia="Calibri"/>
          <w:bCs/>
        </w:rPr>
        <w:t xml:space="preserve">1971 </w:t>
      </w:r>
      <w:r w:rsidRPr="00F33E82">
        <w:rPr>
          <w:rFonts w:eastAsia="Calibri"/>
        </w:rPr>
        <w:t xml:space="preserve">on </w:t>
      </w:r>
      <w:r w:rsidRPr="00F33E82">
        <w:rPr>
          <w:rFonts w:eastAsia="Calibri"/>
          <w:bCs/>
          <w:i/>
          <w:iCs/>
        </w:rPr>
        <w:t xml:space="preserve">The Legal Consequences for States of the Continued Presence of South Africa in Namibia (South West Africa) notwithstanding Security Council Resolution 276 (1 970) </w:t>
      </w:r>
      <w:r w:rsidRPr="00F33E82">
        <w:rPr>
          <w:rFonts w:eastAsia="Calibri"/>
        </w:rPr>
        <w:t>:</w:t>
      </w:r>
    </w:p>
    <w:p w:rsidR="00CF2907" w:rsidRPr="00F33E82" w:rsidRDefault="00CF2907" w:rsidP="00CF2907">
      <w:pPr>
        <w:autoSpaceDE w:val="0"/>
        <w:autoSpaceDN w:val="0"/>
        <w:adjustRightInd w:val="0"/>
        <w:spacing w:line="480" w:lineRule="auto"/>
        <w:ind w:firstLine="720"/>
        <w:rPr>
          <w:color w:val="FF0000"/>
        </w:rPr>
      </w:pPr>
      <w:r w:rsidRPr="00F33E82">
        <w:rPr>
          <w:rFonts w:eastAsia="Calibri"/>
        </w:rPr>
        <w:t xml:space="preserve">". . . the subsequent development of international law in regard to non-self-governing territories, as enshrined in the Charter of the United Nations, made the principle of self-determination applicable to al1 of them" </w:t>
      </w:r>
      <w:r w:rsidRPr="00F33E82">
        <w:rPr>
          <w:rStyle w:val="aa"/>
          <w:rFonts w:eastAsia="Calibri"/>
        </w:rPr>
        <w:footnoteReference w:id="16"/>
      </w:r>
      <w:r w:rsidRPr="00F33E82">
        <w:rPr>
          <w:rFonts w:eastAsia="Calibri"/>
        </w:rPr>
        <w:t xml:space="preserve">. </w:t>
      </w:r>
    </w:p>
    <w:p w:rsidR="00CF2907" w:rsidRPr="004B1787" w:rsidRDefault="00CF2907" w:rsidP="00CF2907">
      <w:pPr>
        <w:spacing w:line="480" w:lineRule="auto"/>
        <w:ind w:firstLine="720"/>
      </w:pPr>
      <w:r w:rsidRPr="008D03A9">
        <w:rPr>
          <w:color w:val="000000"/>
        </w:rPr>
        <w:t>International human rights instruments, including International Covenant on Economic, Social and Cultural Rights, establish that all peoples</w:t>
      </w:r>
      <w:r w:rsidRPr="004B1787">
        <w:t xml:space="preserve"> have the right of self-determination. By virtue of that right they freely determine their political status and freely pursue their economic, social and cultural development</w:t>
      </w:r>
      <w:r>
        <w:rPr>
          <w:rStyle w:val="aa"/>
        </w:rPr>
        <w:footnoteReference w:id="17"/>
      </w:r>
      <w:r w:rsidRPr="004B1787">
        <w:t xml:space="preserve">. </w:t>
      </w:r>
    </w:p>
    <w:p w:rsidR="00CF2907" w:rsidRPr="008B3F20" w:rsidRDefault="00CF2907" w:rsidP="00CF2907">
      <w:pPr>
        <w:pStyle w:val="NumberedParagraphs"/>
        <w:numPr>
          <w:ilvl w:val="0"/>
          <w:numId w:val="0"/>
        </w:numPr>
        <w:snapToGrid w:val="0"/>
        <w:spacing w:after="0" w:line="480" w:lineRule="auto"/>
        <w:ind w:firstLine="720"/>
        <w:jc w:val="left"/>
        <w:rPr>
          <w:sz w:val="24"/>
          <w:lang w:val="en-US"/>
        </w:rPr>
      </w:pPr>
      <w:r w:rsidRPr="008D03A9">
        <w:rPr>
          <w:color w:val="000000"/>
          <w:sz w:val="24"/>
          <w:lang w:val="en-US"/>
        </w:rPr>
        <w:t>The States Parties to the mentioned covenant, including those having responsibility for the administration of Non-Self-Governing and Trust Territories, were obliged to promote</w:t>
      </w:r>
      <w:r w:rsidRPr="004B1787">
        <w:rPr>
          <w:sz w:val="24"/>
          <w:lang w:val="en-US"/>
        </w:rPr>
        <w:t xml:space="preserve"> the realization of the right of self-determination, and shall respect that right, in conformity with the provisions of the Charter of the United Nations.</w:t>
      </w:r>
      <w:r>
        <w:rPr>
          <w:sz w:val="24"/>
          <w:lang w:val="en-US"/>
        </w:rPr>
        <w:t xml:space="preserve"> </w:t>
      </w:r>
    </w:p>
    <w:p w:rsidR="00CF2907" w:rsidRPr="006D49B8" w:rsidRDefault="00CF2907" w:rsidP="00CF2907">
      <w:pPr>
        <w:pStyle w:val="NumberedParagraphs"/>
        <w:numPr>
          <w:ilvl w:val="0"/>
          <w:numId w:val="0"/>
        </w:numPr>
        <w:snapToGrid w:val="0"/>
        <w:spacing w:after="0" w:line="480" w:lineRule="auto"/>
        <w:ind w:firstLine="720"/>
        <w:jc w:val="left"/>
        <w:rPr>
          <w:sz w:val="24"/>
          <w:lang w:val="en-US"/>
        </w:rPr>
      </w:pPr>
      <w:r>
        <w:rPr>
          <w:sz w:val="24"/>
          <w:lang w:val="en-US"/>
        </w:rPr>
        <w:lastRenderedPageBreak/>
        <w:t xml:space="preserve">According to the case, </w:t>
      </w:r>
      <w:r w:rsidRPr="0064396C">
        <w:rPr>
          <w:sz w:val="24"/>
          <w:szCs w:val="24"/>
        </w:rPr>
        <w:t xml:space="preserve">since formation in 1962, the U.N. Special Committee on the Situation with regard to the Implementation of the Declaration on the Granting of Independence to Colonial Countries and Peoples ("Special Committee") has regularly taken up the matter of the competing claims to the Islands. In such proceedings, </w:t>
      </w:r>
      <w:r w:rsidRPr="006D49B8">
        <w:rPr>
          <w:b/>
          <w:sz w:val="24"/>
          <w:szCs w:val="24"/>
        </w:rPr>
        <w:t>the Special Committee has always expressed concern for the interests of the population on the Islands</w:t>
      </w:r>
      <w:r w:rsidRPr="00972F24">
        <w:rPr>
          <w:rStyle w:val="aa"/>
          <w:sz w:val="24"/>
          <w:szCs w:val="24"/>
        </w:rPr>
        <w:footnoteReference w:id="18"/>
      </w:r>
      <w:r>
        <w:rPr>
          <w:b/>
          <w:sz w:val="24"/>
          <w:szCs w:val="24"/>
        </w:rPr>
        <w:t>.</w:t>
      </w:r>
    </w:p>
    <w:p w:rsidR="00CF2907" w:rsidRDefault="00CF2907" w:rsidP="00CF2907">
      <w:pPr>
        <w:pStyle w:val="NumberedParagraphs"/>
        <w:numPr>
          <w:ilvl w:val="0"/>
          <w:numId w:val="0"/>
        </w:numPr>
        <w:snapToGrid w:val="0"/>
        <w:spacing w:after="0" w:line="480" w:lineRule="auto"/>
        <w:ind w:firstLine="720"/>
        <w:jc w:val="left"/>
        <w:rPr>
          <w:sz w:val="24"/>
          <w:szCs w:val="24"/>
        </w:rPr>
      </w:pPr>
      <w:r w:rsidRPr="0064396C">
        <w:rPr>
          <w:sz w:val="24"/>
          <w:szCs w:val="24"/>
        </w:rPr>
        <w:t>In the 1980s, the Special Committee began allowing a delegation from the Islands to make presentations at the Committee’s meetings</w:t>
      </w:r>
      <w:r>
        <w:rPr>
          <w:sz w:val="24"/>
          <w:szCs w:val="24"/>
        </w:rPr>
        <w:t xml:space="preserve">. </w:t>
      </w:r>
      <w:r w:rsidRPr="006D49B8">
        <w:rPr>
          <w:b/>
          <w:sz w:val="24"/>
          <w:szCs w:val="24"/>
        </w:rPr>
        <w:t>The delegation routinely expressed its desire that the Islands remain a part of Rydal</w:t>
      </w:r>
      <w:r w:rsidRPr="00D7435B">
        <w:rPr>
          <w:rStyle w:val="aa"/>
          <w:sz w:val="24"/>
          <w:szCs w:val="24"/>
        </w:rPr>
        <w:footnoteReference w:id="19"/>
      </w:r>
      <w:r w:rsidRPr="00D7435B">
        <w:rPr>
          <w:sz w:val="24"/>
          <w:szCs w:val="24"/>
        </w:rPr>
        <w:t>.</w:t>
      </w:r>
    </w:p>
    <w:p w:rsidR="00CF2907" w:rsidRDefault="00CF2907" w:rsidP="00CF2907">
      <w:pPr>
        <w:pStyle w:val="NumberedParagraphs"/>
        <w:numPr>
          <w:ilvl w:val="0"/>
          <w:numId w:val="0"/>
        </w:numPr>
        <w:snapToGrid w:val="0"/>
        <w:spacing w:after="0" w:line="480" w:lineRule="auto"/>
        <w:ind w:left="142" w:firstLine="720"/>
        <w:jc w:val="left"/>
        <w:rPr>
          <w:color w:val="FF0000"/>
          <w:sz w:val="24"/>
          <w:szCs w:val="24"/>
        </w:rPr>
      </w:pPr>
      <w:r w:rsidRPr="0064396C">
        <w:rPr>
          <w:sz w:val="24"/>
          <w:szCs w:val="24"/>
        </w:rPr>
        <w:t xml:space="preserve">A plebiscite was held on 6 December 2008, offering three options: (1) </w:t>
      </w:r>
      <w:r>
        <w:rPr>
          <w:sz w:val="24"/>
          <w:szCs w:val="24"/>
        </w:rPr>
        <w:t>"</w:t>
      </w:r>
      <w:r w:rsidRPr="0064396C">
        <w:rPr>
          <w:sz w:val="24"/>
          <w:szCs w:val="24"/>
        </w:rPr>
        <w:t>full independence</w:t>
      </w:r>
      <w:r>
        <w:rPr>
          <w:sz w:val="24"/>
          <w:szCs w:val="24"/>
        </w:rPr>
        <w:t>,"</w:t>
      </w:r>
      <w:r w:rsidRPr="0064396C">
        <w:rPr>
          <w:sz w:val="24"/>
          <w:szCs w:val="24"/>
        </w:rPr>
        <w:t xml:space="preserve"> (2) </w:t>
      </w:r>
      <w:r>
        <w:rPr>
          <w:sz w:val="24"/>
          <w:szCs w:val="24"/>
        </w:rPr>
        <w:t>"</w:t>
      </w:r>
      <w:r w:rsidRPr="0064396C">
        <w:rPr>
          <w:sz w:val="24"/>
          <w:szCs w:val="24"/>
        </w:rPr>
        <w:t>entering into negotiations over unification with Aspatria</w:t>
      </w:r>
      <w:r>
        <w:rPr>
          <w:sz w:val="24"/>
          <w:szCs w:val="24"/>
        </w:rPr>
        <w:t>,"</w:t>
      </w:r>
      <w:r w:rsidRPr="0064396C">
        <w:rPr>
          <w:sz w:val="24"/>
          <w:szCs w:val="24"/>
        </w:rPr>
        <w:t xml:space="preserve"> or (3) </w:t>
      </w:r>
      <w:r>
        <w:rPr>
          <w:sz w:val="24"/>
          <w:szCs w:val="24"/>
        </w:rPr>
        <w:t>"</w:t>
      </w:r>
      <w:r w:rsidRPr="0064396C">
        <w:rPr>
          <w:sz w:val="24"/>
          <w:szCs w:val="24"/>
        </w:rPr>
        <w:t>remaining a part of Rydal</w:t>
      </w:r>
      <w:r>
        <w:rPr>
          <w:sz w:val="24"/>
          <w:szCs w:val="24"/>
        </w:rPr>
        <w:t>."</w:t>
      </w:r>
      <w:r w:rsidRPr="0064396C">
        <w:rPr>
          <w:sz w:val="24"/>
          <w:szCs w:val="24"/>
        </w:rPr>
        <w:t xml:space="preserve"> On 8 December, the Assembly concluded its tally, and announced that 76% of the Islanders had</w:t>
      </w:r>
      <w:r>
        <w:rPr>
          <w:sz w:val="24"/>
          <w:szCs w:val="24"/>
        </w:rPr>
        <w:t xml:space="preserve"> voted</w:t>
      </w:r>
      <w:r w:rsidRPr="0064396C">
        <w:rPr>
          <w:sz w:val="24"/>
          <w:szCs w:val="24"/>
        </w:rPr>
        <w:t xml:space="preserve"> </w:t>
      </w:r>
      <w:r>
        <w:rPr>
          <w:sz w:val="24"/>
          <w:szCs w:val="24"/>
        </w:rPr>
        <w:t>for independence,</w:t>
      </w:r>
      <w:r w:rsidRPr="0064396C">
        <w:rPr>
          <w:sz w:val="24"/>
          <w:szCs w:val="24"/>
        </w:rPr>
        <w:t xml:space="preserve"> 18% for </w:t>
      </w:r>
      <w:r>
        <w:rPr>
          <w:sz w:val="24"/>
          <w:szCs w:val="24"/>
        </w:rPr>
        <w:t>remaining with Rydal,</w:t>
      </w:r>
      <w:r w:rsidRPr="0064396C">
        <w:rPr>
          <w:sz w:val="24"/>
          <w:szCs w:val="24"/>
        </w:rPr>
        <w:t xml:space="preserve"> and 6% in favour of prospective unification with Aspatria. The voter turnout was 93%</w:t>
      </w:r>
      <w:r>
        <w:rPr>
          <w:rStyle w:val="aa"/>
          <w:sz w:val="24"/>
          <w:szCs w:val="24"/>
        </w:rPr>
        <w:footnoteReference w:id="20"/>
      </w:r>
      <w:r w:rsidRPr="0064396C">
        <w:rPr>
          <w:sz w:val="24"/>
          <w:szCs w:val="24"/>
        </w:rPr>
        <w:t>.</w:t>
      </w:r>
      <w:r>
        <w:rPr>
          <w:sz w:val="24"/>
          <w:szCs w:val="24"/>
        </w:rPr>
        <w:t xml:space="preserve"> </w:t>
      </w:r>
    </w:p>
    <w:p w:rsidR="00CF2907" w:rsidRPr="008D03A9" w:rsidRDefault="00CF2907" w:rsidP="00CF2907">
      <w:pPr>
        <w:pStyle w:val="ab"/>
        <w:spacing w:line="480" w:lineRule="auto"/>
        <w:rPr>
          <w:rFonts w:ascii="Times New Roman" w:hAnsi="Times New Roman" w:cs="Times New Roman"/>
          <w:color w:val="000000"/>
          <w:sz w:val="24"/>
          <w:szCs w:val="24"/>
          <w:lang w:val="en-US"/>
        </w:rPr>
      </w:pPr>
      <w:r w:rsidRPr="00CF2907">
        <w:rPr>
          <w:rFonts w:ascii="Times New Roman" w:hAnsi="Times New Roman" w:cs="Times New Roman"/>
          <w:color w:val="000000"/>
          <w:sz w:val="24"/>
          <w:szCs w:val="24"/>
          <w:lang w:val="en-US"/>
        </w:rPr>
        <w:t xml:space="preserve">The referendum confirmed the desire of the islanders to exercise their right of self determination. And their desire is absolutely reasonable as they have all the legal and factual grounds to form separate independent state. </w:t>
      </w:r>
      <w:r w:rsidRPr="008D03A9">
        <w:rPr>
          <w:rFonts w:ascii="Times New Roman" w:hAnsi="Times New Roman" w:cs="Times New Roman"/>
          <w:color w:val="000000"/>
          <w:sz w:val="24"/>
          <w:szCs w:val="24"/>
          <w:lang w:val="en-US"/>
        </w:rPr>
        <w:t>According to the Article 1 of the Convention on Rights and Duties of States: “</w:t>
      </w:r>
      <w:r w:rsidRPr="008D03A9">
        <w:rPr>
          <w:rFonts w:ascii="Times New Roman" w:hAnsi="Times New Roman" w:cs="Times New Roman"/>
          <w:i/>
          <w:color w:val="000000"/>
          <w:sz w:val="24"/>
          <w:szCs w:val="24"/>
          <w:lang w:val="en-US"/>
        </w:rPr>
        <w:t>The state as a person of international law should possess the following qualifications: a ) a permanent population; b ) a defined territory; c ) government; and d) capacity to enter into relations with the other states”</w:t>
      </w:r>
      <w:r w:rsidRPr="008D03A9">
        <w:rPr>
          <w:rStyle w:val="aa"/>
          <w:rFonts w:ascii="Times New Roman" w:hAnsi="Times New Roman" w:cs="Times New Roman"/>
          <w:i/>
          <w:color w:val="000000"/>
          <w:sz w:val="24"/>
          <w:szCs w:val="24"/>
          <w:lang w:val="en-US"/>
        </w:rPr>
        <w:footnoteReference w:id="21"/>
      </w:r>
      <w:r w:rsidRPr="008D03A9">
        <w:rPr>
          <w:rFonts w:ascii="Times New Roman" w:hAnsi="Times New Roman" w:cs="Times New Roman"/>
          <w:color w:val="000000"/>
          <w:sz w:val="24"/>
          <w:szCs w:val="24"/>
          <w:lang w:val="en-US"/>
        </w:rPr>
        <w:t xml:space="preserve">. </w:t>
      </w:r>
    </w:p>
    <w:p w:rsidR="00CF2907" w:rsidRPr="008D03A9" w:rsidRDefault="00CF2907" w:rsidP="00CF2907">
      <w:pPr>
        <w:pStyle w:val="ab"/>
        <w:spacing w:line="480" w:lineRule="auto"/>
        <w:rPr>
          <w:rFonts w:ascii="Times New Roman" w:hAnsi="Times New Roman" w:cs="Times New Roman"/>
          <w:color w:val="000000"/>
          <w:sz w:val="24"/>
          <w:szCs w:val="24"/>
          <w:lang w:val="en-US"/>
        </w:rPr>
      </w:pPr>
      <w:r w:rsidRPr="008D03A9">
        <w:rPr>
          <w:rFonts w:ascii="Times New Roman" w:hAnsi="Times New Roman" w:cs="Times New Roman"/>
          <w:color w:val="000000"/>
          <w:sz w:val="24"/>
          <w:szCs w:val="24"/>
          <w:lang w:val="en-US"/>
        </w:rPr>
        <w:t>On present moment Windscale Islands have all of those qualifications. First, the territory of the Islands is the archipelago in the Southern Hemisphere lying in the Eden Ocean</w:t>
      </w:r>
      <w:r w:rsidRPr="008D03A9">
        <w:rPr>
          <w:rStyle w:val="aa"/>
          <w:rFonts w:ascii="Times New Roman" w:hAnsi="Times New Roman" w:cs="Times New Roman"/>
          <w:color w:val="000000"/>
          <w:sz w:val="24"/>
          <w:szCs w:val="24"/>
          <w:lang w:val="en-US"/>
        </w:rPr>
        <w:footnoteReference w:id="22"/>
      </w:r>
      <w:r w:rsidRPr="008D03A9">
        <w:rPr>
          <w:rFonts w:ascii="Times New Roman" w:hAnsi="Times New Roman" w:cs="Times New Roman"/>
          <w:color w:val="000000"/>
          <w:sz w:val="24"/>
          <w:szCs w:val="24"/>
          <w:lang w:val="en-US"/>
        </w:rPr>
        <w:t xml:space="preserve">. The depths of the islands are rich for the mineral resources; the level of the fertility of the soil is quite high </w:t>
      </w:r>
      <w:r w:rsidRPr="008D03A9">
        <w:rPr>
          <w:rFonts w:ascii="Times New Roman" w:hAnsi="Times New Roman" w:cs="Times New Roman"/>
          <w:color w:val="000000"/>
          <w:sz w:val="24"/>
          <w:szCs w:val="24"/>
          <w:lang w:val="en-US"/>
        </w:rPr>
        <w:lastRenderedPageBreak/>
        <w:t>what is making it suitable for cultivation; and there is an oil in a basin around the  islands. The common area</w:t>
      </w:r>
    </w:p>
    <w:p w:rsidR="00CF2907" w:rsidRPr="008D03A9" w:rsidRDefault="00CF2907" w:rsidP="00CF2907">
      <w:pPr>
        <w:pStyle w:val="ab"/>
        <w:spacing w:line="480" w:lineRule="auto"/>
        <w:rPr>
          <w:rFonts w:ascii="Times New Roman" w:hAnsi="Times New Roman" w:cs="Times New Roman"/>
          <w:color w:val="000000"/>
          <w:sz w:val="24"/>
          <w:szCs w:val="24"/>
          <w:lang w:val="en-US"/>
        </w:rPr>
      </w:pPr>
      <w:r w:rsidRPr="008D03A9">
        <w:rPr>
          <w:rFonts w:ascii="Times New Roman" w:hAnsi="Times New Roman" w:cs="Times New Roman"/>
          <w:color w:val="000000"/>
          <w:sz w:val="24"/>
          <w:szCs w:val="24"/>
          <w:lang w:val="en-US"/>
        </w:rPr>
        <w:t xml:space="preserve">Modern Oxford Dictionary of the English Language defines nation as </w:t>
      </w:r>
      <w:r w:rsidRPr="00F33E82">
        <w:rPr>
          <w:rFonts w:ascii="Times New Roman" w:hAnsi="Times New Roman" w:cs="Times New Roman"/>
          <w:color w:val="000000"/>
          <w:sz w:val="24"/>
          <w:szCs w:val="24"/>
          <w:lang w:val="en-US"/>
        </w:rPr>
        <w:t xml:space="preserve">a </w:t>
      </w:r>
      <w:r w:rsidRPr="00F33E82">
        <w:rPr>
          <w:rFonts w:ascii="Times New Roman" w:hAnsi="Times New Roman" w:cs="Times New Roman"/>
          <w:b/>
          <w:bCs/>
          <w:color w:val="000000"/>
          <w:sz w:val="24"/>
          <w:szCs w:val="24"/>
          <w:lang w:val="en-US"/>
        </w:rPr>
        <w:t>nation</w:t>
      </w:r>
      <w:r w:rsidRPr="00F33E82">
        <w:rPr>
          <w:rFonts w:ascii="Times New Roman" w:hAnsi="Times New Roman" w:cs="Times New Roman"/>
          <w:color w:val="000000"/>
          <w:sz w:val="24"/>
          <w:szCs w:val="24"/>
          <w:lang w:val="en-US"/>
        </w:rPr>
        <w:t xml:space="preserve"> is a territory or country as political entity or a grouping of people who share real or imagined common history, culture, language or ethnic origin, often possessing or seeking its own government</w:t>
      </w:r>
      <w:r w:rsidRPr="008D03A9">
        <w:rPr>
          <w:rStyle w:val="aa"/>
          <w:rFonts w:ascii="Times New Roman" w:hAnsi="Times New Roman" w:cs="Times New Roman"/>
          <w:color w:val="000000"/>
          <w:sz w:val="24"/>
          <w:szCs w:val="24"/>
        </w:rPr>
        <w:footnoteReference w:id="23"/>
      </w:r>
      <w:r w:rsidRPr="00F33E82">
        <w:rPr>
          <w:rFonts w:ascii="Times New Roman" w:hAnsi="Times New Roman" w:cs="Times New Roman"/>
          <w:color w:val="000000"/>
          <w:sz w:val="24"/>
          <w:szCs w:val="24"/>
          <w:lang w:val="en-US"/>
        </w:rPr>
        <w:t>.</w:t>
      </w:r>
      <w:r w:rsidRPr="008D03A9">
        <w:rPr>
          <w:rFonts w:ascii="Times New Roman" w:hAnsi="Times New Roman" w:cs="Times New Roman"/>
          <w:color w:val="000000"/>
          <w:sz w:val="24"/>
          <w:szCs w:val="24"/>
          <w:lang w:val="en-US"/>
        </w:rPr>
        <w:t xml:space="preserve">  The population of the Windscale islands is the offspring of the people who were the first inhabitants coming from Rydal on the vessels “Applethwaite” and “Braithwaite” and a group of slaves from Sodor who then swore loyalty to the Queen of Rydal and became free people</w:t>
      </w:r>
      <w:r w:rsidRPr="008D03A9">
        <w:rPr>
          <w:rStyle w:val="aa"/>
          <w:rFonts w:ascii="Times New Roman" w:hAnsi="Times New Roman" w:cs="Times New Roman"/>
          <w:color w:val="000000"/>
          <w:sz w:val="24"/>
          <w:szCs w:val="24"/>
          <w:lang w:val="en-US"/>
        </w:rPr>
        <w:footnoteReference w:id="24"/>
      </w:r>
      <w:r w:rsidRPr="008D03A9">
        <w:rPr>
          <w:rFonts w:ascii="Times New Roman" w:hAnsi="Times New Roman" w:cs="Times New Roman"/>
          <w:color w:val="000000"/>
          <w:sz w:val="24"/>
          <w:szCs w:val="24"/>
          <w:lang w:val="en-US"/>
        </w:rPr>
        <w:t>. The number of such facts as common history, language and common political and social interests makes this entity a nation. Under common purposes and interests we can understand an inextinguishable desire of getting independence that can be approved by the results of the referendum that are indisputable.</w:t>
      </w:r>
    </w:p>
    <w:p w:rsidR="00CF2907" w:rsidRPr="008D03A9" w:rsidRDefault="00CF2907" w:rsidP="00CF2907">
      <w:pPr>
        <w:pStyle w:val="ab"/>
        <w:spacing w:line="480" w:lineRule="auto"/>
        <w:rPr>
          <w:rFonts w:ascii="Times New Roman" w:hAnsi="Times New Roman" w:cs="Times New Roman"/>
          <w:color w:val="000000"/>
          <w:sz w:val="24"/>
          <w:szCs w:val="24"/>
          <w:lang w:val="en-US"/>
        </w:rPr>
      </w:pPr>
      <w:r w:rsidRPr="008D03A9">
        <w:rPr>
          <w:rFonts w:ascii="Times New Roman" w:hAnsi="Times New Roman" w:cs="Times New Roman"/>
          <w:color w:val="000000"/>
          <w:sz w:val="24"/>
          <w:szCs w:val="24"/>
          <w:lang w:val="en-US"/>
        </w:rPr>
        <w:t>Next qualification – is the government. The term “government” coming up from the Convention on Rights and Duties of States is used in the meaning of the way of effective control on the certain territory. As it is known the role of representing the interests of Islanders was put on the special collective body – the Assembly</w:t>
      </w:r>
      <w:r w:rsidRPr="008D03A9">
        <w:rPr>
          <w:rStyle w:val="aa"/>
          <w:rFonts w:ascii="Times New Roman" w:hAnsi="Times New Roman" w:cs="Times New Roman"/>
          <w:color w:val="000000"/>
          <w:sz w:val="24"/>
          <w:szCs w:val="24"/>
          <w:lang w:val="en-US"/>
        </w:rPr>
        <w:footnoteReference w:id="25"/>
      </w:r>
      <w:r w:rsidRPr="008D03A9">
        <w:rPr>
          <w:rFonts w:ascii="Times New Roman" w:hAnsi="Times New Roman" w:cs="Times New Roman"/>
          <w:color w:val="000000"/>
          <w:sz w:val="24"/>
          <w:szCs w:val="24"/>
          <w:lang w:val="en-US"/>
        </w:rPr>
        <w:t>. The functions of the executive authority were put on the Governor of the Islands.</w:t>
      </w:r>
      <w:r w:rsidRPr="008D03A9">
        <w:rPr>
          <w:rStyle w:val="aa"/>
          <w:rFonts w:ascii="Times New Roman" w:hAnsi="Times New Roman" w:cs="Times New Roman"/>
          <w:color w:val="000000"/>
          <w:sz w:val="24"/>
          <w:szCs w:val="24"/>
          <w:lang w:val="en-US"/>
        </w:rPr>
        <w:footnoteReference w:id="26"/>
      </w:r>
      <w:r w:rsidRPr="008D03A9">
        <w:rPr>
          <w:rFonts w:ascii="Times New Roman" w:hAnsi="Times New Roman" w:cs="Times New Roman"/>
          <w:color w:val="000000"/>
          <w:sz w:val="24"/>
          <w:szCs w:val="24"/>
          <w:lang w:val="en-US"/>
        </w:rPr>
        <w:t xml:space="preserve"> </w:t>
      </w:r>
    </w:p>
    <w:p w:rsidR="00CF2907" w:rsidRPr="008D03A9" w:rsidRDefault="00CF2907" w:rsidP="00CF2907">
      <w:pPr>
        <w:pStyle w:val="ab"/>
        <w:spacing w:line="480" w:lineRule="auto"/>
        <w:rPr>
          <w:rFonts w:ascii="Times New Roman" w:hAnsi="Times New Roman" w:cs="Times New Roman"/>
          <w:color w:val="000000"/>
          <w:sz w:val="24"/>
          <w:szCs w:val="24"/>
          <w:lang w:val="en-US"/>
        </w:rPr>
      </w:pPr>
      <w:r w:rsidRPr="008D03A9">
        <w:rPr>
          <w:rFonts w:ascii="Times New Roman" w:hAnsi="Times New Roman" w:cs="Times New Roman"/>
          <w:color w:val="000000"/>
          <w:sz w:val="24"/>
          <w:szCs w:val="24"/>
          <w:lang w:val="en-US"/>
        </w:rPr>
        <w:t xml:space="preserve">The capability of entering into relations with other states is using not in a full way, but the main reason for that is the lack of the independence and sovereignty. Nevertheless, the population and the government of the Windscale Islands are absolutely opened for relations with Aspatria and Rydal. But in future, for sure, there are no obstacles for the connections with any of </w:t>
      </w:r>
      <w:r w:rsidRPr="008D03A9">
        <w:rPr>
          <w:rFonts w:ascii="Times New Roman" w:hAnsi="Times New Roman" w:cs="Times New Roman"/>
          <w:color w:val="000000"/>
          <w:sz w:val="24"/>
          <w:szCs w:val="24"/>
          <w:lang w:val="en-US"/>
        </w:rPr>
        <w:lastRenderedPageBreak/>
        <w:t xml:space="preserve">the state in the Universe for the state of Windscale Islands, especially taking into account its industrial and trading potential. </w:t>
      </w:r>
    </w:p>
    <w:p w:rsidR="00CF2907" w:rsidRDefault="00CF2907" w:rsidP="00CF2907">
      <w:pPr>
        <w:pStyle w:val="ab"/>
        <w:spacing w:line="480" w:lineRule="auto"/>
        <w:rPr>
          <w:rFonts w:ascii="Times New Roman" w:hAnsi="Times New Roman" w:cs="Times New Roman"/>
          <w:color w:val="000000"/>
          <w:sz w:val="24"/>
          <w:szCs w:val="24"/>
          <w:lang w:val="en-US"/>
        </w:rPr>
      </w:pPr>
      <w:r w:rsidRPr="008D03A9">
        <w:rPr>
          <w:rFonts w:ascii="Times New Roman" w:hAnsi="Times New Roman" w:cs="Times New Roman"/>
          <w:color w:val="000000"/>
          <w:sz w:val="24"/>
          <w:szCs w:val="24"/>
          <w:lang w:val="en-US"/>
        </w:rPr>
        <w:t xml:space="preserve">  </w:t>
      </w:r>
    </w:p>
    <w:p w:rsidR="00CF2907" w:rsidRDefault="00CF2907" w:rsidP="00CF2907">
      <w:pPr>
        <w:pStyle w:val="ab"/>
        <w:spacing w:line="480" w:lineRule="auto"/>
        <w:rPr>
          <w:rFonts w:ascii="Times New Roman" w:hAnsi="Times New Roman" w:cs="Times New Roman"/>
          <w:color w:val="000000"/>
          <w:sz w:val="24"/>
          <w:szCs w:val="24"/>
          <w:lang w:val="en-US"/>
        </w:rPr>
      </w:pPr>
    </w:p>
    <w:p w:rsidR="00CF2907" w:rsidRDefault="00CF2907" w:rsidP="00CF2907">
      <w:pPr>
        <w:pStyle w:val="ab"/>
        <w:spacing w:line="480" w:lineRule="auto"/>
        <w:rPr>
          <w:rFonts w:ascii="Times New Roman" w:hAnsi="Times New Roman" w:cs="Times New Roman"/>
          <w:color w:val="000000"/>
          <w:sz w:val="24"/>
          <w:szCs w:val="24"/>
          <w:lang w:val="en-US"/>
        </w:rPr>
      </w:pPr>
    </w:p>
    <w:p w:rsidR="00CF2907" w:rsidRDefault="00CF2907" w:rsidP="00CF2907">
      <w:pPr>
        <w:pStyle w:val="ab"/>
        <w:spacing w:line="480" w:lineRule="auto"/>
        <w:rPr>
          <w:rFonts w:ascii="Times New Roman" w:hAnsi="Times New Roman" w:cs="Times New Roman"/>
          <w:color w:val="000000"/>
          <w:sz w:val="24"/>
          <w:szCs w:val="24"/>
          <w:lang w:val="en-US"/>
        </w:rPr>
      </w:pPr>
    </w:p>
    <w:p w:rsidR="00CF2907" w:rsidRDefault="00CF2907" w:rsidP="00CF2907">
      <w:pPr>
        <w:pStyle w:val="ab"/>
        <w:spacing w:line="480" w:lineRule="auto"/>
        <w:rPr>
          <w:rFonts w:ascii="Times New Roman" w:hAnsi="Times New Roman" w:cs="Times New Roman"/>
          <w:color w:val="000000"/>
          <w:sz w:val="24"/>
          <w:szCs w:val="24"/>
          <w:lang w:val="en-US"/>
        </w:rPr>
      </w:pPr>
    </w:p>
    <w:p w:rsidR="00CF2907" w:rsidRPr="00CF2907" w:rsidRDefault="00CF2907" w:rsidP="00CF2907">
      <w:pPr>
        <w:pStyle w:val="ab"/>
        <w:spacing w:line="480" w:lineRule="auto"/>
        <w:rPr>
          <w:color w:val="FF0000"/>
          <w:sz w:val="24"/>
          <w:szCs w:val="24"/>
          <w:lang w:val="en-US"/>
        </w:rPr>
      </w:pPr>
    </w:p>
    <w:p w:rsidR="00CF2907" w:rsidRDefault="00CF2907" w:rsidP="00CF2907">
      <w:pPr>
        <w:pStyle w:val="NumberedParagraphs"/>
        <w:numPr>
          <w:ilvl w:val="0"/>
          <w:numId w:val="0"/>
        </w:numPr>
        <w:snapToGrid w:val="0"/>
        <w:spacing w:after="0" w:line="480" w:lineRule="auto"/>
        <w:ind w:firstLine="720"/>
        <w:jc w:val="left"/>
        <w:rPr>
          <w:sz w:val="24"/>
          <w:szCs w:val="24"/>
        </w:rPr>
      </w:pPr>
    </w:p>
    <w:p w:rsidR="00CF2907" w:rsidRDefault="00CF2907" w:rsidP="00CF2907">
      <w:pPr>
        <w:pStyle w:val="NumberedParagraphs"/>
        <w:numPr>
          <w:ilvl w:val="0"/>
          <w:numId w:val="0"/>
        </w:numPr>
        <w:snapToGrid w:val="0"/>
        <w:spacing w:after="0" w:line="480" w:lineRule="auto"/>
        <w:ind w:firstLine="720"/>
        <w:jc w:val="left"/>
        <w:rPr>
          <w:sz w:val="24"/>
          <w:lang w:val="en-US"/>
        </w:rPr>
      </w:pPr>
    </w:p>
    <w:p w:rsidR="00CF2907" w:rsidRDefault="00CF2907" w:rsidP="00CF2907">
      <w:pPr>
        <w:pStyle w:val="NumberedParagraphs"/>
        <w:numPr>
          <w:ilvl w:val="0"/>
          <w:numId w:val="0"/>
        </w:numPr>
        <w:snapToGrid w:val="0"/>
        <w:spacing w:after="0" w:line="480" w:lineRule="auto"/>
        <w:ind w:firstLine="720"/>
        <w:jc w:val="left"/>
        <w:rPr>
          <w:sz w:val="24"/>
          <w:lang w:val="en-US"/>
        </w:rPr>
      </w:pPr>
    </w:p>
    <w:p w:rsidR="00CF2907" w:rsidRDefault="00CF2907" w:rsidP="00CF2907">
      <w:pPr>
        <w:pStyle w:val="NumberedParagraphs"/>
        <w:numPr>
          <w:ilvl w:val="0"/>
          <w:numId w:val="0"/>
        </w:numPr>
        <w:snapToGrid w:val="0"/>
        <w:spacing w:after="0" w:line="480" w:lineRule="auto"/>
        <w:ind w:firstLine="720"/>
        <w:jc w:val="left"/>
        <w:rPr>
          <w:sz w:val="24"/>
          <w:lang w:val="en-US"/>
        </w:rPr>
      </w:pPr>
    </w:p>
    <w:p w:rsidR="00CF2907" w:rsidRPr="009F073F" w:rsidRDefault="00CF2907"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BA3E60" w:rsidRPr="009F073F" w:rsidRDefault="00BA3E60" w:rsidP="00CF2907">
      <w:pPr>
        <w:pStyle w:val="NumberedParagraphs"/>
        <w:numPr>
          <w:ilvl w:val="0"/>
          <w:numId w:val="0"/>
        </w:numPr>
        <w:snapToGrid w:val="0"/>
        <w:spacing w:after="0" w:line="480" w:lineRule="auto"/>
        <w:ind w:firstLine="720"/>
        <w:jc w:val="left"/>
        <w:rPr>
          <w:sz w:val="24"/>
          <w:lang w:val="en-US"/>
        </w:rPr>
      </w:pPr>
    </w:p>
    <w:p w:rsidR="00CF2907" w:rsidRPr="00E764C4" w:rsidRDefault="00CF2907" w:rsidP="00CF2907">
      <w:pPr>
        <w:pStyle w:val="NumberedParagraphs"/>
        <w:numPr>
          <w:ilvl w:val="0"/>
          <w:numId w:val="0"/>
        </w:numPr>
        <w:snapToGrid w:val="0"/>
        <w:spacing w:after="0" w:line="480" w:lineRule="auto"/>
        <w:ind w:firstLine="708"/>
        <w:jc w:val="left"/>
        <w:rPr>
          <w:b/>
          <w:sz w:val="28"/>
          <w:szCs w:val="28"/>
          <w:lang w:val="en-US"/>
        </w:rPr>
      </w:pPr>
      <w:r>
        <w:rPr>
          <w:b/>
          <w:sz w:val="28"/>
          <w:szCs w:val="28"/>
          <w:lang w:val="en-US"/>
        </w:rPr>
        <w:lastRenderedPageBreak/>
        <w:t>2</w:t>
      </w:r>
      <w:r w:rsidRPr="00E764C4">
        <w:rPr>
          <w:b/>
          <w:sz w:val="28"/>
          <w:szCs w:val="28"/>
          <w:lang w:val="en-US"/>
        </w:rPr>
        <w:t xml:space="preserve">. Rydal’s rejection of the MDR bid did not violate the Aspatria – Rydal BIT. </w:t>
      </w:r>
    </w:p>
    <w:p w:rsidR="00CF2907" w:rsidRPr="00415007" w:rsidRDefault="00CF2907" w:rsidP="00CF2907">
      <w:pPr>
        <w:spacing w:after="280" w:line="480" w:lineRule="auto"/>
        <w:ind w:left="709" w:hanging="709"/>
        <w:jc w:val="both"/>
        <w:rPr>
          <w:b/>
          <w:bCs/>
          <w:lang w:eastAsia="uk-UA"/>
        </w:rPr>
      </w:pPr>
      <w:r>
        <w:rPr>
          <w:b/>
        </w:rPr>
        <w:t>2</w:t>
      </w:r>
      <w:r w:rsidRPr="007D4A12">
        <w:rPr>
          <w:b/>
        </w:rPr>
        <w:t>.1</w:t>
      </w:r>
      <w:r w:rsidRPr="007D4A12">
        <w:rPr>
          <w:b/>
          <w:bCs/>
          <w:i/>
          <w:lang w:eastAsia="uk-UA"/>
        </w:rPr>
        <w:t xml:space="preserve"> </w:t>
      </w:r>
      <w:r w:rsidRPr="007D4A12">
        <w:rPr>
          <w:b/>
          <w:bCs/>
          <w:lang w:eastAsia="uk-UA"/>
        </w:rPr>
        <w:t>The kingdom of Rydal possesses sovereignty over its territory and disposes its natural resources</w:t>
      </w:r>
      <w:r>
        <w:rPr>
          <w:b/>
          <w:bCs/>
          <w:lang w:eastAsia="uk-UA"/>
        </w:rPr>
        <w:t>.</w:t>
      </w:r>
      <w:r w:rsidRPr="007D4A12">
        <w:rPr>
          <w:b/>
          <w:bCs/>
          <w:lang w:eastAsia="uk-UA"/>
        </w:rPr>
        <w:t xml:space="preserve"> </w:t>
      </w:r>
    </w:p>
    <w:p w:rsidR="00CF2907" w:rsidRPr="00BD5DF1" w:rsidRDefault="00CF2907" w:rsidP="00CF2907">
      <w:pPr>
        <w:spacing w:line="480" w:lineRule="auto"/>
        <w:ind w:firstLine="720"/>
        <w:jc w:val="both"/>
        <w:rPr>
          <w:bCs/>
          <w:lang w:eastAsia="uk-UA"/>
        </w:rPr>
      </w:pPr>
      <w:r w:rsidRPr="008D03A9">
        <w:rPr>
          <w:bCs/>
          <w:lang w:eastAsia="uk-UA"/>
        </w:rPr>
        <w:t>Under the UNCLOS, the natural resources consist of the mineral and other non-living resources of the sea-bed and</w:t>
      </w:r>
      <w:r w:rsidRPr="00BD5DF1">
        <w:rPr>
          <w:bCs/>
          <w:lang w:eastAsia="uk-UA"/>
        </w:rPr>
        <w:t xml:space="preserve"> subsoil together with living organisms belonging to sedentary species, that is to say, organisms which, at the harvestable stage, either are immobile on or under the sea-bed or are unable to move except in constant physical contact with the sea-bed or the subsoil</w:t>
      </w:r>
      <w:r>
        <w:rPr>
          <w:rStyle w:val="aa"/>
          <w:bCs/>
          <w:lang w:eastAsia="uk-UA"/>
        </w:rPr>
        <w:footnoteReference w:id="27"/>
      </w:r>
      <w:r>
        <w:rPr>
          <w:bCs/>
          <w:lang w:eastAsia="uk-UA"/>
        </w:rPr>
        <w:t>.</w:t>
      </w:r>
    </w:p>
    <w:p w:rsidR="00CF2907" w:rsidRDefault="00CF2907" w:rsidP="00CF2907">
      <w:pPr>
        <w:spacing w:line="480" w:lineRule="auto"/>
        <w:ind w:firstLine="709"/>
        <w:jc w:val="both"/>
      </w:pPr>
      <w:r>
        <w:t xml:space="preserve">The right to </w:t>
      </w:r>
      <w:r>
        <w:rPr>
          <w:bCs/>
        </w:rPr>
        <w:t>permanent sovereignty</w:t>
      </w:r>
      <w:bookmarkStart w:id="0" w:name="SR;44635"/>
      <w:bookmarkEnd w:id="0"/>
      <w:r>
        <w:t xml:space="preserve"> over </w:t>
      </w:r>
      <w:r>
        <w:rPr>
          <w:bCs/>
        </w:rPr>
        <w:t>natural resources</w:t>
      </w:r>
      <w:r>
        <w:t xml:space="preserve"> is a basic constituent of the right to self-determination</w:t>
      </w:r>
      <w:r>
        <w:rPr>
          <w:rStyle w:val="aa"/>
        </w:rPr>
        <w:footnoteReference w:id="28"/>
      </w:r>
      <w:r>
        <w:t>. Declaration on Principles of International Law reaffirms that by virtue of this principle all peoples have the right freely to pursue their economic development. In the resolution 626 (VII) of 21 December 1952 relating to the under-developed countries, the General Assembly has stated that “the right to use and exploit their natural resources inherent in their sovereignty and is in accordance with the Purposes and Principles of the Charter of United nations”.</w:t>
      </w:r>
    </w:p>
    <w:p w:rsidR="00CF2907" w:rsidRPr="008D03A9" w:rsidRDefault="00CF2907" w:rsidP="00CF2907">
      <w:pPr>
        <w:pStyle w:val="NumberedParagraphs"/>
        <w:numPr>
          <w:ilvl w:val="0"/>
          <w:numId w:val="0"/>
        </w:numPr>
        <w:snapToGrid w:val="0"/>
        <w:spacing w:after="0" w:line="480" w:lineRule="auto"/>
        <w:ind w:firstLine="720"/>
        <w:jc w:val="left"/>
        <w:rPr>
          <w:sz w:val="24"/>
          <w:szCs w:val="24"/>
        </w:rPr>
      </w:pPr>
      <w:r w:rsidRPr="008D03A9">
        <w:rPr>
          <w:sz w:val="24"/>
          <w:szCs w:val="24"/>
        </w:rPr>
        <w:t>As a general principle, a state may do whatever it pleases on its territory. The modern assertion of such sovereignty in the economic sphere is effected through the principle of economic self-determination and permanent sovereignty over natural resources.</w:t>
      </w:r>
      <w:r w:rsidRPr="008D03A9">
        <w:rPr>
          <w:rStyle w:val="aa"/>
          <w:sz w:val="24"/>
          <w:szCs w:val="24"/>
        </w:rPr>
        <w:footnoteReference w:id="29"/>
      </w:r>
      <w:r w:rsidRPr="008D03A9">
        <w:rPr>
          <w:sz w:val="24"/>
          <w:szCs w:val="24"/>
        </w:rPr>
        <w:t xml:space="preserve"> </w:t>
      </w:r>
    </w:p>
    <w:p w:rsidR="00CF2907" w:rsidRPr="008D03A9" w:rsidRDefault="00CF2907" w:rsidP="00CF2907">
      <w:pPr>
        <w:pStyle w:val="NumberedParagraphs"/>
        <w:numPr>
          <w:ilvl w:val="0"/>
          <w:numId w:val="0"/>
        </w:numPr>
        <w:snapToGrid w:val="0"/>
        <w:spacing w:after="0" w:line="480" w:lineRule="auto"/>
        <w:ind w:firstLine="720"/>
        <w:jc w:val="left"/>
        <w:rPr>
          <w:sz w:val="24"/>
          <w:lang w:val="en-US"/>
        </w:rPr>
      </w:pPr>
      <w:r w:rsidRPr="008D03A9">
        <w:rPr>
          <w:sz w:val="24"/>
          <w:szCs w:val="24"/>
          <w:lang w:val="en-US"/>
        </w:rPr>
        <w:t>The Seoul Declaration of the International Law Association combined these two principles of economic sovereignty by stating that ‘permanent sovereignty over natural resources, economic activities and wealth is a principle of international law’</w:t>
      </w:r>
      <w:r w:rsidRPr="008D03A9">
        <w:rPr>
          <w:rStyle w:val="aa"/>
          <w:sz w:val="24"/>
          <w:szCs w:val="24"/>
          <w:lang w:val="en-US"/>
        </w:rPr>
        <w:footnoteReference w:id="30"/>
      </w:r>
      <w:r w:rsidRPr="008D03A9">
        <w:rPr>
          <w:sz w:val="24"/>
          <w:szCs w:val="24"/>
          <w:lang w:val="en-US"/>
        </w:rPr>
        <w:t>.</w:t>
      </w:r>
    </w:p>
    <w:p w:rsidR="00CF2907" w:rsidRPr="008D03A9" w:rsidRDefault="00CF2907" w:rsidP="00CF2907">
      <w:pPr>
        <w:spacing w:line="480" w:lineRule="auto"/>
        <w:ind w:firstLine="709"/>
        <w:jc w:val="both"/>
      </w:pPr>
      <w:r w:rsidRPr="008D03A9">
        <w:lastRenderedPageBreak/>
        <w:t>Article 2(3) of the International Covenant on Economic, Social and Cultural Rights justifies the denial of economic rights to aliens, and states that ‘developing countries, with due regard to human rights and their national economy, may determine to what extent they would guarantee the economic rights recognized in the present covenant to  non-nationals.</w:t>
      </w:r>
    </w:p>
    <w:p w:rsidR="00CF2907" w:rsidRDefault="00CF2907" w:rsidP="00CF2907">
      <w:pPr>
        <w:spacing w:line="480" w:lineRule="auto"/>
        <w:ind w:firstLine="720"/>
        <w:jc w:val="both"/>
      </w:pPr>
      <w:r>
        <w:rPr>
          <w:bCs/>
          <w:lang w:eastAsia="uk-UA"/>
        </w:rPr>
        <w:t>The territorial sovereignty denotes the exclusivity of the State’s competence regarding its territory</w:t>
      </w:r>
      <w:r>
        <w:rPr>
          <w:rStyle w:val="aa"/>
          <w:bCs/>
          <w:lang w:eastAsia="uk-UA"/>
        </w:rPr>
        <w:footnoteReference w:id="31"/>
      </w:r>
      <w:r>
        <w:rPr>
          <w:bCs/>
          <w:lang w:eastAsia="uk-UA"/>
        </w:rPr>
        <w:t xml:space="preserve">. </w:t>
      </w:r>
      <w:r>
        <w:t>In particular, ‘the sovereign right of every State to dispose of its wealth and its natural resources should be respected’</w:t>
      </w:r>
      <w:r>
        <w:rPr>
          <w:rStyle w:val="aa"/>
        </w:rPr>
        <w:footnoteReference w:id="32"/>
      </w:r>
      <w:r>
        <w:t xml:space="preserve"> since it is ‘the inalienable right of all States</w:t>
      </w:r>
      <w:r>
        <w:rPr>
          <w:rStyle w:val="aa"/>
        </w:rPr>
        <w:footnoteReference w:id="33"/>
      </w:r>
      <w:r>
        <w:t>.</w:t>
      </w:r>
    </w:p>
    <w:p w:rsidR="00CF2907" w:rsidRDefault="00CF2907" w:rsidP="00CF2907">
      <w:pPr>
        <w:spacing w:line="480" w:lineRule="auto"/>
        <w:ind w:firstLine="720"/>
        <w:jc w:val="both"/>
      </w:pPr>
      <w:r>
        <w:t>The right of people and nations to permanent sovereignty over their natural resources must be exercised in the interest of their national development and of well-being of the people of the state concerned</w:t>
      </w:r>
      <w:r>
        <w:rPr>
          <w:rStyle w:val="aa"/>
        </w:rPr>
        <w:footnoteReference w:id="34"/>
      </w:r>
      <w:r>
        <w:t>.</w:t>
      </w:r>
    </w:p>
    <w:p w:rsidR="00CF2907" w:rsidRPr="007D4A12" w:rsidRDefault="00CF2907" w:rsidP="00CF2907">
      <w:pPr>
        <w:spacing w:line="480" w:lineRule="auto"/>
        <w:ind w:firstLine="720"/>
        <w:jc w:val="both"/>
        <w:rPr>
          <w:i/>
          <w:lang w:eastAsia="uk-UA"/>
        </w:rPr>
      </w:pPr>
      <w:r>
        <w:t>Rydal’s rejection of the MDR’s bid does not violate Aspatria-Rydal bid, because the ROCO bit satisfied the interest of national development and well-being of the Islanders.</w:t>
      </w:r>
    </w:p>
    <w:p w:rsidR="00CF2907" w:rsidRDefault="00CF2907" w:rsidP="00CF2907">
      <w:pPr>
        <w:spacing w:line="480" w:lineRule="auto"/>
        <w:ind w:firstLine="709"/>
        <w:jc w:val="both"/>
      </w:pPr>
    </w:p>
    <w:p w:rsidR="00CF2907" w:rsidRPr="009F073F" w:rsidRDefault="00CF2907" w:rsidP="00CF2907">
      <w:pPr>
        <w:spacing w:line="480" w:lineRule="auto"/>
        <w:ind w:firstLine="709"/>
        <w:jc w:val="both"/>
        <w:rPr>
          <w:b/>
          <w:sz w:val="28"/>
          <w:szCs w:val="28"/>
          <w:lang w:val="en-US"/>
        </w:rPr>
      </w:pPr>
    </w:p>
    <w:p w:rsidR="00003E1B" w:rsidRPr="009F073F" w:rsidRDefault="00003E1B" w:rsidP="00CF2907">
      <w:pPr>
        <w:spacing w:line="480" w:lineRule="auto"/>
        <w:ind w:firstLine="709"/>
        <w:jc w:val="both"/>
        <w:rPr>
          <w:b/>
          <w:sz w:val="28"/>
          <w:szCs w:val="28"/>
          <w:lang w:val="en-US"/>
        </w:rPr>
      </w:pPr>
    </w:p>
    <w:p w:rsidR="00003E1B" w:rsidRPr="009F073F" w:rsidRDefault="00003E1B" w:rsidP="00CF2907">
      <w:pPr>
        <w:spacing w:line="480" w:lineRule="auto"/>
        <w:ind w:firstLine="709"/>
        <w:jc w:val="both"/>
        <w:rPr>
          <w:b/>
          <w:sz w:val="28"/>
          <w:szCs w:val="28"/>
          <w:lang w:val="en-US"/>
        </w:rPr>
      </w:pPr>
    </w:p>
    <w:p w:rsidR="00003E1B" w:rsidRPr="009F073F" w:rsidRDefault="00003E1B" w:rsidP="00CF2907">
      <w:pPr>
        <w:spacing w:line="480" w:lineRule="auto"/>
        <w:ind w:firstLine="709"/>
        <w:jc w:val="both"/>
        <w:rPr>
          <w:b/>
          <w:sz w:val="28"/>
          <w:szCs w:val="28"/>
          <w:lang w:val="en-US"/>
        </w:rPr>
      </w:pPr>
    </w:p>
    <w:p w:rsidR="00003E1B" w:rsidRPr="009F073F" w:rsidRDefault="00003E1B" w:rsidP="00CF2907">
      <w:pPr>
        <w:spacing w:line="480" w:lineRule="auto"/>
        <w:ind w:firstLine="709"/>
        <w:jc w:val="both"/>
        <w:rPr>
          <w:b/>
          <w:sz w:val="28"/>
          <w:szCs w:val="28"/>
          <w:lang w:val="en-US"/>
        </w:rPr>
      </w:pPr>
    </w:p>
    <w:p w:rsidR="00CF2907" w:rsidRPr="00E764C4" w:rsidRDefault="00CF2907" w:rsidP="00CF2907">
      <w:pPr>
        <w:spacing w:line="480" w:lineRule="auto"/>
        <w:ind w:firstLine="709"/>
        <w:jc w:val="both"/>
        <w:rPr>
          <w:b/>
          <w:sz w:val="28"/>
          <w:szCs w:val="28"/>
        </w:rPr>
      </w:pPr>
      <w:r>
        <w:rPr>
          <w:b/>
          <w:sz w:val="28"/>
          <w:szCs w:val="28"/>
        </w:rPr>
        <w:lastRenderedPageBreak/>
        <w:t>3</w:t>
      </w:r>
      <w:r w:rsidRPr="00E764C4">
        <w:rPr>
          <w:b/>
          <w:sz w:val="28"/>
          <w:szCs w:val="28"/>
        </w:rPr>
        <w:t>.It would be illegal under international law for Aspatria to seize the assets of A</w:t>
      </w:r>
      <w:r>
        <w:rPr>
          <w:b/>
          <w:sz w:val="28"/>
          <w:szCs w:val="28"/>
        </w:rPr>
        <w:t>LEC</w:t>
      </w:r>
      <w:r w:rsidRPr="00E764C4">
        <w:rPr>
          <w:b/>
          <w:sz w:val="28"/>
          <w:szCs w:val="28"/>
        </w:rPr>
        <w:t xml:space="preserve"> company and this actions can be recognized as a violation of the Aspatria-Rydal BIT.</w:t>
      </w:r>
    </w:p>
    <w:p w:rsidR="00CF2907" w:rsidRDefault="00CF2907" w:rsidP="00CF2907">
      <w:pPr>
        <w:spacing w:line="480" w:lineRule="auto"/>
        <w:ind w:firstLine="709"/>
        <w:jc w:val="both"/>
        <w:rPr>
          <w:b/>
        </w:rPr>
      </w:pPr>
      <w:r>
        <w:rPr>
          <w:b/>
        </w:rPr>
        <w:t>3</w:t>
      </w:r>
      <w:r w:rsidRPr="0083120C">
        <w:rPr>
          <w:b/>
        </w:rPr>
        <w:t>.</w:t>
      </w:r>
      <w:r>
        <w:rPr>
          <w:b/>
        </w:rPr>
        <w:t>1</w:t>
      </w:r>
      <w:r w:rsidRPr="0083120C">
        <w:rPr>
          <w:b/>
        </w:rPr>
        <w:t xml:space="preserve"> Actions of Aspatria to seize the assets of the ALEC company violate the principle of good faith and non-discrimination measures which </w:t>
      </w:r>
      <w:r>
        <w:rPr>
          <w:b/>
        </w:rPr>
        <w:t xml:space="preserve">is established </w:t>
      </w:r>
      <w:r w:rsidRPr="0083120C">
        <w:rPr>
          <w:b/>
        </w:rPr>
        <w:t xml:space="preserve">by the Treaty Concerning the Encouragement and Reciprocal Protection of Investment </w:t>
      </w:r>
      <w:r>
        <w:rPr>
          <w:b/>
        </w:rPr>
        <w:t xml:space="preserve">( Aspatria-Rydal Bit) the </w:t>
      </w:r>
      <w:r w:rsidRPr="0083120C">
        <w:rPr>
          <w:b/>
        </w:rPr>
        <w:t>between Rydal and Aspatria.</w:t>
      </w:r>
    </w:p>
    <w:p w:rsidR="00CF2907" w:rsidRDefault="00CF2907" w:rsidP="00CF2907">
      <w:pPr>
        <w:spacing w:line="480" w:lineRule="auto"/>
        <w:ind w:firstLine="709"/>
        <w:jc w:val="both"/>
      </w:pPr>
      <w:r w:rsidRPr="00415007">
        <w:t xml:space="preserve">Both </w:t>
      </w:r>
      <w:r>
        <w:t xml:space="preserve">The kingdom of Rydal and the republic of Aspatria signed bilateral investment treaty - </w:t>
      </w:r>
      <w:r w:rsidRPr="00415007">
        <w:t>the Treaty Concerning the Encouragement and Reciprocal Protection of Investment</w:t>
      </w:r>
      <w:r>
        <w:t xml:space="preserve"> - and expressed their consent to be bound by it through ratification, after which it duly entered into force. The treaty at issue is legally binding upon parties to it by virtue of the principle </w:t>
      </w:r>
      <w:r>
        <w:rPr>
          <w:i/>
          <w:iCs/>
        </w:rPr>
        <w:t>pacta sunt servanda</w:t>
      </w:r>
      <w:r>
        <w:rPr>
          <w:iCs/>
        </w:rPr>
        <w:t>, i.e. ‘e</w:t>
      </w:r>
      <w:r>
        <w:t>very treaty in force is binding upon the parties to it and must be performed by them in good faith.</w:t>
      </w:r>
      <w:r>
        <w:rPr>
          <w:rStyle w:val="aa"/>
        </w:rPr>
        <w:footnoteReference w:id="35"/>
      </w:r>
      <w:r>
        <w:t>’</w:t>
      </w:r>
    </w:p>
    <w:p w:rsidR="00CF2907" w:rsidRDefault="00CF2907" w:rsidP="00CF2907">
      <w:pPr>
        <w:spacing w:line="480" w:lineRule="auto"/>
        <w:ind w:firstLine="709"/>
        <w:jc w:val="both"/>
        <w:rPr>
          <w:color w:val="000000"/>
        </w:rPr>
      </w:pPr>
      <w:r>
        <w:rPr>
          <w:color w:val="000000"/>
        </w:rPr>
        <w:t>It is</w:t>
      </w:r>
      <w:r w:rsidRPr="00E104EA">
        <w:rPr>
          <w:color w:val="000000"/>
        </w:rPr>
        <w:t xml:space="preserve"> of the most important general principles, underpinning many international legal rules is that of fulfillment obligation in good faith.</w:t>
      </w:r>
      <w:r w:rsidRPr="00E104EA">
        <w:rPr>
          <w:rStyle w:val="aa"/>
          <w:color w:val="000000"/>
        </w:rPr>
        <w:footnoteReference w:id="36"/>
      </w:r>
    </w:p>
    <w:p w:rsidR="00CF2907" w:rsidRPr="00E104EA" w:rsidRDefault="00CF2907" w:rsidP="00CF2907">
      <w:pPr>
        <w:spacing w:line="480" w:lineRule="auto"/>
        <w:ind w:firstLine="600"/>
        <w:jc w:val="both"/>
        <w:rPr>
          <w:color w:val="000000"/>
        </w:rPr>
      </w:pPr>
      <w:r w:rsidRPr="00E104EA">
        <w:rPr>
          <w:color w:val="000000"/>
        </w:rPr>
        <w:t>The International Court of Justice admitted that the principle of good faith obliges states to perform their obligations in a reasonable way and in such a manner that its purpose can be realized.</w:t>
      </w:r>
      <w:r w:rsidRPr="00E104EA">
        <w:rPr>
          <w:rStyle w:val="aa"/>
          <w:color w:val="000000"/>
        </w:rPr>
        <w:footnoteReference w:id="37"/>
      </w:r>
    </w:p>
    <w:p w:rsidR="00CF2907" w:rsidRPr="00E104EA" w:rsidRDefault="00CF2907" w:rsidP="00CF2907">
      <w:pPr>
        <w:spacing w:line="480" w:lineRule="auto"/>
        <w:ind w:firstLine="709"/>
        <w:jc w:val="both"/>
        <w:rPr>
          <w:color w:val="000000"/>
        </w:rPr>
      </w:pPr>
    </w:p>
    <w:p w:rsidR="00CF2907" w:rsidRDefault="00CF2907" w:rsidP="00CF2907">
      <w:pPr>
        <w:spacing w:line="480" w:lineRule="auto"/>
        <w:ind w:firstLine="720"/>
      </w:pPr>
      <w:r w:rsidRPr="0064396C">
        <w:lastRenderedPageBreak/>
        <w:t>"Investment" means every asset of an investor that has the characteristics of an investment, including such characteristics as the commitment of capital or other resources, the expectation of gain or profit, or the assumption of risk. Forms that an investment may take include: (a) an enterprise; (b) shares, stock, and other forms of equity participation in an enterprise; (c) licenses, authorizations, permits, and similar rights conferred pursuant to applicable domestic law.</w:t>
      </w:r>
    </w:p>
    <w:p w:rsidR="00CF2907" w:rsidRDefault="00CF2907" w:rsidP="00CF2907">
      <w:pPr>
        <w:spacing w:line="480" w:lineRule="auto"/>
        <w:ind w:firstLine="720"/>
      </w:pPr>
      <w:r>
        <w:t>Under the terms of this BIT e</w:t>
      </w:r>
      <w:r w:rsidRPr="0064396C">
        <w:t>ach Party shall accord to investments treatment in accordance with customary international law, including fair and equitable treatment, full protection and security, and non-discrimi</w:t>
      </w:r>
      <w:r>
        <w:t>n</w:t>
      </w:r>
      <w:r w:rsidRPr="0064396C">
        <w:t>ation</w:t>
      </w:r>
      <w:r>
        <w:t>.</w:t>
      </w:r>
    </w:p>
    <w:p w:rsidR="00CF2907" w:rsidRDefault="00CF2907" w:rsidP="00CF2907">
      <w:pPr>
        <w:spacing w:line="480" w:lineRule="auto"/>
        <w:ind w:firstLine="720"/>
      </w:pPr>
      <w:r w:rsidRPr="0064396C">
        <w:t xml:space="preserve"> Neither Party may expropriate or nationalise an investment either directly or indirectly through measures equivalent to expropriation or nationalization ("expropriation"), except for a public purpose; in accordance with due process of law; in a non-discriminatory manner; and on prompt, adequate, and effective compensation</w:t>
      </w:r>
      <w:r>
        <w:rPr>
          <w:rStyle w:val="aa"/>
        </w:rPr>
        <w:footnoteReference w:id="38"/>
      </w:r>
      <w:r w:rsidRPr="0064396C">
        <w:t>.</w:t>
      </w:r>
    </w:p>
    <w:p w:rsidR="00CF2907" w:rsidRDefault="00CF2907" w:rsidP="00CF2907">
      <w:pPr>
        <w:spacing w:line="480" w:lineRule="auto"/>
        <w:ind w:firstLine="720"/>
      </w:pPr>
      <w:r w:rsidRPr="00435C34">
        <w:t>It is a well recognized rule in international law that the property of aliens cannot be taken, whether for public purposes or not, without adequate compensation. The government may affect the value of property by regulation, either general in nature or by specific actions in the context of general regulations, for a legitimate public purpose without effecting a “taking” and having to compensate for this act. A state measure will be discriminatory if it results “in an actual injury to the alien …with the intention to harm the aggrieved alien” to favour national companies</w:t>
      </w:r>
      <w:r>
        <w:rPr>
          <w:rStyle w:val="aa"/>
        </w:rPr>
        <w:footnoteReference w:id="39"/>
      </w:r>
    </w:p>
    <w:p w:rsidR="00CF2907" w:rsidRPr="008D03A9" w:rsidRDefault="00CF2907" w:rsidP="00CF2907">
      <w:pPr>
        <w:spacing w:line="480" w:lineRule="auto"/>
        <w:ind w:firstLine="720"/>
        <w:rPr>
          <w:color w:val="000000"/>
        </w:rPr>
      </w:pPr>
      <w:r>
        <w:t>The International Court of Justice admitted that in contractual matters, the misuse of a right or the violation of the principle of good faith have the character of a breach of the treaty</w:t>
      </w:r>
      <w:r>
        <w:rPr>
          <w:rStyle w:val="aa"/>
        </w:rPr>
        <w:footnoteReference w:id="40"/>
      </w:r>
      <w:r>
        <w:t xml:space="preserve">.  </w:t>
      </w:r>
      <w:r>
        <w:lastRenderedPageBreak/>
        <w:t xml:space="preserve">The Court </w:t>
      </w:r>
      <w:r w:rsidRPr="008D03A9">
        <w:rPr>
          <w:color w:val="000000"/>
        </w:rPr>
        <w:t>further stated that the misuse of the right could not be presumed and that it rested  with the party who stated that there had been such misuse to prove his allegation</w:t>
      </w:r>
      <w:r w:rsidRPr="008D03A9">
        <w:rPr>
          <w:rStyle w:val="aa"/>
          <w:color w:val="000000"/>
        </w:rPr>
        <w:footnoteReference w:id="41"/>
      </w:r>
      <w:r w:rsidRPr="008D03A9">
        <w:rPr>
          <w:color w:val="000000"/>
        </w:rPr>
        <w:t>.</w:t>
      </w:r>
    </w:p>
    <w:p w:rsidR="00CF2907" w:rsidRDefault="00CF2907" w:rsidP="00CF2907">
      <w:pPr>
        <w:spacing w:line="480" w:lineRule="auto"/>
        <w:ind w:firstLine="720"/>
      </w:pPr>
      <w:r w:rsidRPr="008D03A9">
        <w:rPr>
          <w:color w:val="000000"/>
        </w:rPr>
        <w:t>In a later decision, the court pointed out that the State is charged with of an abuse of rights when it seeks to evade its contractual obligations by resorting to measures</w:t>
      </w:r>
      <w:r>
        <w:t xml:space="preserve"> which have the same effect as acts specifically prohibited by an agreement</w:t>
      </w:r>
      <w:r>
        <w:rPr>
          <w:rStyle w:val="aa"/>
        </w:rPr>
        <w:footnoteReference w:id="42"/>
      </w:r>
      <w:r>
        <w:t>.</w:t>
      </w:r>
    </w:p>
    <w:p w:rsidR="00CF2907" w:rsidRDefault="00CF2907" w:rsidP="00CF2907">
      <w:pPr>
        <w:spacing w:line="480" w:lineRule="auto"/>
        <w:ind w:firstLine="720"/>
      </w:pPr>
      <w:r>
        <w:t xml:space="preserve">Thus, Aspatria violated the international obligations which it undertook by Rydal-Aspatria BIT and this action could be regarded as the actions which breach the </w:t>
      </w:r>
      <w:r w:rsidRPr="00415007">
        <w:t>Treaty Concerning the Encouragement and Reciprocal Protection of Investment</w:t>
      </w:r>
      <w:r>
        <w:t>.</w:t>
      </w:r>
    </w:p>
    <w:p w:rsidR="00CF2907" w:rsidRDefault="00CF2907" w:rsidP="00CF2907">
      <w:pPr>
        <w:spacing w:line="480" w:lineRule="auto"/>
        <w:ind w:firstLine="720"/>
      </w:pPr>
    </w:p>
    <w:p w:rsidR="00CF2907" w:rsidRPr="00862676" w:rsidRDefault="00CF2907" w:rsidP="00CF2907">
      <w:pPr>
        <w:keepNext/>
        <w:keepLines/>
        <w:spacing w:line="480" w:lineRule="auto"/>
        <w:ind w:firstLine="127"/>
        <w:rPr>
          <w:b/>
        </w:rPr>
      </w:pPr>
      <w:r>
        <w:rPr>
          <w:b/>
        </w:rPr>
        <w:t xml:space="preserve">3.2 </w:t>
      </w:r>
      <w:r w:rsidRPr="00862676">
        <w:rPr>
          <w:b/>
        </w:rPr>
        <w:t>.The Natural Resource Act</w:t>
      </w:r>
      <w:r>
        <w:rPr>
          <w:b/>
        </w:rPr>
        <w:t xml:space="preserve"> </w:t>
      </w:r>
      <w:r w:rsidRPr="00862676">
        <w:rPr>
          <w:b/>
        </w:rPr>
        <w:t>(NRA) is the legislation which should be recognized “tantamount and expropriation”</w:t>
      </w:r>
      <w:r>
        <w:rPr>
          <w:b/>
        </w:rPr>
        <w:t xml:space="preserve"> and the actions of Aspatria  must be considered as expropriation.</w:t>
      </w:r>
    </w:p>
    <w:p w:rsidR="00CF2907" w:rsidRDefault="00CF2907" w:rsidP="00CF2907">
      <w:pPr>
        <w:spacing w:line="480" w:lineRule="auto"/>
        <w:ind w:firstLine="720"/>
      </w:pPr>
      <w:r w:rsidRPr="006D4CEB">
        <w:t>The principle of respect the rights to property is well recognized under the international law</w:t>
      </w:r>
      <w:r w:rsidRPr="006D4CEB">
        <w:rPr>
          <w:bCs/>
        </w:rPr>
        <w:t>.</w:t>
      </w:r>
      <w:r w:rsidRPr="006D4CEB">
        <w:rPr>
          <w:rStyle w:val="aa"/>
          <w:bCs/>
        </w:rPr>
        <w:footnoteReference w:id="43"/>
      </w:r>
      <w:r w:rsidRPr="006D4CEB">
        <w:t xml:space="preserve"> Most Conventions, whether general or particular, contains provisions which guarantee the rights to property.</w:t>
      </w:r>
    </w:p>
    <w:p w:rsidR="00CF2907" w:rsidRPr="00042550" w:rsidRDefault="00CF2907" w:rsidP="00CF2907">
      <w:pPr>
        <w:spacing w:line="480" w:lineRule="auto"/>
        <w:ind w:firstLine="709"/>
        <w:jc w:val="both"/>
      </w:pPr>
      <w:r w:rsidRPr="006D4CEB">
        <w:t>Article 17 of the Universal Declaration of Human Rights proclaims: (1) Everyone has the right to own property alone as well as in association with others; (2) No one shall be arbitrarily deprived of his property.</w:t>
      </w:r>
      <w:r w:rsidRPr="006D4CEB">
        <w:rPr>
          <w:rStyle w:val="aa"/>
        </w:rPr>
        <w:footnoteReference w:id="44"/>
      </w:r>
    </w:p>
    <w:p w:rsidR="00CF2907" w:rsidRPr="008D03A9" w:rsidRDefault="00CF2907" w:rsidP="00CF2907">
      <w:pPr>
        <w:spacing w:line="480" w:lineRule="auto"/>
        <w:ind w:firstLine="709"/>
        <w:jc w:val="both"/>
      </w:pPr>
      <w:r w:rsidRPr="008D03A9">
        <w:lastRenderedPageBreak/>
        <w:t>Article 17 Charter of Fundamental Rights of the European Union declares: 1. Everyone has the right to own, use, dispose of and bequeath his or her lawfully acquired possessions. No one shall be deprived of his or her possessions except in the public interest and in the cases and under the conditions provided for by law, subject to fair compensation being paid in good time for their loss. The use of property may be regulated by law in so far as in necessary for the general interest.</w:t>
      </w:r>
      <w:r w:rsidRPr="008D03A9">
        <w:rPr>
          <w:rStyle w:val="aa"/>
        </w:rPr>
        <w:footnoteReference w:id="45"/>
      </w:r>
    </w:p>
    <w:p w:rsidR="00CF2907" w:rsidRPr="008D03A9" w:rsidRDefault="00CF2907" w:rsidP="00CF2907">
      <w:pPr>
        <w:spacing w:line="480" w:lineRule="auto"/>
        <w:ind w:firstLine="709"/>
        <w:jc w:val="both"/>
      </w:pPr>
      <w:r w:rsidRPr="008D03A9">
        <w:t>The American Convention on the Human Rights in its Article 21 provides that: (1) Everyone has the right to property. The law may subordinate such use and enjoyment to the interest of society; (2) No one shall be deprived of his property except upon payment of just compensation, for reasons of public utility or social interest, and in the cases and according to the forms established by law; (3) Usury and any other form of exploitation of man shall be prohibited by law.</w:t>
      </w:r>
      <w:r w:rsidRPr="008D03A9">
        <w:rPr>
          <w:rStyle w:val="aa"/>
          <w:bCs/>
        </w:rPr>
        <w:footnoteReference w:id="46"/>
      </w:r>
      <w:r w:rsidRPr="008D03A9">
        <w:t xml:space="preserve"> </w:t>
      </w:r>
    </w:p>
    <w:p w:rsidR="00CF2907" w:rsidRDefault="00CF2907" w:rsidP="00CF2907">
      <w:pPr>
        <w:spacing w:line="480" w:lineRule="auto"/>
        <w:ind w:firstLine="720"/>
      </w:pPr>
      <w:r>
        <w:rPr>
          <w:lang w:eastAsia="uk-UA"/>
        </w:rPr>
        <w:t xml:space="preserve">According to the </w:t>
      </w:r>
      <w:r w:rsidRPr="006D4CEB">
        <w:rPr>
          <w:lang w:eastAsia="uk-UA"/>
        </w:rPr>
        <w:t xml:space="preserve">Article 1139 of the NAFTA, the definition of “investment” covers, among other things, “real estate or other property, </w:t>
      </w:r>
      <w:r w:rsidRPr="006D4CEB">
        <w:rPr>
          <w:iCs/>
          <w:lang w:eastAsia="uk-UA"/>
        </w:rPr>
        <w:t>tangible or intangible</w:t>
      </w:r>
      <w:r w:rsidRPr="006D4CEB">
        <w:rPr>
          <w:i/>
          <w:iCs/>
          <w:lang w:eastAsia="uk-UA"/>
        </w:rPr>
        <w:t xml:space="preserve">, </w:t>
      </w:r>
      <w:r w:rsidRPr="006D4CEB">
        <w:rPr>
          <w:lang w:eastAsia="uk-UA"/>
        </w:rPr>
        <w:t>acquired in the expectation or used for the purpose of economic benefit or other business purposes</w:t>
      </w:r>
      <w:r>
        <w:rPr>
          <w:lang w:eastAsia="uk-UA"/>
        </w:rPr>
        <w:t xml:space="preserve">. In the context of </w:t>
      </w:r>
      <w:r w:rsidRPr="00415007">
        <w:t>the Treaty Concerning the Encouragement and Reciprocal Protection of Investment</w:t>
      </w:r>
      <w:r>
        <w:t xml:space="preserve">  Under the Rydal-Aspatria BIT </w:t>
      </w:r>
      <w:r w:rsidRPr="0064396C">
        <w:t>"Investment" means every asset of an investor that has the characteristics of an investment, including such characteristics as the commitment of capital or other resources, the expectation of gain or profit, or the assumption of risk. Forms that an investment may take include: (a) an enterprise; (b) shares, stock, and other forms of equity participation in an enterprise; (c) licenses, authorizations, permits, and similar rights conferred pursuant to applicable domestic law.</w:t>
      </w:r>
    </w:p>
    <w:p w:rsidR="00CF2907" w:rsidRDefault="00CF2907" w:rsidP="00CF2907">
      <w:pPr>
        <w:autoSpaceDE w:val="0"/>
        <w:autoSpaceDN w:val="0"/>
        <w:adjustRightInd w:val="0"/>
        <w:spacing w:line="480" w:lineRule="auto"/>
        <w:ind w:firstLine="720"/>
        <w:rPr>
          <w:rFonts w:eastAsia="Calibri"/>
          <w:sz w:val="22"/>
          <w:szCs w:val="22"/>
        </w:rPr>
      </w:pPr>
      <w:r w:rsidRPr="00337C3C">
        <w:rPr>
          <w:rFonts w:eastAsia="Calibri"/>
          <w:sz w:val="22"/>
          <w:szCs w:val="22"/>
        </w:rPr>
        <w:lastRenderedPageBreak/>
        <w:t xml:space="preserve">Customary international law does not preclude host states from expropriating </w:t>
      </w:r>
      <w:r>
        <w:rPr>
          <w:rFonts w:eastAsia="Calibri"/>
          <w:sz w:val="22"/>
          <w:szCs w:val="22"/>
        </w:rPr>
        <w:t>f</w:t>
      </w:r>
      <w:r w:rsidRPr="00337C3C">
        <w:rPr>
          <w:rFonts w:eastAsia="Calibri"/>
          <w:sz w:val="22"/>
          <w:szCs w:val="22"/>
        </w:rPr>
        <w:t>oreign investments</w:t>
      </w:r>
      <w:r>
        <w:rPr>
          <w:rFonts w:eastAsia="Calibri"/>
          <w:sz w:val="22"/>
          <w:szCs w:val="22"/>
        </w:rPr>
        <w:t xml:space="preserve"> </w:t>
      </w:r>
      <w:r w:rsidRPr="00337C3C">
        <w:rPr>
          <w:rFonts w:eastAsia="Calibri"/>
          <w:sz w:val="22"/>
          <w:szCs w:val="22"/>
        </w:rPr>
        <w:t>provided certain conditions are met. These conditions are: the taking of the investment for a public</w:t>
      </w:r>
      <w:r>
        <w:rPr>
          <w:rFonts w:eastAsia="Calibri"/>
          <w:sz w:val="22"/>
          <w:szCs w:val="22"/>
        </w:rPr>
        <w:t xml:space="preserve"> </w:t>
      </w:r>
      <w:r w:rsidRPr="00337C3C">
        <w:rPr>
          <w:rFonts w:eastAsia="Calibri"/>
          <w:sz w:val="22"/>
          <w:szCs w:val="22"/>
        </w:rPr>
        <w:t>purpose, as provided by law, in a non-discriminatory manner and with compensation.</w:t>
      </w:r>
      <w:r>
        <w:rPr>
          <w:rFonts w:eastAsia="Calibri"/>
          <w:sz w:val="22"/>
          <w:szCs w:val="22"/>
        </w:rPr>
        <w:t xml:space="preserve"> </w:t>
      </w:r>
    </w:p>
    <w:p w:rsidR="00CF2907" w:rsidRPr="00337C3C" w:rsidRDefault="00CF2907" w:rsidP="00CF2907">
      <w:pPr>
        <w:autoSpaceDE w:val="0"/>
        <w:autoSpaceDN w:val="0"/>
        <w:adjustRightInd w:val="0"/>
        <w:spacing w:line="480" w:lineRule="auto"/>
        <w:ind w:firstLine="720"/>
        <w:rPr>
          <w:rFonts w:eastAsia="Calibri"/>
          <w:sz w:val="22"/>
          <w:szCs w:val="22"/>
        </w:rPr>
      </w:pPr>
      <w:r w:rsidRPr="00337C3C">
        <w:rPr>
          <w:rFonts w:eastAsia="Calibri"/>
          <w:sz w:val="22"/>
          <w:szCs w:val="22"/>
        </w:rPr>
        <w:t>Expropriation or “wealth deprivation”</w:t>
      </w:r>
      <w:r>
        <w:rPr>
          <w:rStyle w:val="aa"/>
          <w:rFonts w:eastAsia="Calibri"/>
          <w:sz w:val="22"/>
          <w:szCs w:val="22"/>
        </w:rPr>
        <w:footnoteReference w:id="47"/>
      </w:r>
      <w:r w:rsidRPr="00337C3C">
        <w:rPr>
          <w:rFonts w:eastAsia="Calibri"/>
          <w:sz w:val="14"/>
          <w:szCs w:val="14"/>
        </w:rPr>
        <w:t xml:space="preserve"> </w:t>
      </w:r>
      <w:r w:rsidRPr="00337C3C">
        <w:rPr>
          <w:rFonts w:eastAsia="Calibri"/>
          <w:sz w:val="22"/>
          <w:szCs w:val="22"/>
        </w:rPr>
        <w:t xml:space="preserve">could take different forms: it could be </w:t>
      </w:r>
      <w:r w:rsidRPr="00337C3C">
        <w:rPr>
          <w:rFonts w:eastAsia="Calibri"/>
          <w:i/>
          <w:iCs/>
          <w:sz w:val="22"/>
          <w:szCs w:val="22"/>
        </w:rPr>
        <w:t xml:space="preserve">direct </w:t>
      </w:r>
      <w:r w:rsidRPr="00337C3C">
        <w:rPr>
          <w:rFonts w:eastAsia="Calibri"/>
          <w:sz w:val="22"/>
          <w:szCs w:val="22"/>
        </w:rPr>
        <w:t>where an</w:t>
      </w:r>
      <w:r>
        <w:rPr>
          <w:rFonts w:eastAsia="Calibri"/>
          <w:sz w:val="22"/>
          <w:szCs w:val="22"/>
        </w:rPr>
        <w:t xml:space="preserve"> </w:t>
      </w:r>
      <w:r w:rsidRPr="00337C3C">
        <w:rPr>
          <w:rFonts w:eastAsia="Calibri"/>
          <w:sz w:val="22"/>
          <w:szCs w:val="22"/>
        </w:rPr>
        <w:t>investment is nationalised or otherwise directly expropriated</w:t>
      </w:r>
      <w:r>
        <w:rPr>
          <w:rFonts w:eastAsia="Calibri"/>
          <w:sz w:val="22"/>
          <w:szCs w:val="22"/>
        </w:rPr>
        <w:t xml:space="preserve"> </w:t>
      </w:r>
      <w:r w:rsidRPr="00DA1FFD">
        <w:rPr>
          <w:rFonts w:eastAsia="Calibri"/>
        </w:rPr>
        <w:t>through</w:t>
      </w:r>
      <w:r w:rsidRPr="00337C3C">
        <w:rPr>
          <w:rFonts w:eastAsia="Calibri"/>
          <w:sz w:val="22"/>
          <w:szCs w:val="22"/>
        </w:rPr>
        <w:t xml:space="preserve"> formal transfer of title or</w:t>
      </w:r>
      <w:r>
        <w:rPr>
          <w:rFonts w:eastAsia="Calibri"/>
          <w:sz w:val="22"/>
          <w:szCs w:val="22"/>
        </w:rPr>
        <w:t xml:space="preserve"> </w:t>
      </w:r>
      <w:r w:rsidRPr="00337C3C">
        <w:rPr>
          <w:rFonts w:eastAsia="Calibri"/>
          <w:sz w:val="22"/>
          <w:szCs w:val="22"/>
        </w:rPr>
        <w:t>outright physical seizure. In addition to the term expropriation, terms such as “dispossession”,</w:t>
      </w:r>
      <w:r>
        <w:rPr>
          <w:rFonts w:eastAsia="Calibri"/>
          <w:sz w:val="22"/>
          <w:szCs w:val="22"/>
        </w:rPr>
        <w:t xml:space="preserve"> </w:t>
      </w:r>
      <w:r w:rsidRPr="00337C3C">
        <w:rPr>
          <w:rFonts w:eastAsia="Calibri"/>
          <w:sz w:val="22"/>
          <w:szCs w:val="22"/>
        </w:rPr>
        <w:t>“taking”, “deprivation” or “privation” are also used</w:t>
      </w:r>
      <w:r>
        <w:rPr>
          <w:rStyle w:val="aa"/>
          <w:rFonts w:eastAsia="Calibri"/>
          <w:sz w:val="22"/>
          <w:szCs w:val="22"/>
        </w:rPr>
        <w:footnoteReference w:id="48"/>
      </w:r>
      <w:r w:rsidRPr="00337C3C">
        <w:rPr>
          <w:rFonts w:eastAsia="Calibri"/>
          <w:sz w:val="22"/>
          <w:szCs w:val="22"/>
        </w:rPr>
        <w:t>.</w:t>
      </w:r>
      <w:r w:rsidRPr="00337C3C">
        <w:rPr>
          <w:rFonts w:eastAsia="Calibri"/>
          <w:sz w:val="14"/>
          <w:szCs w:val="14"/>
        </w:rPr>
        <w:t xml:space="preserve"> </w:t>
      </w:r>
      <w:r w:rsidRPr="00337C3C">
        <w:rPr>
          <w:rFonts w:eastAsia="Calibri"/>
          <w:sz w:val="22"/>
          <w:szCs w:val="22"/>
        </w:rPr>
        <w:t>International law is clear that a seizure of legal</w:t>
      </w:r>
      <w:r>
        <w:rPr>
          <w:rFonts w:eastAsia="Calibri"/>
          <w:sz w:val="22"/>
          <w:szCs w:val="22"/>
        </w:rPr>
        <w:t xml:space="preserve"> </w:t>
      </w:r>
      <w:r w:rsidRPr="00337C3C">
        <w:rPr>
          <w:rFonts w:eastAsia="Calibri"/>
          <w:sz w:val="22"/>
          <w:szCs w:val="22"/>
        </w:rPr>
        <w:t>title of property constitutes a compensable expropriation.</w:t>
      </w:r>
    </w:p>
    <w:p w:rsidR="00CF2907" w:rsidRPr="00DE3521" w:rsidRDefault="00CF2907" w:rsidP="00CF2907">
      <w:pPr>
        <w:autoSpaceDE w:val="0"/>
        <w:autoSpaceDN w:val="0"/>
        <w:adjustRightInd w:val="0"/>
        <w:spacing w:line="480" w:lineRule="auto"/>
        <w:ind w:firstLine="720"/>
        <w:rPr>
          <w:rFonts w:eastAsia="Calibri"/>
          <w:sz w:val="22"/>
          <w:szCs w:val="22"/>
        </w:rPr>
      </w:pPr>
      <w:r w:rsidRPr="00337C3C">
        <w:rPr>
          <w:rFonts w:eastAsia="Calibri"/>
          <w:sz w:val="22"/>
          <w:szCs w:val="22"/>
        </w:rPr>
        <w:t xml:space="preserve">Expropriation or deprivation of </w:t>
      </w:r>
      <w:r w:rsidRPr="00DA1FFD">
        <w:rPr>
          <w:rFonts w:eastAsia="Calibri"/>
        </w:rPr>
        <w:t>property could</w:t>
      </w:r>
      <w:r w:rsidRPr="00337C3C">
        <w:rPr>
          <w:rFonts w:eastAsia="Calibri"/>
          <w:sz w:val="22"/>
          <w:szCs w:val="22"/>
        </w:rPr>
        <w:t xml:space="preserve"> also occur through interference by a state in the</w:t>
      </w:r>
      <w:r>
        <w:rPr>
          <w:rFonts w:eastAsia="Calibri"/>
          <w:sz w:val="22"/>
          <w:szCs w:val="22"/>
        </w:rPr>
        <w:t xml:space="preserve"> </w:t>
      </w:r>
      <w:r w:rsidRPr="00337C3C">
        <w:rPr>
          <w:rFonts w:eastAsia="Calibri"/>
          <w:sz w:val="22"/>
          <w:szCs w:val="22"/>
        </w:rPr>
        <w:t>use of that property or with the enjoyment of the benefits even where the property is not seized and the</w:t>
      </w:r>
      <w:r>
        <w:rPr>
          <w:rFonts w:eastAsia="Calibri"/>
          <w:sz w:val="22"/>
          <w:szCs w:val="22"/>
        </w:rPr>
        <w:t xml:space="preserve"> </w:t>
      </w:r>
      <w:r w:rsidRPr="00337C3C">
        <w:rPr>
          <w:rFonts w:eastAsia="Calibri"/>
          <w:sz w:val="22"/>
          <w:szCs w:val="22"/>
        </w:rPr>
        <w:t>legal title to the property is not affected. The measures taken by the State have a similar effect to</w:t>
      </w:r>
      <w:r>
        <w:rPr>
          <w:rFonts w:eastAsia="Calibri"/>
          <w:sz w:val="22"/>
          <w:szCs w:val="22"/>
        </w:rPr>
        <w:t xml:space="preserve"> </w:t>
      </w:r>
      <w:r w:rsidRPr="00337C3C">
        <w:rPr>
          <w:rFonts w:eastAsia="Calibri"/>
          <w:sz w:val="22"/>
          <w:szCs w:val="22"/>
        </w:rPr>
        <w:t>expropriation or nationalisation and are generally termed “indirect”, “creeping”</w:t>
      </w:r>
      <w:r>
        <w:rPr>
          <w:rStyle w:val="aa"/>
          <w:rFonts w:eastAsia="Calibri"/>
          <w:sz w:val="22"/>
          <w:szCs w:val="22"/>
        </w:rPr>
        <w:footnoteReference w:id="49"/>
      </w:r>
      <w:r w:rsidRPr="00337C3C">
        <w:rPr>
          <w:rFonts w:eastAsia="Calibri"/>
          <w:sz w:val="22"/>
          <w:szCs w:val="22"/>
        </w:rPr>
        <w:t>,</w:t>
      </w:r>
      <w:r w:rsidRPr="00337C3C">
        <w:rPr>
          <w:rFonts w:eastAsia="Calibri"/>
          <w:sz w:val="14"/>
          <w:szCs w:val="14"/>
        </w:rPr>
        <w:t xml:space="preserve"> </w:t>
      </w:r>
      <w:r w:rsidRPr="00337C3C">
        <w:rPr>
          <w:rFonts w:eastAsia="Calibri"/>
          <w:sz w:val="22"/>
          <w:szCs w:val="22"/>
        </w:rPr>
        <w:t>or “de facto”</w:t>
      </w:r>
      <w:r>
        <w:rPr>
          <w:rFonts w:eastAsia="Calibri"/>
          <w:sz w:val="22"/>
          <w:szCs w:val="22"/>
        </w:rPr>
        <w:t xml:space="preserve"> </w:t>
      </w:r>
      <w:r w:rsidRPr="00337C3C">
        <w:rPr>
          <w:rFonts w:eastAsia="Calibri"/>
          <w:sz w:val="22"/>
          <w:szCs w:val="22"/>
        </w:rPr>
        <w:t>expropriation, or measures “tantamount” to expropriation.</w:t>
      </w:r>
    </w:p>
    <w:p w:rsidR="00CF2907" w:rsidRPr="009034C0" w:rsidRDefault="00CF2907" w:rsidP="00CF2907">
      <w:pPr>
        <w:autoSpaceDE w:val="0"/>
        <w:autoSpaceDN w:val="0"/>
        <w:adjustRightInd w:val="0"/>
        <w:spacing w:line="480" w:lineRule="auto"/>
        <w:ind w:firstLine="720"/>
        <w:rPr>
          <w:rStyle w:val="longtext1"/>
          <w:sz w:val="24"/>
          <w:szCs w:val="24"/>
          <w:shd w:val="clear" w:color="auto" w:fill="FFFFFF"/>
        </w:rPr>
      </w:pPr>
      <w:r w:rsidRPr="009034C0">
        <w:rPr>
          <w:rStyle w:val="longtext1"/>
          <w:sz w:val="24"/>
          <w:szCs w:val="24"/>
          <w:shd w:val="clear" w:color="auto" w:fill="FFFFFF"/>
        </w:rPr>
        <w:t xml:space="preserve">In the case of </w:t>
      </w:r>
      <w:r w:rsidRPr="009034C0">
        <w:rPr>
          <w:rStyle w:val="longtext1"/>
          <w:i/>
          <w:sz w:val="24"/>
          <w:szCs w:val="24"/>
          <w:shd w:val="clear" w:color="auto" w:fill="FFFFFF"/>
        </w:rPr>
        <w:t xml:space="preserve">Starrett Housing Corp. </w:t>
      </w:r>
      <w:r w:rsidRPr="009034C0">
        <w:rPr>
          <w:rStyle w:val="longtext1"/>
          <w:i/>
          <w:sz w:val="24"/>
          <w:szCs w:val="24"/>
        </w:rPr>
        <w:t xml:space="preserve">v. </w:t>
      </w:r>
      <w:r w:rsidRPr="009034C0">
        <w:rPr>
          <w:rStyle w:val="longtext1"/>
          <w:i/>
          <w:sz w:val="24"/>
          <w:szCs w:val="24"/>
          <w:shd w:val="clear" w:color="auto" w:fill="EBEFF9"/>
        </w:rPr>
        <w:t>Iran</w:t>
      </w:r>
      <w:r w:rsidRPr="009034C0">
        <w:rPr>
          <w:rStyle w:val="longtext1"/>
          <w:sz w:val="24"/>
          <w:szCs w:val="24"/>
          <w:shd w:val="clear" w:color="auto" w:fill="EBEFF9"/>
        </w:rPr>
        <w:t xml:space="preserve">, considered by the Tribunal to resolve disputes between Iran and the United States, it was noted that if the measures taken by the State, affect the right of ownership to such an extent that the property is worthless, then they should be considered as expropriation, even if they did not have </w:t>
      </w:r>
      <w:r w:rsidRPr="009034C0">
        <w:rPr>
          <w:rStyle w:val="longtext1"/>
          <w:sz w:val="24"/>
          <w:szCs w:val="24"/>
          <w:shd w:val="clear" w:color="auto" w:fill="FFFFFF"/>
        </w:rPr>
        <w:t>its goal the implementation of expropriation and the formal ownership remained with the original owner</w:t>
      </w:r>
      <w:r w:rsidRPr="009034C0">
        <w:rPr>
          <w:rStyle w:val="aa"/>
          <w:shd w:val="clear" w:color="auto" w:fill="FFFFFF"/>
        </w:rPr>
        <w:footnoteReference w:id="50"/>
      </w:r>
      <w:r w:rsidRPr="009034C0">
        <w:rPr>
          <w:rStyle w:val="longtext1"/>
          <w:sz w:val="24"/>
          <w:szCs w:val="24"/>
          <w:shd w:val="clear" w:color="auto" w:fill="FFFFFF"/>
        </w:rPr>
        <w:t>.</w:t>
      </w:r>
    </w:p>
    <w:p w:rsidR="00CF2907" w:rsidRPr="009034C0" w:rsidRDefault="00CF2907" w:rsidP="00CF2907">
      <w:pPr>
        <w:autoSpaceDE w:val="0"/>
        <w:autoSpaceDN w:val="0"/>
        <w:adjustRightInd w:val="0"/>
        <w:spacing w:line="480" w:lineRule="auto"/>
        <w:ind w:firstLine="720"/>
        <w:rPr>
          <w:rStyle w:val="longtext1"/>
          <w:sz w:val="24"/>
          <w:szCs w:val="24"/>
          <w:shd w:val="clear" w:color="auto" w:fill="EBEFF9"/>
        </w:rPr>
      </w:pPr>
      <w:r w:rsidRPr="009034C0">
        <w:rPr>
          <w:rStyle w:val="longtext1"/>
          <w:sz w:val="24"/>
          <w:szCs w:val="24"/>
          <w:shd w:val="clear" w:color="auto" w:fill="FFFFFF"/>
        </w:rPr>
        <w:t xml:space="preserve">In another case, </w:t>
      </w:r>
      <w:r w:rsidRPr="009034C0">
        <w:rPr>
          <w:rStyle w:val="longtext1"/>
          <w:i/>
          <w:sz w:val="24"/>
          <w:szCs w:val="24"/>
          <w:shd w:val="clear" w:color="auto" w:fill="FFFFFF"/>
        </w:rPr>
        <w:t xml:space="preserve">Revere Copper v. </w:t>
      </w:r>
      <w:r w:rsidRPr="009034C0">
        <w:rPr>
          <w:rStyle w:val="longtext1"/>
          <w:i/>
          <w:sz w:val="24"/>
          <w:szCs w:val="24"/>
          <w:shd w:val="clear" w:color="auto" w:fill="EBEFF9"/>
        </w:rPr>
        <w:t>Overseas Private Investment Corporation</w:t>
      </w:r>
      <w:r w:rsidRPr="009034C0">
        <w:rPr>
          <w:rStyle w:val="longtext1"/>
          <w:sz w:val="24"/>
          <w:szCs w:val="24"/>
          <w:shd w:val="clear" w:color="auto" w:fill="EBEFF9"/>
        </w:rPr>
        <w:t xml:space="preserve"> (28) U.S. Supreme Court in its decision also concluded that the loss of effective control over the operations of the company amounts to expropriation</w:t>
      </w:r>
      <w:r w:rsidRPr="009034C0">
        <w:rPr>
          <w:rStyle w:val="aa"/>
          <w:shd w:val="clear" w:color="auto" w:fill="EBEFF9"/>
        </w:rPr>
        <w:footnoteReference w:id="51"/>
      </w:r>
      <w:r w:rsidRPr="009034C0">
        <w:rPr>
          <w:rStyle w:val="longtext1"/>
          <w:sz w:val="24"/>
          <w:szCs w:val="24"/>
          <w:shd w:val="clear" w:color="auto" w:fill="EBEFF9"/>
        </w:rPr>
        <w:t>.</w:t>
      </w:r>
    </w:p>
    <w:p w:rsidR="00CF2907" w:rsidRPr="009034C0" w:rsidRDefault="00CF2907" w:rsidP="00CF2907">
      <w:pPr>
        <w:autoSpaceDE w:val="0"/>
        <w:autoSpaceDN w:val="0"/>
        <w:adjustRightInd w:val="0"/>
        <w:spacing w:line="480" w:lineRule="auto"/>
        <w:ind w:firstLine="720"/>
        <w:rPr>
          <w:rStyle w:val="longtext1"/>
          <w:sz w:val="24"/>
          <w:szCs w:val="24"/>
          <w:shd w:val="clear" w:color="auto" w:fill="FFFFFF"/>
        </w:rPr>
      </w:pPr>
      <w:r w:rsidRPr="009034C0">
        <w:rPr>
          <w:rStyle w:val="longtext1"/>
          <w:sz w:val="24"/>
          <w:szCs w:val="24"/>
          <w:shd w:val="clear" w:color="auto" w:fill="FFFFFF"/>
        </w:rPr>
        <w:lastRenderedPageBreak/>
        <w:t xml:space="preserve">According to the decision of the International Court of Justice in the case of </w:t>
      </w:r>
      <w:r w:rsidRPr="009034C0">
        <w:rPr>
          <w:rStyle w:val="longtext1"/>
          <w:i/>
          <w:sz w:val="24"/>
          <w:szCs w:val="24"/>
          <w:shd w:val="clear" w:color="auto" w:fill="FFFFFF"/>
        </w:rPr>
        <w:t>Texaco Overseas Petroleum Co. and California Oil Co. v. Libya</w:t>
      </w:r>
      <w:r w:rsidRPr="009034C0">
        <w:rPr>
          <w:rStyle w:val="aa"/>
          <w:i/>
          <w:shd w:val="clear" w:color="auto" w:fill="FFFFFF"/>
        </w:rPr>
        <w:footnoteReference w:id="52"/>
      </w:r>
      <w:r w:rsidRPr="009034C0">
        <w:rPr>
          <w:rStyle w:val="longtext1"/>
          <w:sz w:val="24"/>
          <w:szCs w:val="24"/>
          <w:shd w:val="clear" w:color="auto" w:fill="FFFFFF"/>
        </w:rPr>
        <w:t xml:space="preserve"> addressed the issue of the legality of the nationalization of foreign property in Libya. It was noted that the existence of public interest is not a necessary element of lawful nationalization. It can be done on other grounds. However, the International Court of Justice concluded that the existence of a political motive can make nationalization discriminatory, and thus turned to the other conditions for recognition of expropriation under international law. </w:t>
      </w:r>
    </w:p>
    <w:p w:rsidR="00CF2907" w:rsidRPr="008D03A9" w:rsidRDefault="00CF2907" w:rsidP="00CF2907">
      <w:pPr>
        <w:autoSpaceDE w:val="0"/>
        <w:autoSpaceDN w:val="0"/>
        <w:adjustRightInd w:val="0"/>
        <w:spacing w:line="480" w:lineRule="auto"/>
        <w:ind w:firstLine="720"/>
        <w:jc w:val="both"/>
        <w:rPr>
          <w:lang w:eastAsia="uk-UA"/>
        </w:rPr>
      </w:pPr>
      <w:r w:rsidRPr="008D03A9">
        <w:rPr>
          <w:lang w:eastAsia="uk-UA"/>
        </w:rPr>
        <w:t xml:space="preserve">In the 1926 case of </w:t>
      </w:r>
      <w:r w:rsidRPr="008D03A9">
        <w:rPr>
          <w:i/>
          <w:iCs/>
          <w:lang w:eastAsia="uk-UA"/>
        </w:rPr>
        <w:t xml:space="preserve">German Interests in Polish Upper Silesia – the Chorzow Factory </w:t>
      </w:r>
      <w:r w:rsidRPr="008D03A9">
        <w:rPr>
          <w:lang w:eastAsia="uk-UA"/>
        </w:rPr>
        <w:t>case</w:t>
      </w:r>
      <w:r w:rsidRPr="008D03A9">
        <w:rPr>
          <w:rStyle w:val="aa"/>
          <w:lang w:eastAsia="uk-UA"/>
        </w:rPr>
        <w:footnoteReference w:id="53"/>
      </w:r>
      <w:r w:rsidRPr="008D03A9">
        <w:rPr>
          <w:lang w:eastAsia="uk-UA"/>
        </w:rPr>
        <w:t xml:space="preserve"> the Permanent Court of International Justice found that</w:t>
      </w:r>
      <w:r w:rsidRPr="008D03A9">
        <w:rPr>
          <w:i/>
          <w:iCs/>
          <w:lang w:eastAsia="uk-UA"/>
        </w:rPr>
        <w:t xml:space="preserve"> </w:t>
      </w:r>
      <w:r w:rsidRPr="008D03A9">
        <w:rPr>
          <w:lang w:eastAsia="uk-UA"/>
        </w:rPr>
        <w:t>the seizure by the Polish government of a factory plant and machinery was also an expropriation of</w:t>
      </w:r>
      <w:r w:rsidRPr="008D03A9">
        <w:rPr>
          <w:i/>
          <w:iCs/>
          <w:lang w:eastAsia="uk-UA"/>
        </w:rPr>
        <w:t xml:space="preserve"> </w:t>
      </w:r>
      <w:r w:rsidRPr="008D03A9">
        <w:rPr>
          <w:lang w:eastAsia="uk-UA"/>
        </w:rPr>
        <w:t>the closely interrelated patents and contracts of the management company, although the Polish</w:t>
      </w:r>
      <w:r w:rsidRPr="008D03A9">
        <w:rPr>
          <w:i/>
          <w:iCs/>
          <w:lang w:eastAsia="uk-UA"/>
        </w:rPr>
        <w:t xml:space="preserve"> </w:t>
      </w:r>
      <w:r w:rsidRPr="008D03A9">
        <w:rPr>
          <w:lang w:eastAsia="uk-UA"/>
        </w:rPr>
        <w:t>government at no time claimed to expropriate these.</w:t>
      </w:r>
    </w:p>
    <w:p w:rsidR="00CF2907" w:rsidRPr="008D03A9" w:rsidRDefault="00CF2907" w:rsidP="00CF2907">
      <w:pPr>
        <w:autoSpaceDE w:val="0"/>
        <w:autoSpaceDN w:val="0"/>
        <w:adjustRightInd w:val="0"/>
        <w:spacing w:line="480" w:lineRule="auto"/>
        <w:ind w:firstLine="720"/>
        <w:jc w:val="both"/>
        <w:rPr>
          <w:lang w:eastAsia="uk-UA"/>
        </w:rPr>
      </w:pPr>
      <w:r w:rsidRPr="008D03A9">
        <w:rPr>
          <w:lang w:eastAsia="uk-UA"/>
        </w:rPr>
        <w:t xml:space="preserve">The Iran-US Claims Tribunal recognised in the </w:t>
      </w:r>
      <w:r w:rsidRPr="008D03A9">
        <w:rPr>
          <w:i/>
          <w:iCs/>
          <w:lang w:eastAsia="uk-UA"/>
        </w:rPr>
        <w:t xml:space="preserve">Amoco </w:t>
      </w:r>
      <w:r w:rsidRPr="008D03A9">
        <w:rPr>
          <w:lang w:eastAsia="uk-UA"/>
        </w:rPr>
        <w:t>case that Iran owed compensation for expropriatory measures, and also acknowledged the rule of non-discrimination. The Award specifically states that: “discrimination is widely prohibited by customary international law in the field of expropriation”.</w:t>
      </w:r>
      <w:r w:rsidRPr="008D03A9">
        <w:rPr>
          <w:rStyle w:val="aa"/>
          <w:lang w:eastAsia="uk-UA"/>
        </w:rPr>
        <w:footnoteReference w:id="54"/>
      </w:r>
    </w:p>
    <w:p w:rsidR="00CF2907" w:rsidRPr="008D03A9" w:rsidRDefault="00CF2907" w:rsidP="00CF2907">
      <w:pPr>
        <w:autoSpaceDE w:val="0"/>
        <w:autoSpaceDN w:val="0"/>
        <w:adjustRightInd w:val="0"/>
        <w:spacing w:line="480" w:lineRule="auto"/>
        <w:ind w:firstLine="720"/>
      </w:pPr>
      <w:r w:rsidRPr="008D03A9">
        <w:rPr>
          <w:rFonts w:eastAsia="Calibri"/>
          <w:sz w:val="22"/>
          <w:szCs w:val="22"/>
        </w:rPr>
        <w:t xml:space="preserve">In our case </w:t>
      </w:r>
      <w:r w:rsidRPr="008D03A9">
        <w:t>Aspatrian federal police seized all assets of ALEC that could be found within Aspatrian territory, including bank accounts and an oil tanker valued at approximately US$80 million</w:t>
      </w:r>
      <w:r w:rsidRPr="008D03A9">
        <w:rPr>
          <w:rStyle w:val="aa"/>
        </w:rPr>
        <w:footnoteReference w:id="55"/>
      </w:r>
      <w:r w:rsidRPr="008D03A9">
        <w:t>.</w:t>
      </w:r>
    </w:p>
    <w:p w:rsidR="00CF2907" w:rsidRPr="008D03A9" w:rsidRDefault="00CF2907" w:rsidP="00CF2907">
      <w:pPr>
        <w:autoSpaceDE w:val="0"/>
        <w:autoSpaceDN w:val="0"/>
        <w:adjustRightInd w:val="0"/>
        <w:spacing w:line="480" w:lineRule="auto"/>
        <w:ind w:firstLine="374"/>
      </w:pPr>
      <w:r w:rsidRPr="008D03A9">
        <w:t xml:space="preserve">The international law set criteria which look very similar to the ones laid out by the recent greements: </w:t>
      </w:r>
    </w:p>
    <w:p w:rsidR="00CF2907" w:rsidRPr="00435C34" w:rsidRDefault="00CF2907" w:rsidP="00CF2907">
      <w:pPr>
        <w:numPr>
          <w:ilvl w:val="0"/>
          <w:numId w:val="12"/>
        </w:numPr>
        <w:autoSpaceDE w:val="0"/>
        <w:autoSpaceDN w:val="0"/>
        <w:adjustRightInd w:val="0"/>
        <w:spacing w:line="480" w:lineRule="auto"/>
        <w:ind w:left="0" w:firstLine="374"/>
      </w:pPr>
      <w:r w:rsidRPr="00435C34">
        <w:t xml:space="preserve">the degree of interference with the property right, </w:t>
      </w:r>
    </w:p>
    <w:p w:rsidR="00CF2907" w:rsidRPr="00435C34" w:rsidRDefault="00CF2907" w:rsidP="00CF2907">
      <w:pPr>
        <w:numPr>
          <w:ilvl w:val="0"/>
          <w:numId w:val="12"/>
        </w:numPr>
        <w:autoSpaceDE w:val="0"/>
        <w:autoSpaceDN w:val="0"/>
        <w:adjustRightInd w:val="0"/>
        <w:spacing w:line="480" w:lineRule="auto"/>
        <w:ind w:left="0" w:firstLine="374"/>
      </w:pPr>
      <w:r w:rsidRPr="00435C34">
        <w:lastRenderedPageBreak/>
        <w:t>the character of governmental measures, i.e. the purpose and the context of the governmental measure,</w:t>
      </w:r>
    </w:p>
    <w:p w:rsidR="00CF2907" w:rsidRDefault="00CF2907" w:rsidP="00CF2907">
      <w:pPr>
        <w:numPr>
          <w:ilvl w:val="0"/>
          <w:numId w:val="12"/>
        </w:numPr>
        <w:autoSpaceDE w:val="0"/>
        <w:autoSpaceDN w:val="0"/>
        <w:adjustRightInd w:val="0"/>
        <w:spacing w:line="480" w:lineRule="auto"/>
        <w:ind w:left="0" w:firstLine="374"/>
      </w:pPr>
      <w:r w:rsidRPr="00435C34">
        <w:t xml:space="preserve"> the interference of the measure with reasonable and investment-backed expectations.</w:t>
      </w:r>
      <w:r w:rsidRPr="00435C34">
        <w:rPr>
          <w:rStyle w:val="aa"/>
        </w:rPr>
        <w:footnoteReference w:id="56"/>
      </w:r>
    </w:p>
    <w:p w:rsidR="00CF2907" w:rsidRPr="008D03A9" w:rsidRDefault="00CF2907" w:rsidP="00CF2907">
      <w:pPr>
        <w:autoSpaceDE w:val="0"/>
        <w:autoSpaceDN w:val="0"/>
        <w:adjustRightInd w:val="0"/>
        <w:spacing w:line="480" w:lineRule="auto"/>
        <w:ind w:firstLine="720"/>
        <w:rPr>
          <w:rFonts w:eastAsia="MinionPro-Regular"/>
        </w:rPr>
      </w:pPr>
      <w:r w:rsidRPr="008D03A9">
        <w:t xml:space="preserve"> </w:t>
      </w:r>
      <w:r w:rsidRPr="008D03A9">
        <w:rPr>
          <w:rFonts w:eastAsia="MinionPro-Regular"/>
        </w:rPr>
        <w:t>Investments of Investors of a Contracting Party in the Area of any other</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Contracting Party shall not be nationalized, expropriated or subjected</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to a measure or measures having effect equivalent to nationalization or</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expropriation (hereinafter referred to as “Expropriation”) except where such</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Expropriation is:</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(a) for a purpose which is in the public interest;</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(b) not discriminatory;</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(c) carried out under due process of law; and</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(d) accompanied by the payment of prompt, adequate and effective</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compensation.</w:t>
      </w:r>
    </w:p>
    <w:p w:rsidR="00CF2907" w:rsidRPr="008D03A9" w:rsidRDefault="00CF2907" w:rsidP="00CF2907">
      <w:pPr>
        <w:autoSpaceDE w:val="0"/>
        <w:autoSpaceDN w:val="0"/>
        <w:adjustRightInd w:val="0"/>
        <w:spacing w:line="480" w:lineRule="auto"/>
        <w:ind w:firstLine="720"/>
        <w:rPr>
          <w:rFonts w:eastAsia="MinionPro-Regular"/>
        </w:rPr>
      </w:pPr>
      <w:r w:rsidRPr="008D03A9">
        <w:rPr>
          <w:rFonts w:eastAsia="MinionPro-Regular"/>
        </w:rPr>
        <w:t>Such compensation shall amount to the fair market value of the Investment</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expropriated at the time immediately before the Expropriation or impending</w:t>
      </w:r>
    </w:p>
    <w:p w:rsidR="00CF2907" w:rsidRPr="008D03A9" w:rsidRDefault="00CF2907" w:rsidP="00CF2907">
      <w:pPr>
        <w:autoSpaceDE w:val="0"/>
        <w:autoSpaceDN w:val="0"/>
        <w:adjustRightInd w:val="0"/>
        <w:spacing w:line="480" w:lineRule="auto"/>
        <w:rPr>
          <w:rFonts w:eastAsia="MinionPro-Regular"/>
        </w:rPr>
      </w:pPr>
      <w:r w:rsidRPr="008D03A9">
        <w:rPr>
          <w:rFonts w:eastAsia="MinionPro-Regular"/>
        </w:rPr>
        <w:t>Expropriation became known in such a way as to affect the value of the</w:t>
      </w:r>
    </w:p>
    <w:p w:rsidR="00CF2907" w:rsidRPr="008D03A9" w:rsidRDefault="00CF2907" w:rsidP="00CF2907">
      <w:pPr>
        <w:spacing w:line="480" w:lineRule="auto"/>
        <w:jc w:val="both"/>
        <w:rPr>
          <w:rFonts w:eastAsia="MinionPro-Regular"/>
        </w:rPr>
      </w:pPr>
      <w:r w:rsidRPr="008D03A9">
        <w:rPr>
          <w:rFonts w:eastAsia="MinionPro-Regular"/>
        </w:rPr>
        <w:t>Investment</w:t>
      </w:r>
      <w:r w:rsidRPr="008D03A9">
        <w:rPr>
          <w:rStyle w:val="aa"/>
          <w:rFonts w:eastAsia="MinionPro-Regular"/>
          <w:lang w:val="ru-RU"/>
        </w:rPr>
        <w:footnoteReference w:id="57"/>
      </w:r>
    </w:p>
    <w:p w:rsidR="00CF2907" w:rsidRPr="00CF2907" w:rsidRDefault="00CF2907" w:rsidP="00CF2907">
      <w:pPr>
        <w:autoSpaceDE w:val="0"/>
        <w:autoSpaceDN w:val="0"/>
        <w:adjustRightInd w:val="0"/>
        <w:spacing w:line="480" w:lineRule="auto"/>
        <w:ind w:firstLine="709"/>
        <w:rPr>
          <w:lang w:eastAsia="uk-UA"/>
        </w:rPr>
      </w:pPr>
      <w:r w:rsidRPr="00CF2907">
        <w:rPr>
          <w:lang w:eastAsia="uk-UA"/>
        </w:rPr>
        <w:t xml:space="preserve">Similarly in Article 3 of the </w:t>
      </w:r>
      <w:r w:rsidRPr="00CF2907">
        <w:rPr>
          <w:bCs/>
          <w:i/>
          <w:iCs/>
          <w:lang w:eastAsia="uk-UA"/>
        </w:rPr>
        <w:t>1967 OECD</w:t>
      </w:r>
      <w:r w:rsidRPr="00CF2907">
        <w:rPr>
          <w:lang w:eastAsia="uk-UA"/>
        </w:rPr>
        <w:t xml:space="preserve"> </w:t>
      </w:r>
      <w:r w:rsidRPr="00CF2907">
        <w:rPr>
          <w:bCs/>
          <w:i/>
          <w:iCs/>
          <w:lang w:eastAsia="uk-UA"/>
        </w:rPr>
        <w:t>Draft Convention on the Protection of Foreign Property</w:t>
      </w:r>
      <w:r w:rsidRPr="00CF2907">
        <w:rPr>
          <w:rStyle w:val="aa"/>
          <w:bCs/>
          <w:i/>
          <w:iCs/>
          <w:lang w:eastAsia="uk-UA"/>
        </w:rPr>
        <w:footnoteReference w:id="58"/>
      </w:r>
      <w:r w:rsidRPr="00CF2907">
        <w:rPr>
          <w:lang w:eastAsia="uk-UA"/>
        </w:rPr>
        <w:t xml:space="preserve">, states that “no Party shall take any measures depriving, directly or indirectly, of his property a national of another Party..” unless four conditions are met according to recognised </w:t>
      </w:r>
      <w:r w:rsidRPr="00CF2907">
        <w:rPr>
          <w:lang w:eastAsia="uk-UA"/>
        </w:rPr>
        <w:lastRenderedPageBreak/>
        <w:t>rules of international law: (i) in the public interest, (ii) under due process of law; (iii) not be discriminatory; and furthermore, iv) just and effective compensation must be paid.</w:t>
      </w:r>
    </w:p>
    <w:p w:rsidR="00CF2907" w:rsidRPr="00CF2907" w:rsidRDefault="00CF2907" w:rsidP="00CF2907">
      <w:pPr>
        <w:spacing w:line="480" w:lineRule="auto"/>
        <w:ind w:firstLine="374"/>
        <w:jc w:val="both"/>
        <w:rPr>
          <w:rStyle w:val="documentbody1"/>
          <w:rFonts w:ascii="Times New Roman" w:hAnsi="Times New Roman"/>
          <w:sz w:val="24"/>
          <w:szCs w:val="24"/>
        </w:rPr>
      </w:pPr>
      <w:r w:rsidRPr="00CF2907">
        <w:rPr>
          <w:rStyle w:val="documentbody1"/>
          <w:rFonts w:ascii="Times New Roman" w:hAnsi="Times New Roman"/>
          <w:sz w:val="24"/>
          <w:szCs w:val="24"/>
        </w:rPr>
        <w:t xml:space="preserve">That is a very significant limitation upon the right of the State </w:t>
      </w:r>
      <w:bookmarkStart w:id="1" w:name="FN;B19"/>
      <w:bookmarkEnd w:id="1"/>
      <w:r w:rsidRPr="00CF2907">
        <w:rPr>
          <w:rStyle w:val="aa"/>
          <w:shd w:val="clear" w:color="auto" w:fill="FFFFFF"/>
        </w:rPr>
        <w:footnoteReference w:id="59"/>
      </w:r>
      <w:r w:rsidRPr="00CF2907">
        <w:rPr>
          <w:rStyle w:val="documentbody1"/>
          <w:rFonts w:ascii="Times New Roman" w:hAnsi="Times New Roman"/>
          <w:sz w:val="24"/>
          <w:szCs w:val="24"/>
        </w:rPr>
        <w:t xml:space="preserve"> an enormous range of regulatory measures adopted by a State. If such measures do indeed amount to expropriation, it follows as a necessary consequence that, unless the State fully and promptly compensates affected businesses, it has no right to take such measures (Metalclad Corp., </w:t>
      </w:r>
      <w:r w:rsidRPr="00CF2907">
        <w:rPr>
          <w:rStyle w:val="aa"/>
          <w:shd w:val="clear" w:color="auto" w:fill="FFFFFF"/>
        </w:rPr>
        <w:footnoteReference w:id="60"/>
      </w:r>
      <w:r w:rsidRPr="00CF2907">
        <w:rPr>
          <w:rStyle w:val="documentbody1"/>
          <w:rFonts w:ascii="Times New Roman" w:hAnsi="Times New Roman"/>
          <w:sz w:val="24"/>
          <w:szCs w:val="24"/>
        </w:rPr>
        <w:t xml:space="preserve"> S.D. Myers, Inc.,</w:t>
      </w:r>
      <w:r w:rsidRPr="00CF2907">
        <w:rPr>
          <w:rStyle w:val="aa"/>
          <w:shd w:val="clear" w:color="auto" w:fill="FFFFFF"/>
        </w:rPr>
        <w:footnoteReference w:id="61"/>
      </w:r>
      <w:r w:rsidRPr="00CF2907">
        <w:rPr>
          <w:rStyle w:val="documentbody1"/>
          <w:rFonts w:ascii="Times New Roman" w:hAnsi="Times New Roman"/>
          <w:sz w:val="24"/>
          <w:szCs w:val="24"/>
        </w:rPr>
        <w:t xml:space="preserve"> </w:t>
      </w:r>
      <w:bookmarkStart w:id="3" w:name="FN;B6"/>
      <w:bookmarkEnd w:id="3"/>
      <w:r w:rsidRPr="00CF2907">
        <w:rPr>
          <w:rStyle w:val="documentbody1"/>
          <w:rFonts w:ascii="Times New Roman" w:hAnsi="Times New Roman"/>
          <w:sz w:val="24"/>
          <w:szCs w:val="24"/>
        </w:rPr>
        <w:t xml:space="preserve"> Methanex Corp., </w:t>
      </w:r>
      <w:bookmarkStart w:id="4" w:name="FN;B7"/>
      <w:bookmarkEnd w:id="4"/>
      <w:r w:rsidRPr="00CF2907">
        <w:rPr>
          <w:rStyle w:val="aa"/>
          <w:shd w:val="clear" w:color="auto" w:fill="FFFFFF"/>
        </w:rPr>
        <w:footnoteReference w:id="62"/>
      </w:r>
      <w:bookmarkStart w:id="5" w:name="FN;B10"/>
      <w:bookmarkEnd w:id="5"/>
      <w:r w:rsidRPr="00CF2907">
        <w:rPr>
          <w:rStyle w:val="documentbody1"/>
          <w:rFonts w:ascii="Times New Roman" w:hAnsi="Times New Roman"/>
          <w:sz w:val="24"/>
          <w:szCs w:val="24"/>
        </w:rPr>
        <w:t xml:space="preserve"> Ethyl Corp.,</w:t>
      </w:r>
      <w:r w:rsidRPr="00CF2907">
        <w:rPr>
          <w:rStyle w:val="aa"/>
          <w:shd w:val="clear" w:color="auto" w:fill="FFFFFF"/>
        </w:rPr>
        <w:footnoteReference w:id="63"/>
      </w:r>
      <w:bookmarkStart w:id="6" w:name="FN;B11"/>
      <w:bookmarkEnd w:id="6"/>
      <w:r w:rsidRPr="00CF2907">
        <w:rPr>
          <w:rStyle w:val="documentbody1"/>
          <w:rFonts w:ascii="Times New Roman" w:hAnsi="Times New Roman"/>
          <w:sz w:val="24"/>
          <w:szCs w:val="24"/>
        </w:rPr>
        <w:t xml:space="preserve"> Maffezini, </w:t>
      </w:r>
      <w:r w:rsidRPr="00CF2907">
        <w:rPr>
          <w:rStyle w:val="aa"/>
          <w:shd w:val="clear" w:color="auto" w:fill="FFFFFF"/>
        </w:rPr>
        <w:footnoteReference w:id="64"/>
      </w:r>
      <w:r w:rsidRPr="00CF2907">
        <w:rPr>
          <w:rStyle w:val="documentbody1"/>
          <w:rFonts w:ascii="Times New Roman" w:hAnsi="Times New Roman"/>
          <w:sz w:val="24"/>
          <w:szCs w:val="24"/>
        </w:rPr>
        <w:t xml:space="preserve"> the Iran-U.S. Claims Tribunal cases are examples)</w:t>
      </w:r>
      <w:r w:rsidRPr="00CF2907">
        <w:rPr>
          <w:rStyle w:val="aa"/>
          <w:shd w:val="clear" w:color="auto" w:fill="FFFFFF"/>
        </w:rPr>
        <w:footnoteReference w:id="65"/>
      </w:r>
      <w:r w:rsidRPr="00CF2907">
        <w:rPr>
          <w:rStyle w:val="documentbody1"/>
          <w:rFonts w:ascii="Times New Roman" w:hAnsi="Times New Roman"/>
          <w:sz w:val="24"/>
          <w:szCs w:val="24"/>
        </w:rPr>
        <w:t>.</w:t>
      </w:r>
    </w:p>
    <w:p w:rsidR="00CF2907" w:rsidRPr="00CF2907" w:rsidRDefault="00CF2907" w:rsidP="00CF2907">
      <w:pPr>
        <w:spacing w:line="480" w:lineRule="auto"/>
        <w:ind w:firstLine="720"/>
        <w:jc w:val="both"/>
      </w:pPr>
      <w:r w:rsidRPr="00CF2907">
        <w:t>Case law</w:t>
      </w:r>
      <w:r w:rsidRPr="00CF2907">
        <w:rPr>
          <w:rStyle w:val="aa"/>
        </w:rPr>
        <w:footnoteReference w:id="66"/>
      </w:r>
      <w:r w:rsidRPr="00CF2907">
        <w:t>, as well as a number of highly qualified lawyers</w:t>
      </w:r>
      <w:r w:rsidRPr="00CF2907">
        <w:rPr>
          <w:rStyle w:val="aa"/>
        </w:rPr>
        <w:footnoteReference w:id="67"/>
      </w:r>
      <w:r w:rsidRPr="00CF2907">
        <w:t xml:space="preserve"> recognizes that illegal expropriation of property, owed by foreign companies may constitute a breach of their rights.</w:t>
      </w:r>
    </w:p>
    <w:p w:rsidR="00CF2907" w:rsidRPr="009F073F" w:rsidRDefault="00CF2907" w:rsidP="00CF2907">
      <w:pPr>
        <w:spacing w:line="480" w:lineRule="auto"/>
        <w:ind w:firstLine="720"/>
        <w:jc w:val="both"/>
        <w:rPr>
          <w:lang w:val="en-US"/>
        </w:rPr>
      </w:pPr>
      <w:r w:rsidRPr="008D03A9">
        <w:t>Under the circumstances of the case, Aspatria seized all assets of the ALEC without respecting of the rules of international law. To some extent this actions had the discriminatory character and there was no effective compensation from the Aspatrian government to the ALEC company.</w:t>
      </w:r>
    </w:p>
    <w:p w:rsidR="00D61F34" w:rsidRPr="009F073F" w:rsidRDefault="00D61F34" w:rsidP="00CF2907">
      <w:pPr>
        <w:spacing w:line="480" w:lineRule="auto"/>
        <w:ind w:firstLine="720"/>
        <w:jc w:val="both"/>
        <w:rPr>
          <w:lang w:val="en-US"/>
        </w:rPr>
      </w:pPr>
    </w:p>
    <w:p w:rsidR="00D61F34" w:rsidRPr="00D61F34" w:rsidRDefault="00CF2907" w:rsidP="00D61F34">
      <w:pPr>
        <w:spacing w:line="720" w:lineRule="auto"/>
        <w:jc w:val="both"/>
        <w:rPr>
          <w:b/>
          <w:lang w:val="en-US"/>
        </w:rPr>
      </w:pPr>
      <w:r>
        <w:rPr>
          <w:b/>
        </w:rPr>
        <w:lastRenderedPageBreak/>
        <w:t>3.3</w:t>
      </w:r>
      <w:r w:rsidRPr="00101E54">
        <w:rPr>
          <w:b/>
        </w:rPr>
        <w:t>Aspatria breaches the international obligations</w:t>
      </w:r>
      <w:r>
        <w:rPr>
          <w:b/>
        </w:rPr>
        <w:t>.</w:t>
      </w:r>
    </w:p>
    <w:p w:rsidR="00CF2907" w:rsidRDefault="00CF2907" w:rsidP="00D61F34">
      <w:pPr>
        <w:spacing w:line="480" w:lineRule="auto"/>
        <w:ind w:firstLine="720"/>
        <w:jc w:val="both"/>
        <w:rPr>
          <w:rFonts w:ascii="TimesNewRomanPS" w:eastAsia="Calibri" w:hAnsi="TimesNewRomanPS" w:cs="TimesNewRomanPS"/>
          <w:sz w:val="22"/>
          <w:szCs w:val="22"/>
        </w:rPr>
      </w:pPr>
      <w:r w:rsidRPr="00BD30DC">
        <w:rPr>
          <w:rFonts w:ascii="TimesNewRomanPS-Bold" w:eastAsia="Calibri" w:hAnsi="TimesNewRomanPS-Bold" w:cs="TimesNewRomanPS-Bold"/>
          <w:bCs/>
          <w:sz w:val="22"/>
          <w:szCs w:val="22"/>
        </w:rPr>
        <w:t>Every internationally wrongful act of a State entails the international responsibility of that State</w:t>
      </w:r>
      <w:r w:rsidRPr="00BD30DC">
        <w:rPr>
          <w:rStyle w:val="aa"/>
          <w:rFonts w:ascii="TimesNewRomanPS-Bold" w:eastAsia="Calibri" w:hAnsi="TimesNewRomanPS-Bold" w:cs="TimesNewRomanPS-Bold"/>
          <w:bCs/>
          <w:sz w:val="22"/>
          <w:szCs w:val="22"/>
        </w:rPr>
        <w:footnoteReference w:id="68"/>
      </w:r>
      <w:r w:rsidRPr="00BD30DC">
        <w:rPr>
          <w:rFonts w:ascii="TimesNewRomanPS-Bold" w:eastAsia="Calibri" w:hAnsi="TimesNewRomanPS-Bold" w:cs="TimesNewRomanPS-Bold"/>
          <w:bCs/>
          <w:sz w:val="22"/>
          <w:szCs w:val="22"/>
        </w:rPr>
        <w:t xml:space="preserve">. </w:t>
      </w:r>
      <w:r>
        <w:rPr>
          <w:rFonts w:ascii="TimesNewRomanPS-Bold" w:eastAsia="Calibri" w:hAnsi="TimesNewRomanPS-Bold" w:cs="TimesNewRomanPS-Bold"/>
          <w:bCs/>
          <w:sz w:val="22"/>
          <w:szCs w:val="22"/>
        </w:rPr>
        <w:t xml:space="preserve">This article </w:t>
      </w:r>
      <w:r w:rsidRPr="00BD30DC">
        <w:rPr>
          <w:rFonts w:ascii="TimesNewRomanPS" w:eastAsia="Calibri" w:hAnsi="TimesNewRomanPS" w:cs="TimesNewRomanPS"/>
          <w:sz w:val="22"/>
          <w:szCs w:val="22"/>
        </w:rPr>
        <w:t xml:space="preserve">states the basic principle underlying the articles </w:t>
      </w:r>
      <w:r>
        <w:rPr>
          <w:rFonts w:ascii="TimesNewRomanPS" w:eastAsia="Calibri" w:hAnsi="TimesNewRomanPS" w:cs="TimesNewRomanPS"/>
          <w:sz w:val="22"/>
          <w:szCs w:val="22"/>
        </w:rPr>
        <w:t>of the</w:t>
      </w:r>
      <w:r w:rsidRPr="00BD30DC">
        <w:rPr>
          <w:sz w:val="22"/>
          <w:szCs w:val="22"/>
        </w:rPr>
        <w:t xml:space="preserve"> Diplomatic Protection</w:t>
      </w:r>
      <w:r>
        <w:rPr>
          <w:rFonts w:ascii="TimesNewRomanPS" w:eastAsia="Calibri" w:hAnsi="TimesNewRomanPS" w:cs="TimesNewRomanPS"/>
          <w:sz w:val="22"/>
          <w:szCs w:val="22"/>
        </w:rPr>
        <w:t xml:space="preserve"> as</w:t>
      </w:r>
      <w:r w:rsidRPr="00BD30DC">
        <w:rPr>
          <w:rFonts w:ascii="TimesNewRomanPS" w:eastAsia="Calibri" w:hAnsi="TimesNewRomanPS" w:cs="TimesNewRomanPS"/>
          <w:sz w:val="22"/>
          <w:szCs w:val="22"/>
        </w:rPr>
        <w:t xml:space="preserve"> a whole, which is that a breach of international law by a State entails its international responsibility.</w:t>
      </w:r>
    </w:p>
    <w:p w:rsidR="00CF2907" w:rsidRDefault="00CF2907" w:rsidP="00CF2907">
      <w:pPr>
        <w:autoSpaceDE w:val="0"/>
        <w:autoSpaceDN w:val="0"/>
        <w:adjustRightInd w:val="0"/>
        <w:spacing w:line="480" w:lineRule="auto"/>
        <w:ind w:firstLine="720"/>
        <w:rPr>
          <w:rFonts w:ascii="TimesNewRomanPS-Bold" w:eastAsia="Calibri" w:hAnsi="TimesNewRomanPS-Bold" w:cs="TimesNewRomanPS-Bold"/>
          <w:bCs/>
          <w:sz w:val="22"/>
          <w:szCs w:val="22"/>
        </w:rPr>
      </w:pPr>
      <w:r w:rsidRPr="00C536F5">
        <w:rPr>
          <w:rFonts w:ascii="TimesNewRomanPS-Bold" w:eastAsia="Calibri" w:hAnsi="TimesNewRomanPS-Bold" w:cs="TimesNewRomanPS-Bold"/>
          <w:bCs/>
          <w:sz w:val="22"/>
          <w:szCs w:val="22"/>
        </w:rPr>
        <w:t>There is a breach of an international obligation by a State when an act of that State is not in conformity with what is required of it by that obligation, regardless of its origin or character</w:t>
      </w:r>
      <w:r>
        <w:rPr>
          <w:rStyle w:val="aa"/>
          <w:rFonts w:ascii="TimesNewRomanPS-Bold" w:eastAsia="Calibri" w:hAnsi="TimesNewRomanPS-Bold" w:cs="TimesNewRomanPS-Bold"/>
          <w:bCs/>
          <w:sz w:val="22"/>
          <w:szCs w:val="22"/>
        </w:rPr>
        <w:footnoteReference w:id="69"/>
      </w:r>
      <w:r w:rsidRPr="00C536F5">
        <w:rPr>
          <w:rFonts w:ascii="TimesNewRomanPS-Bold" w:eastAsia="Calibri" w:hAnsi="TimesNewRomanPS-Bold" w:cs="TimesNewRomanPS-Bold"/>
          <w:bCs/>
          <w:sz w:val="22"/>
          <w:szCs w:val="22"/>
        </w:rPr>
        <w:t>.</w:t>
      </w:r>
    </w:p>
    <w:p w:rsidR="00CF2907" w:rsidRDefault="00CF2907" w:rsidP="00CF2907">
      <w:pPr>
        <w:autoSpaceDE w:val="0"/>
        <w:autoSpaceDN w:val="0"/>
        <w:adjustRightInd w:val="0"/>
        <w:spacing w:line="480" w:lineRule="auto"/>
        <w:ind w:firstLine="720"/>
      </w:pPr>
      <w:r w:rsidRPr="00C536F5">
        <w:rPr>
          <w:rFonts w:ascii="TimesNewRomanPS-Bold" w:eastAsia="Calibri" w:hAnsi="TimesNewRomanPS-Bold" w:cs="TimesNewRomanPS-Bold"/>
          <w:bCs/>
          <w:i/>
          <w:sz w:val="22"/>
          <w:szCs w:val="22"/>
        </w:rPr>
        <w:t xml:space="preserve">In casu </w:t>
      </w:r>
      <w:r w:rsidRPr="00C536F5">
        <w:rPr>
          <w:rFonts w:ascii="TimesNewRomanPS-Bold" w:eastAsia="Calibri" w:hAnsi="TimesNewRomanPS-Bold" w:cs="TimesNewRomanPS-Bold"/>
          <w:bCs/>
          <w:sz w:val="22"/>
          <w:szCs w:val="22"/>
        </w:rPr>
        <w:t>Aspatria</w:t>
      </w:r>
      <w:r>
        <w:rPr>
          <w:rFonts w:ascii="TimesNewRomanPS-Bold" w:eastAsia="Calibri" w:hAnsi="TimesNewRomanPS-Bold" w:cs="TimesNewRomanPS-Bold"/>
          <w:bCs/>
          <w:sz w:val="22"/>
          <w:szCs w:val="22"/>
        </w:rPr>
        <w:t xml:space="preserve"> undertook such  obligations “</w:t>
      </w:r>
      <w:r w:rsidRPr="0064396C">
        <w:t>Neither Party may expropriate or nationalise an investment either directly or indirectly through measures equivalent to expropriation or nationalisation ("expropriation"), except for a public purpose; in accordance with due process of law; in a non-discriminatory manner; and on prompt, adequate, and effective compensation</w:t>
      </w:r>
      <w:r>
        <w:t>”</w:t>
      </w:r>
      <w:r>
        <w:rPr>
          <w:rStyle w:val="aa"/>
        </w:rPr>
        <w:footnoteReference w:id="70"/>
      </w:r>
      <w:r w:rsidRPr="0064396C">
        <w:t>.</w:t>
      </w:r>
    </w:p>
    <w:p w:rsidR="00CF2907" w:rsidRDefault="00CF2907" w:rsidP="00CF2907">
      <w:pPr>
        <w:autoSpaceDE w:val="0"/>
        <w:autoSpaceDN w:val="0"/>
        <w:adjustRightInd w:val="0"/>
        <w:spacing w:line="480" w:lineRule="auto"/>
        <w:ind w:firstLine="720"/>
        <w:rPr>
          <w:rFonts w:ascii="TimesNewRomanPS" w:eastAsia="Calibri" w:hAnsi="TimesNewRomanPS" w:cs="TimesNewRomanPS"/>
          <w:sz w:val="22"/>
          <w:szCs w:val="22"/>
        </w:rPr>
      </w:pPr>
      <w:r w:rsidRPr="00B73F27">
        <w:rPr>
          <w:rFonts w:ascii="TimesNewRomanPS" w:eastAsia="Calibri" w:hAnsi="TimesNewRomanPS" w:cs="TimesNewRomanPS"/>
          <w:sz w:val="22"/>
          <w:szCs w:val="22"/>
        </w:rPr>
        <w:t>In the terms of article 12, the breach of an international obligation consists in the disconformity between the conduct required of the State by that obligation and the conduct actually adopted by the State—i.e. between the requirements of international law and the facts of the matter. This can be expressed in different ways. For example, ICJ has used such expressions as “incompatibility with the obligations” of a State</w:t>
      </w:r>
      <w:r>
        <w:rPr>
          <w:rStyle w:val="aa"/>
          <w:rFonts w:ascii="TimesNewRomanPS" w:eastAsia="Calibri" w:hAnsi="TimesNewRomanPS" w:cs="TimesNewRomanPS"/>
          <w:sz w:val="22"/>
          <w:szCs w:val="22"/>
        </w:rPr>
        <w:footnoteReference w:id="71"/>
      </w:r>
      <w:r w:rsidRPr="00B73F27">
        <w:rPr>
          <w:rFonts w:ascii="TimesNewRomanPS" w:eastAsia="Calibri" w:hAnsi="TimesNewRomanPS" w:cs="TimesNewRomanPS"/>
          <w:sz w:val="22"/>
          <w:szCs w:val="22"/>
        </w:rPr>
        <w:t>, acts “contrary to” or “inconsistent with” a given rule</w:t>
      </w:r>
      <w:r>
        <w:rPr>
          <w:rStyle w:val="aa"/>
          <w:rFonts w:ascii="TimesNewRomanPS" w:eastAsia="Calibri" w:hAnsi="TimesNewRomanPS" w:cs="TimesNewRomanPS"/>
          <w:sz w:val="22"/>
          <w:szCs w:val="22"/>
        </w:rPr>
        <w:footnoteReference w:id="72"/>
      </w:r>
      <w:r w:rsidRPr="00B73F27">
        <w:rPr>
          <w:rFonts w:ascii="TimesNewRomanPS" w:eastAsia="Calibri" w:hAnsi="TimesNewRomanPS" w:cs="TimesNewRomanPS"/>
          <w:sz w:val="22"/>
          <w:szCs w:val="22"/>
        </w:rPr>
        <w:t>, and failure to comply with its treaty obligations”</w:t>
      </w:r>
      <w:r>
        <w:rPr>
          <w:rStyle w:val="aa"/>
          <w:rFonts w:ascii="TimesNewRomanPS" w:eastAsia="Calibri" w:hAnsi="TimesNewRomanPS" w:cs="TimesNewRomanPS"/>
          <w:sz w:val="22"/>
          <w:szCs w:val="22"/>
        </w:rPr>
        <w:footnoteReference w:id="73"/>
      </w:r>
      <w:r w:rsidRPr="00B73F27">
        <w:rPr>
          <w:rFonts w:ascii="TimesNewRomanPS" w:eastAsia="Calibri" w:hAnsi="TimesNewRomanPS" w:cs="TimesNewRomanPS"/>
          <w:sz w:val="22"/>
          <w:szCs w:val="22"/>
        </w:rPr>
        <w:t>.</w:t>
      </w:r>
    </w:p>
    <w:p w:rsidR="00CF2907" w:rsidRDefault="00CF2907" w:rsidP="00CF2907">
      <w:pPr>
        <w:autoSpaceDE w:val="0"/>
        <w:autoSpaceDN w:val="0"/>
        <w:adjustRightInd w:val="0"/>
        <w:spacing w:line="480" w:lineRule="auto"/>
        <w:ind w:firstLine="720"/>
        <w:rPr>
          <w:rFonts w:ascii="TimesNewRomanPS-Bold" w:eastAsia="Calibri" w:hAnsi="TimesNewRomanPS-Bold" w:cs="TimesNewRomanPS-Bold"/>
          <w:bCs/>
          <w:sz w:val="22"/>
          <w:szCs w:val="22"/>
        </w:rPr>
      </w:pPr>
      <w:r w:rsidRPr="005F3879">
        <w:rPr>
          <w:rFonts w:ascii="TimesNewRomanPS-Bold" w:eastAsia="Calibri" w:hAnsi="TimesNewRomanPS-Bold" w:cs="TimesNewRomanPS-Bold"/>
          <w:bCs/>
          <w:sz w:val="22"/>
          <w:szCs w:val="22"/>
        </w:rPr>
        <w:lastRenderedPageBreak/>
        <w:t>The responsible State may not rely on the provisions of its internal law as justification for failure to comply with its obligations under this Part</w:t>
      </w:r>
      <w:r>
        <w:rPr>
          <w:rStyle w:val="aa"/>
          <w:rFonts w:ascii="TimesNewRomanPS-Bold" w:eastAsia="Calibri" w:hAnsi="TimesNewRomanPS-Bold" w:cs="TimesNewRomanPS-Bold"/>
          <w:bCs/>
          <w:sz w:val="22"/>
          <w:szCs w:val="22"/>
        </w:rPr>
        <w:footnoteReference w:id="74"/>
      </w:r>
      <w:r w:rsidRPr="005F3879">
        <w:rPr>
          <w:rFonts w:ascii="TimesNewRomanPS-Bold" w:eastAsia="Calibri" w:hAnsi="TimesNewRomanPS-Bold" w:cs="TimesNewRomanPS-Bold"/>
          <w:bCs/>
          <w:sz w:val="22"/>
          <w:szCs w:val="22"/>
        </w:rPr>
        <w:t>.</w:t>
      </w:r>
    </w:p>
    <w:p w:rsidR="00CF2907" w:rsidRPr="008D03A9" w:rsidRDefault="00CF2907" w:rsidP="00CF2907">
      <w:pPr>
        <w:spacing w:line="480" w:lineRule="auto"/>
        <w:ind w:firstLine="709"/>
        <w:jc w:val="both"/>
      </w:pPr>
      <w:r w:rsidRPr="008D03A9">
        <w:t>An obligation to compensate the damages, resulting from internationally wrongful act is a part of customary law</w:t>
      </w:r>
      <w:r w:rsidRPr="008D03A9">
        <w:rPr>
          <w:rStyle w:val="aa"/>
        </w:rPr>
        <w:footnoteReference w:id="75"/>
      </w:r>
      <w:r w:rsidRPr="008D03A9">
        <w:t>. Moreover, according to provisions of Draft Articles on State Responsibility, adopted by the ILC “</w:t>
      </w:r>
      <w:r w:rsidRPr="008D03A9">
        <w:rPr>
          <w:i/>
        </w:rPr>
        <w:t>an internationally wrongful act of a State leads to it’s obligation to make full reparation  for the injury, caused by such act, including both material and moral damage</w:t>
      </w:r>
      <w:r w:rsidRPr="008D03A9">
        <w:rPr>
          <w:rStyle w:val="aa"/>
        </w:rPr>
        <w:footnoteReference w:id="76"/>
      </w:r>
      <w:r w:rsidRPr="008D03A9">
        <w:t>.” Even though the Draft Articles have not been signed and ratified, they further confirm the mentioned principle of customary law</w:t>
      </w:r>
      <w:r w:rsidRPr="008D03A9">
        <w:rPr>
          <w:rStyle w:val="aa"/>
        </w:rPr>
        <w:footnoteReference w:id="77"/>
      </w:r>
      <w:r w:rsidRPr="008D03A9">
        <w:t>.</w:t>
      </w:r>
    </w:p>
    <w:p w:rsidR="00CF2907" w:rsidRPr="009F073F" w:rsidRDefault="00CF2907" w:rsidP="00CF2907">
      <w:pPr>
        <w:spacing w:line="480" w:lineRule="auto"/>
        <w:ind w:firstLine="709"/>
        <w:jc w:val="both"/>
        <w:rPr>
          <w:lang w:val="en-US"/>
        </w:rPr>
      </w:pPr>
      <w:r w:rsidRPr="008D03A9">
        <w:t xml:space="preserve">Under Art. 31(2) of ARS (2001) </w:t>
      </w:r>
      <w:r w:rsidRPr="008D03A9">
        <w:rPr>
          <w:lang w:eastAsia="ru-RU"/>
        </w:rPr>
        <w:t>it is only “injury… caused by the internationally wrongful act of a State” for which full reparation [including compensation</w:t>
      </w:r>
      <w:r w:rsidRPr="008D03A9">
        <w:rPr>
          <w:rStyle w:val="aa"/>
          <w:lang w:eastAsia="ru-RU"/>
        </w:rPr>
        <w:footnoteReference w:id="78"/>
      </w:r>
      <w:r w:rsidRPr="008D03A9">
        <w:rPr>
          <w:lang w:eastAsia="ru-RU"/>
        </w:rPr>
        <w:t>] must be made</w:t>
      </w:r>
      <w:r w:rsidRPr="008D03A9">
        <w:t>.</w:t>
      </w:r>
    </w:p>
    <w:p w:rsidR="00D61F34" w:rsidRPr="009F073F" w:rsidRDefault="00D61F34" w:rsidP="00CF2907">
      <w:pPr>
        <w:spacing w:line="480" w:lineRule="auto"/>
        <w:ind w:firstLine="709"/>
        <w:jc w:val="both"/>
        <w:rPr>
          <w:lang w:val="en-US"/>
        </w:rPr>
      </w:pPr>
    </w:p>
    <w:p w:rsidR="00CF2907" w:rsidRDefault="00CF2907" w:rsidP="00CF2907">
      <w:pPr>
        <w:spacing w:line="480" w:lineRule="auto"/>
        <w:jc w:val="both"/>
        <w:rPr>
          <w:b/>
        </w:rPr>
      </w:pPr>
      <w:r>
        <w:rPr>
          <w:b/>
        </w:rPr>
        <w:t>3.4 International Law regulation has greater power than domestic legislation.</w:t>
      </w:r>
    </w:p>
    <w:p w:rsidR="00CF2907" w:rsidRPr="00A85E9D" w:rsidRDefault="00CF2907" w:rsidP="00CF2907">
      <w:pPr>
        <w:spacing w:line="480" w:lineRule="auto"/>
        <w:ind w:firstLine="709"/>
        <w:jc w:val="both"/>
      </w:pPr>
      <w:r>
        <w:t>According to a generally accepted principle of international law in relations between States which are contracting parties to a treaty, the provisions of municipal law cannot prevail over those of the treaty, from which it appears that a State cannot rely on its own legislation to limit the scope of its international obligations.</w:t>
      </w:r>
      <w:r>
        <w:rPr>
          <w:rStyle w:val="aa"/>
        </w:rPr>
        <w:footnoteReference w:id="79"/>
      </w:r>
    </w:p>
    <w:p w:rsidR="00CF2907" w:rsidRPr="008D03A9" w:rsidRDefault="00CF2907" w:rsidP="00CF2907">
      <w:pPr>
        <w:spacing w:line="480" w:lineRule="auto"/>
        <w:ind w:firstLine="709"/>
        <w:jc w:val="both"/>
        <w:rPr>
          <w:color w:val="333333"/>
        </w:rPr>
      </w:pPr>
      <w:r w:rsidRPr="008D03A9">
        <w:rPr>
          <w:color w:val="333333"/>
        </w:rPr>
        <w:lastRenderedPageBreak/>
        <w:t>The State 'cannot plead provisions of its own law or deficiencies in that law' in answer to a claim it is in breach of a treaty obligation</w:t>
      </w:r>
      <w:r w:rsidRPr="008D03A9">
        <w:rPr>
          <w:rStyle w:val="aa"/>
          <w:color w:val="333333"/>
        </w:rPr>
        <w:footnoteReference w:id="80"/>
      </w:r>
      <w:r w:rsidRPr="008D03A9">
        <w:rPr>
          <w:color w:val="333333"/>
        </w:rPr>
        <w:t>.</w:t>
      </w:r>
    </w:p>
    <w:p w:rsidR="00CF2907" w:rsidRPr="008D03A9" w:rsidRDefault="00CF2907" w:rsidP="00CF2907">
      <w:pPr>
        <w:spacing w:line="480" w:lineRule="auto"/>
        <w:ind w:firstLine="709"/>
        <w:jc w:val="both"/>
      </w:pPr>
      <w:r w:rsidRPr="008D03A9">
        <w:t>The same statement contained in Article 27 of the Vienna Convention on the Law of Treaties: ‘A party may not invoke the provisions of its internal law as justification for its failure to perform a treaty’</w:t>
      </w:r>
      <w:r w:rsidRPr="008D03A9">
        <w:rPr>
          <w:rStyle w:val="aa"/>
        </w:rPr>
        <w:footnoteReference w:id="81"/>
      </w:r>
      <w:r w:rsidRPr="008D03A9">
        <w:t>.</w:t>
      </w:r>
    </w:p>
    <w:p w:rsidR="00CF2907" w:rsidRPr="008D03A9" w:rsidRDefault="00CF2907" w:rsidP="00CF2907">
      <w:pPr>
        <w:spacing w:line="480" w:lineRule="auto"/>
        <w:ind w:firstLine="709"/>
        <w:jc w:val="both"/>
      </w:pPr>
      <w:r w:rsidRPr="008D03A9">
        <w:t>Where the international tribunal has been charged with determining a matter according to international law it is clear that obligations arising under international law prevail over the terms of municipal law</w:t>
      </w:r>
      <w:r w:rsidRPr="008D03A9">
        <w:rPr>
          <w:rStyle w:val="aa"/>
        </w:rPr>
        <w:footnoteReference w:id="82"/>
      </w:r>
      <w:r w:rsidRPr="008D03A9">
        <w:t>.</w:t>
      </w:r>
    </w:p>
    <w:p w:rsidR="00CF2907" w:rsidRPr="008D03A9" w:rsidRDefault="00CF2907" w:rsidP="00CF2907">
      <w:pPr>
        <w:spacing w:line="480" w:lineRule="auto"/>
        <w:ind w:firstLine="709"/>
        <w:jc w:val="both"/>
      </w:pPr>
      <w:r w:rsidRPr="008D03A9">
        <w:t>Moreover, disabilities under domestic law cannot be regarded as an excuse for non-performance of international obligations.</w:t>
      </w:r>
      <w:r w:rsidRPr="008D03A9">
        <w:rPr>
          <w:rStyle w:val="aa"/>
        </w:rPr>
        <w:footnoteReference w:id="83"/>
      </w: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Default="00CF2907" w:rsidP="00CF2907">
      <w:pPr>
        <w:spacing w:line="480" w:lineRule="auto"/>
        <w:ind w:firstLine="709"/>
        <w:jc w:val="both"/>
      </w:pPr>
    </w:p>
    <w:p w:rsidR="00CF2907" w:rsidRPr="00186952" w:rsidRDefault="00CF2907" w:rsidP="00CF2907">
      <w:pPr>
        <w:spacing w:line="480" w:lineRule="auto"/>
        <w:ind w:firstLine="709"/>
        <w:jc w:val="both"/>
      </w:pPr>
    </w:p>
    <w:p w:rsidR="00EE20F3" w:rsidRPr="000A00D8" w:rsidRDefault="00EE20F3" w:rsidP="000A00D8">
      <w:pPr>
        <w:spacing w:line="480" w:lineRule="auto"/>
      </w:pPr>
    </w:p>
    <w:sectPr w:rsidR="00EE20F3" w:rsidRPr="000A00D8" w:rsidSect="00CF2907">
      <w:headerReference w:type="default" r:id="rId7"/>
      <w:pgSz w:w="11906" w:h="16838"/>
      <w:pgMar w:top="1134" w:right="850" w:bottom="1134" w:left="1701"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1A3" w:rsidRDefault="00F021A3" w:rsidP="00CF2907">
      <w:r>
        <w:separator/>
      </w:r>
    </w:p>
  </w:endnote>
  <w:endnote w:type="continuationSeparator" w:id="1">
    <w:p w:rsidR="00F021A3" w:rsidRDefault="00F021A3" w:rsidP="00CF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Italic">
    <w:altName w:val="Times New Roman"/>
    <w:panose1 w:val="00000000000000000000"/>
    <w:charset w:val="EE"/>
    <w:family w:val="roman"/>
    <w:notTrueType/>
    <w:pitch w:val="default"/>
    <w:sig w:usb0="00000007" w:usb1="00000000" w:usb2="00000000" w:usb3="00000000" w:csb0="00000003" w:csb1="00000000"/>
  </w:font>
  <w:font w:name="TimesNewRomanPS-ItalicMT">
    <w:altName w:val="Times New Roman"/>
    <w:panose1 w:val="00000000000000000000"/>
    <w:charset w:val="EE"/>
    <w:family w:val="roman"/>
    <w:notTrueType/>
    <w:pitch w:val="default"/>
    <w:sig w:usb0="00000005" w:usb1="00000000" w:usb2="00000000" w:usb3="00000000" w:csb0="00000002"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1A3" w:rsidRDefault="00F021A3" w:rsidP="00CF2907">
      <w:r>
        <w:separator/>
      </w:r>
    </w:p>
  </w:footnote>
  <w:footnote w:type="continuationSeparator" w:id="1">
    <w:p w:rsidR="00F021A3" w:rsidRDefault="00F021A3" w:rsidP="00CF2907">
      <w:r>
        <w:continuationSeparator/>
      </w:r>
    </w:p>
  </w:footnote>
  <w:footnote w:id="2">
    <w:p w:rsidR="00CF2907" w:rsidRPr="00EB2553" w:rsidRDefault="00CF2907" w:rsidP="00CF2907">
      <w:pPr>
        <w:pStyle w:val="a6"/>
        <w:spacing w:after="240"/>
        <w:rPr>
          <w:sz w:val="22"/>
          <w:szCs w:val="22"/>
        </w:rPr>
      </w:pPr>
      <w:r>
        <w:rPr>
          <w:rStyle w:val="aa"/>
        </w:rPr>
        <w:footnoteRef/>
      </w:r>
      <w:r>
        <w:t xml:space="preserve"> </w:t>
      </w:r>
      <w:r w:rsidRPr="00EB2553">
        <w:rPr>
          <w:sz w:val="22"/>
          <w:szCs w:val="22"/>
        </w:rPr>
        <w:t>Clipperton Islands Case (Mexico v. France), Judicial Decisions Involving Questions of International Law (28 January 1931), provided by Hein Online</w:t>
      </w:r>
      <w:r>
        <w:rPr>
          <w:sz w:val="22"/>
          <w:szCs w:val="22"/>
        </w:rPr>
        <w:t xml:space="preserve"> </w:t>
      </w:r>
    </w:p>
  </w:footnote>
  <w:footnote w:id="3">
    <w:p w:rsidR="00CF2907" w:rsidRDefault="00CF2907" w:rsidP="00CF2907">
      <w:pPr>
        <w:pStyle w:val="a6"/>
      </w:pPr>
      <w:r>
        <w:rPr>
          <w:rStyle w:val="aa"/>
        </w:rPr>
        <w:footnoteRef/>
      </w:r>
      <w:r>
        <w:t xml:space="preserve"> Compromis. Para.5</w:t>
      </w:r>
    </w:p>
  </w:footnote>
  <w:footnote w:id="4">
    <w:p w:rsidR="00CF2907" w:rsidRPr="00EB2553" w:rsidRDefault="00CF2907" w:rsidP="00CF2907">
      <w:pPr>
        <w:pStyle w:val="a6"/>
        <w:spacing w:after="240"/>
        <w:rPr>
          <w:sz w:val="22"/>
          <w:szCs w:val="22"/>
        </w:rPr>
      </w:pPr>
      <w:r>
        <w:rPr>
          <w:rStyle w:val="aa"/>
        </w:rPr>
        <w:footnoteRef/>
      </w:r>
      <w:r>
        <w:t xml:space="preserve"> </w:t>
      </w:r>
      <w:r w:rsidRPr="00EB2553">
        <w:rPr>
          <w:sz w:val="22"/>
          <w:szCs w:val="22"/>
        </w:rPr>
        <w:t xml:space="preserve">Western Sahara, ICJ Advisory Opinion (16 October 1975) </w:t>
      </w:r>
    </w:p>
    <w:p w:rsidR="00CF2907" w:rsidRDefault="00CF2907" w:rsidP="00CF2907">
      <w:pPr>
        <w:pStyle w:val="a6"/>
        <w:spacing w:line="480" w:lineRule="auto"/>
      </w:pPr>
    </w:p>
  </w:footnote>
  <w:footnote w:id="5">
    <w:p w:rsidR="00CF2907" w:rsidRPr="0013557A" w:rsidRDefault="00CF2907" w:rsidP="00CF2907">
      <w:pPr>
        <w:pStyle w:val="a6"/>
        <w:spacing w:after="240"/>
        <w:jc w:val="both"/>
        <w:rPr>
          <w:sz w:val="22"/>
          <w:szCs w:val="22"/>
        </w:rPr>
      </w:pPr>
      <w:r w:rsidRPr="0013557A">
        <w:rPr>
          <w:rStyle w:val="aa"/>
          <w:sz w:val="22"/>
          <w:szCs w:val="22"/>
        </w:rPr>
        <w:footnoteRef/>
      </w:r>
      <w:r w:rsidRPr="0013557A">
        <w:rPr>
          <w:sz w:val="22"/>
          <w:szCs w:val="22"/>
        </w:rPr>
        <w:t xml:space="preserve"> </w:t>
      </w:r>
      <w:r w:rsidRPr="0013557A">
        <w:rPr>
          <w:i/>
          <w:sz w:val="22"/>
          <w:szCs w:val="22"/>
        </w:rPr>
        <w:t>Eastern Greenland,</w:t>
      </w:r>
      <w:r w:rsidRPr="0013557A">
        <w:rPr>
          <w:rStyle w:val="documentbody1"/>
          <w:color w:val="000000"/>
          <w:sz w:val="22"/>
          <w:szCs w:val="22"/>
        </w:rPr>
        <w:t xml:space="preserve"> p. 45-46.</w:t>
      </w:r>
    </w:p>
  </w:footnote>
  <w:footnote w:id="6">
    <w:p w:rsidR="00CF2907" w:rsidRPr="0013557A" w:rsidRDefault="00CF2907" w:rsidP="00CF2907">
      <w:pPr>
        <w:pStyle w:val="a6"/>
        <w:spacing w:after="240"/>
        <w:jc w:val="both"/>
        <w:rPr>
          <w:sz w:val="22"/>
          <w:szCs w:val="22"/>
        </w:rPr>
      </w:pPr>
      <w:r w:rsidRPr="0013557A">
        <w:rPr>
          <w:rStyle w:val="aa"/>
          <w:sz w:val="22"/>
          <w:szCs w:val="22"/>
        </w:rPr>
        <w:footnoteRef/>
      </w:r>
      <w:r w:rsidRPr="0013557A">
        <w:rPr>
          <w:sz w:val="22"/>
          <w:szCs w:val="22"/>
        </w:rPr>
        <w:t xml:space="preserve"> </w:t>
      </w:r>
      <w:r w:rsidRPr="0013557A">
        <w:rPr>
          <w:rStyle w:val="documentbody1"/>
          <w:i/>
          <w:iCs/>
          <w:color w:val="000000"/>
          <w:sz w:val="22"/>
          <w:szCs w:val="22"/>
        </w:rPr>
        <w:t>Brazil v. Dutch Guiana,</w:t>
      </w:r>
      <w:r w:rsidRPr="0013557A">
        <w:rPr>
          <w:color w:val="000000"/>
          <w:sz w:val="22"/>
          <w:szCs w:val="22"/>
          <w:lang w:eastAsia="zh-CN"/>
        </w:rPr>
        <w:t xml:space="preserve"> p. 71. See also </w:t>
      </w:r>
      <w:r w:rsidRPr="0013557A">
        <w:rPr>
          <w:i/>
          <w:sz w:val="22"/>
          <w:szCs w:val="22"/>
        </w:rPr>
        <w:t>Eastern Greenland,</w:t>
      </w:r>
      <w:r w:rsidRPr="0013557A">
        <w:rPr>
          <w:rStyle w:val="documentbody1"/>
          <w:color w:val="000000"/>
          <w:sz w:val="22"/>
          <w:szCs w:val="22"/>
        </w:rPr>
        <w:t xml:space="preserve"> p. 45-46.</w:t>
      </w:r>
    </w:p>
  </w:footnote>
  <w:footnote w:id="7">
    <w:p w:rsidR="00CF2907" w:rsidRDefault="00CF2907" w:rsidP="00CF2907">
      <w:pPr>
        <w:pStyle w:val="a6"/>
      </w:pPr>
      <w:r>
        <w:rPr>
          <w:rStyle w:val="aa"/>
        </w:rPr>
        <w:footnoteRef/>
      </w:r>
      <w:r>
        <w:t xml:space="preserve"> Western Sahara case, Judge’s Boni separate opinion</w:t>
      </w:r>
    </w:p>
  </w:footnote>
  <w:footnote w:id="8">
    <w:p w:rsidR="00CF2907" w:rsidRDefault="00CF2907" w:rsidP="00CF2907">
      <w:pPr>
        <w:pStyle w:val="a6"/>
      </w:pPr>
      <w:r>
        <w:rPr>
          <w:rStyle w:val="aa"/>
        </w:rPr>
        <w:footnoteRef/>
      </w:r>
      <w:r>
        <w:t xml:space="preserve">R </w:t>
      </w:r>
      <w:r w:rsidRPr="008D03A9">
        <w:rPr>
          <w:rFonts w:cs="Tahoma"/>
          <w:color w:val="000000"/>
          <w:sz w:val="22"/>
          <w:szCs w:val="18"/>
        </w:rPr>
        <w:t>esolution 3292 (XXIX) of the United Nations General Assembly</w:t>
      </w:r>
    </w:p>
  </w:footnote>
  <w:footnote w:id="9">
    <w:p w:rsidR="00CF2907" w:rsidRPr="00F279BF" w:rsidRDefault="00CF2907" w:rsidP="00CF2907">
      <w:pPr>
        <w:pStyle w:val="a6"/>
        <w:spacing w:after="240"/>
        <w:rPr>
          <w:sz w:val="22"/>
          <w:szCs w:val="22"/>
        </w:rPr>
      </w:pPr>
      <w:r>
        <w:rPr>
          <w:rStyle w:val="aa"/>
        </w:rPr>
        <w:footnoteRef/>
      </w:r>
      <w:r>
        <w:t xml:space="preserve"> </w:t>
      </w:r>
      <w:r w:rsidRPr="00F279BF">
        <w:rPr>
          <w:sz w:val="22"/>
          <w:szCs w:val="22"/>
        </w:rPr>
        <w:t>The Island of Palmas Case (or Miangas) (United States of America v. The Netherlands), Permanent Court of Arbitration, Award (4 April 1928)</w:t>
      </w:r>
    </w:p>
  </w:footnote>
  <w:footnote w:id="10">
    <w:p w:rsidR="00CF2907" w:rsidRPr="00CE0A6A" w:rsidRDefault="00CF2907" w:rsidP="00CF2907">
      <w:pPr>
        <w:pStyle w:val="a6"/>
        <w:spacing w:after="240"/>
        <w:rPr>
          <w:sz w:val="22"/>
          <w:szCs w:val="22"/>
        </w:rPr>
      </w:pPr>
      <w:r>
        <w:rPr>
          <w:rStyle w:val="aa"/>
        </w:rPr>
        <w:footnoteRef/>
      </w:r>
      <w:r>
        <w:t xml:space="preserve"> </w:t>
      </w:r>
      <w:r w:rsidRPr="00CE0A6A">
        <w:rPr>
          <w:i/>
          <w:sz w:val="22"/>
          <w:szCs w:val="22"/>
        </w:rPr>
        <w:t>Compromis,</w:t>
      </w:r>
      <w:r w:rsidRPr="00CE0A6A">
        <w:rPr>
          <w:sz w:val="22"/>
          <w:szCs w:val="22"/>
        </w:rPr>
        <w:t xml:space="preserve"> para.32.</w:t>
      </w:r>
    </w:p>
  </w:footnote>
  <w:footnote w:id="11">
    <w:p w:rsidR="00CF2907" w:rsidRPr="00CE0A6A" w:rsidRDefault="00CF2907" w:rsidP="00CF2907">
      <w:pPr>
        <w:pStyle w:val="a6"/>
        <w:spacing w:after="240"/>
        <w:rPr>
          <w:sz w:val="22"/>
          <w:szCs w:val="22"/>
        </w:rPr>
      </w:pPr>
      <w:r>
        <w:rPr>
          <w:rStyle w:val="aa"/>
        </w:rPr>
        <w:footnoteRef/>
      </w:r>
      <w:r>
        <w:t xml:space="preserve"> </w:t>
      </w:r>
      <w:r w:rsidRPr="00CE0A6A">
        <w:rPr>
          <w:i/>
          <w:sz w:val="22"/>
          <w:szCs w:val="22"/>
        </w:rPr>
        <w:t>Compromis,</w:t>
      </w:r>
      <w:r w:rsidRPr="00CE0A6A">
        <w:rPr>
          <w:sz w:val="22"/>
          <w:szCs w:val="22"/>
        </w:rPr>
        <w:t xml:space="preserve"> para.34</w:t>
      </w:r>
    </w:p>
  </w:footnote>
  <w:footnote w:id="12">
    <w:p w:rsidR="00CF2907" w:rsidRPr="00CE0A6A" w:rsidRDefault="00CF2907" w:rsidP="00CF2907">
      <w:pPr>
        <w:pStyle w:val="a6"/>
        <w:spacing w:after="240"/>
        <w:rPr>
          <w:sz w:val="22"/>
          <w:szCs w:val="22"/>
        </w:rPr>
      </w:pPr>
      <w:r>
        <w:rPr>
          <w:rStyle w:val="aa"/>
        </w:rPr>
        <w:footnoteRef/>
      </w:r>
      <w:r>
        <w:t xml:space="preserve"> </w:t>
      </w:r>
      <w:r w:rsidRPr="00CE0A6A">
        <w:rPr>
          <w:i/>
          <w:sz w:val="22"/>
          <w:szCs w:val="22"/>
        </w:rPr>
        <w:t>Compromis</w:t>
      </w:r>
      <w:r w:rsidRPr="00CE0A6A">
        <w:rPr>
          <w:sz w:val="22"/>
          <w:szCs w:val="22"/>
        </w:rPr>
        <w:t>, para.35.</w:t>
      </w:r>
    </w:p>
  </w:footnote>
  <w:footnote w:id="13">
    <w:p w:rsidR="00CF2907" w:rsidRPr="008E418D" w:rsidRDefault="00CF2907" w:rsidP="00CF2907">
      <w:pPr>
        <w:pStyle w:val="a6"/>
        <w:spacing w:after="240"/>
        <w:rPr>
          <w:sz w:val="22"/>
        </w:rPr>
      </w:pPr>
      <w:r>
        <w:rPr>
          <w:rStyle w:val="aa"/>
        </w:rPr>
        <w:footnoteRef/>
      </w:r>
      <w:r>
        <w:t xml:space="preserve"> </w:t>
      </w:r>
      <w:r w:rsidRPr="008E418D">
        <w:rPr>
          <w:sz w:val="22"/>
          <w:szCs w:val="24"/>
        </w:rPr>
        <w:t>Resolution of the  UN General Assembly 1514 XV,  December 14, 1960</w:t>
      </w:r>
      <w:r>
        <w:rPr>
          <w:sz w:val="22"/>
          <w:szCs w:val="24"/>
        </w:rPr>
        <w:t>.</w:t>
      </w:r>
    </w:p>
  </w:footnote>
  <w:footnote w:id="14">
    <w:p w:rsidR="00CF2907" w:rsidRPr="00EB2553" w:rsidRDefault="00CF2907" w:rsidP="00CF2907">
      <w:pPr>
        <w:pStyle w:val="a6"/>
        <w:spacing w:after="240"/>
        <w:rPr>
          <w:sz w:val="22"/>
          <w:szCs w:val="22"/>
        </w:rPr>
      </w:pPr>
      <w:r>
        <w:rPr>
          <w:rStyle w:val="aa"/>
        </w:rPr>
        <w:footnoteRef/>
      </w:r>
      <w:r>
        <w:t xml:space="preserve"> </w:t>
      </w:r>
      <w:r w:rsidRPr="00EB2553">
        <w:rPr>
          <w:rStyle w:val="documentbody1"/>
          <w:i/>
          <w:sz w:val="22"/>
          <w:szCs w:val="22"/>
        </w:rPr>
        <w:t>Namibia</w:t>
      </w:r>
      <w:r w:rsidRPr="00EB2553">
        <w:rPr>
          <w:sz w:val="22"/>
          <w:szCs w:val="22"/>
        </w:rPr>
        <w:t xml:space="preserve">, para. 52; </w:t>
      </w:r>
      <w:r w:rsidRPr="00EB2553">
        <w:rPr>
          <w:i/>
          <w:sz w:val="22"/>
          <w:szCs w:val="22"/>
        </w:rPr>
        <w:t>Western Sahara</w:t>
      </w:r>
      <w:r w:rsidRPr="00EB2553">
        <w:rPr>
          <w:sz w:val="22"/>
          <w:szCs w:val="22"/>
        </w:rPr>
        <w:t>, paras. 54-59;</w:t>
      </w:r>
      <w:r w:rsidRPr="00EB2553">
        <w:rPr>
          <w:rFonts w:eastAsia="SimSun"/>
          <w:i/>
          <w:sz w:val="22"/>
          <w:szCs w:val="22"/>
          <w:shd w:val="clear" w:color="auto" w:fill="FFFFFF"/>
          <w:lang w:eastAsia="zh-CN"/>
        </w:rPr>
        <w:t xml:space="preserve"> East Timor</w:t>
      </w:r>
      <w:r w:rsidRPr="00EB2553">
        <w:rPr>
          <w:rFonts w:eastAsia="SimSun"/>
          <w:sz w:val="22"/>
          <w:szCs w:val="22"/>
          <w:shd w:val="clear" w:color="auto" w:fill="FFFFFF"/>
          <w:lang w:eastAsia="zh-CN"/>
        </w:rPr>
        <w:t>,</w:t>
      </w:r>
      <w:r w:rsidRPr="00EB2553">
        <w:rPr>
          <w:sz w:val="22"/>
          <w:szCs w:val="22"/>
          <w:shd w:val="clear" w:color="auto" w:fill="FFFFFF"/>
        </w:rPr>
        <w:t xml:space="preserve"> para. 29.</w:t>
      </w:r>
    </w:p>
  </w:footnote>
  <w:footnote w:id="15">
    <w:p w:rsidR="00CF2907" w:rsidRPr="008E418D" w:rsidRDefault="00CF2907" w:rsidP="00CF2907">
      <w:pPr>
        <w:pStyle w:val="a6"/>
        <w:spacing w:after="240"/>
        <w:rPr>
          <w:sz w:val="22"/>
          <w:szCs w:val="22"/>
        </w:rPr>
      </w:pPr>
      <w:r>
        <w:rPr>
          <w:rStyle w:val="aa"/>
        </w:rPr>
        <w:footnoteRef/>
      </w:r>
      <w:r>
        <w:t xml:space="preserve"> </w:t>
      </w:r>
      <w:r w:rsidRPr="008E418D">
        <w:rPr>
          <w:rFonts w:eastAsia="Calibri"/>
          <w:sz w:val="22"/>
          <w:szCs w:val="22"/>
        </w:rPr>
        <w:t>The Charter of the United Nations, June 26, 1945, Doc. of UN Conference on International Organizations, vol. 15, San-Francisco, 1945.</w:t>
      </w:r>
    </w:p>
  </w:footnote>
  <w:footnote w:id="16">
    <w:p w:rsidR="00CF2907" w:rsidRPr="008E418D" w:rsidRDefault="00CF2907" w:rsidP="00CF2907">
      <w:pPr>
        <w:pStyle w:val="a6"/>
        <w:spacing w:after="240"/>
        <w:rPr>
          <w:sz w:val="22"/>
          <w:szCs w:val="22"/>
        </w:rPr>
      </w:pPr>
      <w:r>
        <w:rPr>
          <w:rStyle w:val="aa"/>
        </w:rPr>
        <w:footnoteRef/>
      </w:r>
      <w:r>
        <w:t xml:space="preserve"> </w:t>
      </w:r>
      <w:r w:rsidRPr="008E418D">
        <w:rPr>
          <w:rFonts w:eastAsia="Calibri"/>
          <w:bCs/>
          <w:i/>
          <w:iCs/>
          <w:sz w:val="22"/>
          <w:szCs w:val="22"/>
          <w:lang w:eastAsia="en-US"/>
        </w:rPr>
        <w:t xml:space="preserve">I.C.J. Reports 1971, </w:t>
      </w:r>
      <w:r w:rsidRPr="008E418D">
        <w:rPr>
          <w:rFonts w:eastAsia="Calibri"/>
          <w:sz w:val="22"/>
          <w:szCs w:val="22"/>
          <w:lang w:eastAsia="en-US"/>
        </w:rPr>
        <w:t xml:space="preserve">p. </w:t>
      </w:r>
      <w:r w:rsidRPr="008E418D">
        <w:rPr>
          <w:rFonts w:eastAsia="Calibri"/>
          <w:bCs/>
          <w:sz w:val="22"/>
          <w:szCs w:val="22"/>
          <w:lang w:eastAsia="en-US"/>
        </w:rPr>
        <w:t>31.</w:t>
      </w:r>
    </w:p>
  </w:footnote>
  <w:footnote w:id="17">
    <w:p w:rsidR="00CF2907" w:rsidRPr="00D30DF5" w:rsidRDefault="00CF2907" w:rsidP="00CF2907">
      <w:pPr>
        <w:spacing w:after="240"/>
      </w:pPr>
      <w:r w:rsidRPr="00EB2553">
        <w:rPr>
          <w:rStyle w:val="aa"/>
          <w:sz w:val="22"/>
          <w:szCs w:val="22"/>
        </w:rPr>
        <w:footnoteRef/>
      </w:r>
      <w:r w:rsidRPr="00EB2553">
        <w:rPr>
          <w:sz w:val="22"/>
          <w:szCs w:val="22"/>
        </w:rPr>
        <w:t xml:space="preserve"> International Covenant on Economic, Social and Cultural Rights, article1;</w:t>
      </w:r>
      <w:r w:rsidRPr="00EB2553">
        <w:rPr>
          <w:b/>
          <w:sz w:val="22"/>
          <w:szCs w:val="22"/>
        </w:rPr>
        <w:t xml:space="preserve"> </w:t>
      </w:r>
      <w:r w:rsidRPr="00EB2553">
        <w:rPr>
          <w:sz w:val="22"/>
          <w:szCs w:val="22"/>
        </w:rPr>
        <w:t>The International Covenant on Civil and Political Rights, article1.</w:t>
      </w:r>
    </w:p>
  </w:footnote>
  <w:footnote w:id="18">
    <w:p w:rsidR="00CF2907" w:rsidRPr="00CE0A6A" w:rsidRDefault="00CF2907" w:rsidP="00CF2907">
      <w:pPr>
        <w:pStyle w:val="a6"/>
        <w:spacing w:after="240"/>
        <w:rPr>
          <w:sz w:val="22"/>
          <w:szCs w:val="22"/>
        </w:rPr>
      </w:pPr>
      <w:r>
        <w:rPr>
          <w:rStyle w:val="aa"/>
        </w:rPr>
        <w:footnoteRef/>
      </w:r>
      <w:r>
        <w:t xml:space="preserve"> </w:t>
      </w:r>
      <w:r w:rsidRPr="00CE0A6A">
        <w:rPr>
          <w:i/>
          <w:sz w:val="22"/>
          <w:szCs w:val="22"/>
        </w:rPr>
        <w:t>Compromis</w:t>
      </w:r>
      <w:r w:rsidRPr="00CE0A6A">
        <w:rPr>
          <w:sz w:val="22"/>
          <w:szCs w:val="22"/>
        </w:rPr>
        <w:t>, para 37.</w:t>
      </w:r>
    </w:p>
  </w:footnote>
  <w:footnote w:id="19">
    <w:p w:rsidR="00CF2907" w:rsidRPr="00972F24" w:rsidRDefault="00CF2907" w:rsidP="00CF2907">
      <w:pPr>
        <w:pStyle w:val="a6"/>
        <w:spacing w:after="240"/>
        <w:rPr>
          <w:sz w:val="22"/>
          <w:szCs w:val="22"/>
        </w:rPr>
      </w:pPr>
      <w:r>
        <w:rPr>
          <w:rStyle w:val="aa"/>
        </w:rPr>
        <w:footnoteRef/>
      </w:r>
      <w:r>
        <w:t xml:space="preserve"> </w:t>
      </w:r>
      <w:r w:rsidRPr="00972F24">
        <w:rPr>
          <w:i/>
          <w:sz w:val="22"/>
          <w:szCs w:val="22"/>
        </w:rPr>
        <w:t>Compromis</w:t>
      </w:r>
      <w:r w:rsidRPr="00972F24">
        <w:rPr>
          <w:sz w:val="22"/>
          <w:szCs w:val="22"/>
        </w:rPr>
        <w:t xml:space="preserve">, para. 38.  </w:t>
      </w:r>
    </w:p>
  </w:footnote>
  <w:footnote w:id="20">
    <w:p w:rsidR="00CF2907" w:rsidRPr="00483A06" w:rsidRDefault="00CF2907" w:rsidP="00CF2907">
      <w:pPr>
        <w:pStyle w:val="a6"/>
        <w:rPr>
          <w:sz w:val="22"/>
          <w:szCs w:val="22"/>
        </w:rPr>
      </w:pPr>
      <w:r>
        <w:rPr>
          <w:rStyle w:val="aa"/>
        </w:rPr>
        <w:footnoteRef/>
      </w:r>
      <w:r>
        <w:t xml:space="preserve"> </w:t>
      </w:r>
      <w:r w:rsidRPr="00483A06">
        <w:rPr>
          <w:i/>
          <w:sz w:val="22"/>
          <w:szCs w:val="22"/>
        </w:rPr>
        <w:t>Compromis</w:t>
      </w:r>
      <w:r w:rsidRPr="00483A06">
        <w:rPr>
          <w:sz w:val="22"/>
          <w:szCs w:val="22"/>
        </w:rPr>
        <w:t>, para.63.</w:t>
      </w:r>
    </w:p>
  </w:footnote>
  <w:footnote w:id="21">
    <w:p w:rsidR="00CF2907" w:rsidRDefault="00CF2907" w:rsidP="00CF2907">
      <w:pPr>
        <w:pStyle w:val="a6"/>
      </w:pPr>
      <w:r>
        <w:rPr>
          <w:rStyle w:val="aa"/>
        </w:rPr>
        <w:footnoteRef/>
      </w:r>
      <w:r>
        <w:t xml:space="preserve"> Convention on Right and Duties of States</w:t>
      </w:r>
    </w:p>
  </w:footnote>
  <w:footnote w:id="22">
    <w:p w:rsidR="00CF2907" w:rsidRDefault="00CF2907" w:rsidP="00CF2907">
      <w:pPr>
        <w:pStyle w:val="a6"/>
      </w:pPr>
      <w:r>
        <w:rPr>
          <w:rStyle w:val="aa"/>
        </w:rPr>
        <w:footnoteRef/>
      </w:r>
      <w:r>
        <w:t xml:space="preserve"> Compromis, para 1.</w:t>
      </w:r>
    </w:p>
  </w:footnote>
  <w:footnote w:id="23">
    <w:p w:rsidR="00CF2907" w:rsidRDefault="00CF2907" w:rsidP="00CF2907">
      <w:pPr>
        <w:pStyle w:val="a6"/>
      </w:pPr>
      <w:r>
        <w:rPr>
          <w:rStyle w:val="aa"/>
        </w:rPr>
        <w:footnoteRef/>
      </w:r>
      <w:r>
        <w:t xml:space="preserve"> "Nation", </w:t>
      </w:r>
      <w:r>
        <w:rPr>
          <w:i/>
          <w:iCs/>
        </w:rPr>
        <w:t xml:space="preserve">The </w:t>
      </w:r>
      <w:r w:rsidRPr="008D03A9">
        <w:rPr>
          <w:i/>
          <w:iCs/>
        </w:rPr>
        <w:t>New Oxford American Dictionary</w:t>
      </w:r>
      <w:r>
        <w:t xml:space="preserve">, Second Edn., </w:t>
      </w:r>
      <w:r w:rsidRPr="008D03A9">
        <w:t>Erin McKean</w:t>
      </w:r>
      <w:r>
        <w:t xml:space="preserve"> (editor), 2051 pages, May 2005, Oxford University Press, </w:t>
      </w:r>
      <w:r w:rsidRPr="008D03A9">
        <w:t>ISBN 0-19-517077-6</w:t>
      </w:r>
    </w:p>
  </w:footnote>
  <w:footnote w:id="24">
    <w:p w:rsidR="00CF2907" w:rsidRDefault="00CF2907" w:rsidP="00CF2907">
      <w:pPr>
        <w:pStyle w:val="a6"/>
      </w:pPr>
      <w:r>
        <w:rPr>
          <w:rStyle w:val="aa"/>
        </w:rPr>
        <w:footnoteRef/>
      </w:r>
      <w:r>
        <w:t xml:space="preserve"> Compromis para 12</w:t>
      </w:r>
    </w:p>
  </w:footnote>
  <w:footnote w:id="25">
    <w:p w:rsidR="00CF2907" w:rsidRDefault="00CF2907" w:rsidP="00CF2907">
      <w:pPr>
        <w:pStyle w:val="a6"/>
      </w:pPr>
      <w:r>
        <w:rPr>
          <w:rStyle w:val="aa"/>
        </w:rPr>
        <w:footnoteRef/>
      </w:r>
      <w:r>
        <w:t xml:space="preserve"> Compromis para 29</w:t>
      </w:r>
    </w:p>
  </w:footnote>
  <w:footnote w:id="26">
    <w:p w:rsidR="00CF2907" w:rsidRDefault="00CF2907" w:rsidP="00CF2907">
      <w:pPr>
        <w:pStyle w:val="a6"/>
      </w:pPr>
      <w:r>
        <w:rPr>
          <w:rStyle w:val="aa"/>
        </w:rPr>
        <w:footnoteRef/>
      </w:r>
      <w:r>
        <w:t xml:space="preserve"> Compromis para 16</w:t>
      </w:r>
    </w:p>
  </w:footnote>
  <w:footnote w:id="27">
    <w:p w:rsidR="00CF2907" w:rsidRPr="00EB2553" w:rsidRDefault="00CF2907" w:rsidP="00CF2907">
      <w:pPr>
        <w:pStyle w:val="a6"/>
        <w:spacing w:after="240"/>
        <w:rPr>
          <w:sz w:val="22"/>
          <w:szCs w:val="22"/>
        </w:rPr>
      </w:pPr>
      <w:r>
        <w:rPr>
          <w:rStyle w:val="aa"/>
        </w:rPr>
        <w:footnoteRef/>
      </w:r>
      <w:r>
        <w:t xml:space="preserve"> </w:t>
      </w:r>
      <w:r w:rsidRPr="00EB2553">
        <w:rPr>
          <w:sz w:val="22"/>
          <w:szCs w:val="22"/>
        </w:rPr>
        <w:t>Convention on the Law of the Sea (1982), article77.</w:t>
      </w:r>
    </w:p>
  </w:footnote>
  <w:footnote w:id="28">
    <w:p w:rsidR="00CF2907" w:rsidRDefault="00CF2907" w:rsidP="00CF2907">
      <w:pPr>
        <w:pStyle w:val="a6"/>
        <w:spacing w:after="240"/>
      </w:pPr>
      <w:r>
        <w:rPr>
          <w:rStyle w:val="aa"/>
        </w:rPr>
        <w:footnoteRef/>
      </w:r>
      <w:r>
        <w:t xml:space="preserve"> </w:t>
      </w:r>
      <w:r>
        <w:rPr>
          <w:sz w:val="24"/>
          <w:szCs w:val="24"/>
        </w:rPr>
        <w:t>A/Res.</w:t>
      </w:r>
      <w:r>
        <w:rPr>
          <w:i/>
          <w:sz w:val="24"/>
          <w:szCs w:val="24"/>
        </w:rPr>
        <w:t xml:space="preserve"> </w:t>
      </w:r>
      <w:r>
        <w:rPr>
          <w:sz w:val="24"/>
          <w:szCs w:val="24"/>
        </w:rPr>
        <w:t xml:space="preserve">1803, </w:t>
      </w:r>
      <w:r>
        <w:rPr>
          <w:rFonts w:eastAsia="SimSun"/>
          <w:sz w:val="24"/>
          <w:szCs w:val="24"/>
          <w:shd w:val="clear" w:color="auto" w:fill="FFFFFF"/>
          <w:lang w:eastAsia="zh-CN"/>
        </w:rPr>
        <w:t>preambular para</w:t>
      </w:r>
      <w:r>
        <w:rPr>
          <w:sz w:val="24"/>
          <w:szCs w:val="24"/>
        </w:rPr>
        <w:t>. 3.</w:t>
      </w:r>
    </w:p>
  </w:footnote>
  <w:footnote w:id="29">
    <w:p w:rsidR="00CF2907" w:rsidRPr="00B00ACC" w:rsidRDefault="00CF2907" w:rsidP="00CF2907">
      <w:pPr>
        <w:pStyle w:val="a6"/>
        <w:spacing w:after="240"/>
        <w:rPr>
          <w:sz w:val="22"/>
          <w:szCs w:val="22"/>
        </w:rPr>
      </w:pPr>
      <w:r>
        <w:rPr>
          <w:rStyle w:val="aa"/>
        </w:rPr>
        <w:footnoteRef/>
      </w:r>
      <w:r>
        <w:t xml:space="preserve"> </w:t>
      </w:r>
      <w:r w:rsidRPr="00B00ACC">
        <w:rPr>
          <w:sz w:val="22"/>
          <w:szCs w:val="22"/>
        </w:rPr>
        <w:t xml:space="preserve">M.Sornarajah. </w:t>
      </w:r>
      <w:r w:rsidRPr="00B00ACC">
        <w:rPr>
          <w:i/>
          <w:sz w:val="22"/>
          <w:szCs w:val="22"/>
        </w:rPr>
        <w:t>The international law on foreign investment</w:t>
      </w:r>
      <w:r w:rsidRPr="00B00ACC">
        <w:rPr>
          <w:sz w:val="22"/>
          <w:szCs w:val="22"/>
        </w:rPr>
        <w:t xml:space="preserve"> </w:t>
      </w:r>
      <w:r w:rsidRPr="00A85E9D">
        <w:rPr>
          <w:sz w:val="22"/>
          <w:szCs w:val="22"/>
        </w:rPr>
        <w:t>,</w:t>
      </w:r>
      <w:r w:rsidRPr="00A85E9D">
        <w:rPr>
          <w:rFonts w:eastAsia="Times New Roman"/>
          <w:i/>
          <w:iCs/>
          <w:sz w:val="22"/>
          <w:szCs w:val="22"/>
          <w:lang w:val="uk-UA" w:eastAsia="uk-UA"/>
        </w:rPr>
        <w:t xml:space="preserve"> Cambridge University Press.</w:t>
      </w:r>
      <w:r w:rsidRPr="00A85E9D">
        <w:rPr>
          <w:sz w:val="22"/>
          <w:szCs w:val="22"/>
        </w:rPr>
        <w:t xml:space="preserve">  p</w:t>
      </w:r>
      <w:r w:rsidRPr="00B00ACC">
        <w:rPr>
          <w:sz w:val="22"/>
          <w:szCs w:val="22"/>
        </w:rPr>
        <w:t>.135,</w:t>
      </w:r>
    </w:p>
  </w:footnote>
  <w:footnote w:id="30">
    <w:p w:rsidR="00CF2907" w:rsidRPr="00DE3521" w:rsidRDefault="00CF2907" w:rsidP="00CF2907">
      <w:pPr>
        <w:pStyle w:val="a6"/>
        <w:spacing w:after="240"/>
        <w:rPr>
          <w:sz w:val="22"/>
          <w:szCs w:val="22"/>
        </w:rPr>
      </w:pPr>
      <w:r>
        <w:rPr>
          <w:rStyle w:val="aa"/>
        </w:rPr>
        <w:footnoteRef/>
      </w:r>
      <w:r>
        <w:t xml:space="preserve"> </w:t>
      </w:r>
      <w:r w:rsidRPr="00DE3521">
        <w:rPr>
          <w:sz w:val="22"/>
          <w:szCs w:val="22"/>
        </w:rPr>
        <w:t>Section 5 of the Seoul Declaration of International Law Assosiation(1988).</w:t>
      </w:r>
    </w:p>
  </w:footnote>
  <w:footnote w:id="31">
    <w:p w:rsidR="00CF2907" w:rsidRDefault="00CF2907" w:rsidP="00CF2907">
      <w:pPr>
        <w:pStyle w:val="a6"/>
        <w:spacing w:after="240"/>
      </w:pPr>
      <w:r>
        <w:rPr>
          <w:rStyle w:val="aa"/>
        </w:rPr>
        <w:footnoteRef/>
      </w:r>
      <w:r>
        <w:t xml:space="preserve"> </w:t>
      </w:r>
      <w:r>
        <w:rPr>
          <w:i/>
          <w:sz w:val="24"/>
          <w:szCs w:val="24"/>
        </w:rPr>
        <w:t>Island of Palmas</w:t>
      </w:r>
      <w:r>
        <w:rPr>
          <w:sz w:val="24"/>
          <w:szCs w:val="24"/>
        </w:rPr>
        <w:t>, p. 838; Declaration on Principles of International Law.</w:t>
      </w:r>
    </w:p>
  </w:footnote>
  <w:footnote w:id="32">
    <w:p w:rsidR="00CF2907" w:rsidRDefault="00CF2907" w:rsidP="00CF2907">
      <w:pPr>
        <w:pStyle w:val="a6"/>
        <w:spacing w:after="240"/>
        <w:jc w:val="both"/>
        <w:rPr>
          <w:sz w:val="24"/>
          <w:szCs w:val="24"/>
        </w:rPr>
      </w:pPr>
      <w:r>
        <w:rPr>
          <w:rStyle w:val="aa"/>
          <w:sz w:val="24"/>
          <w:szCs w:val="24"/>
        </w:rPr>
        <w:footnoteRef/>
      </w:r>
      <w:r>
        <w:rPr>
          <w:sz w:val="24"/>
          <w:szCs w:val="24"/>
        </w:rPr>
        <w:t xml:space="preserve"> A/Res. 1515</w:t>
      </w:r>
      <w:r>
        <w:rPr>
          <w:rStyle w:val="documentbody1"/>
          <w:sz w:val="24"/>
          <w:szCs w:val="24"/>
        </w:rPr>
        <w:t>,</w:t>
      </w:r>
      <w:r>
        <w:rPr>
          <w:sz w:val="24"/>
          <w:szCs w:val="24"/>
        </w:rPr>
        <w:t xml:space="preserve"> para. 5.</w:t>
      </w:r>
    </w:p>
  </w:footnote>
  <w:footnote w:id="33">
    <w:p w:rsidR="00CF2907" w:rsidRDefault="00CF2907" w:rsidP="00CF2907">
      <w:pPr>
        <w:pStyle w:val="a6"/>
        <w:spacing w:after="240"/>
        <w:jc w:val="both"/>
      </w:pPr>
      <w:r>
        <w:rPr>
          <w:rStyle w:val="aa"/>
        </w:rPr>
        <w:footnoteRef/>
      </w:r>
      <w:r>
        <w:t xml:space="preserve"> </w:t>
      </w:r>
      <w:r>
        <w:rPr>
          <w:sz w:val="24"/>
          <w:szCs w:val="24"/>
        </w:rPr>
        <w:t>A/Res.</w:t>
      </w:r>
      <w:r>
        <w:rPr>
          <w:i/>
          <w:sz w:val="24"/>
          <w:szCs w:val="24"/>
        </w:rPr>
        <w:t xml:space="preserve"> </w:t>
      </w:r>
      <w:r>
        <w:rPr>
          <w:sz w:val="24"/>
          <w:szCs w:val="24"/>
        </w:rPr>
        <w:t xml:space="preserve">1803, </w:t>
      </w:r>
      <w:r>
        <w:rPr>
          <w:rFonts w:eastAsia="SimSun"/>
          <w:sz w:val="24"/>
          <w:szCs w:val="24"/>
          <w:shd w:val="clear" w:color="auto" w:fill="FFFFFF"/>
          <w:lang w:eastAsia="zh-CN"/>
        </w:rPr>
        <w:t>preambular para</w:t>
      </w:r>
      <w:r>
        <w:rPr>
          <w:sz w:val="24"/>
          <w:szCs w:val="24"/>
        </w:rPr>
        <w:t>. 5.</w:t>
      </w:r>
    </w:p>
  </w:footnote>
  <w:footnote w:id="34">
    <w:p w:rsidR="00CF2907" w:rsidRPr="000F482F" w:rsidRDefault="00CF2907" w:rsidP="00CF2907">
      <w:pPr>
        <w:pStyle w:val="a6"/>
        <w:spacing w:after="240"/>
        <w:rPr>
          <w:sz w:val="22"/>
          <w:szCs w:val="22"/>
        </w:rPr>
      </w:pPr>
      <w:r>
        <w:rPr>
          <w:rStyle w:val="aa"/>
        </w:rPr>
        <w:footnoteRef/>
      </w:r>
      <w:r>
        <w:t xml:space="preserve"> </w:t>
      </w:r>
      <w:r w:rsidRPr="000F482F">
        <w:rPr>
          <w:sz w:val="22"/>
          <w:szCs w:val="22"/>
        </w:rPr>
        <w:t>United Nations General Assembly Resolution 1803 (XVII), Permanent sovereignty over natural resources (14 December 1962)</w:t>
      </w:r>
      <w:r>
        <w:rPr>
          <w:sz w:val="22"/>
          <w:szCs w:val="22"/>
        </w:rPr>
        <w:t xml:space="preserve"> para.I, 1.</w:t>
      </w:r>
    </w:p>
  </w:footnote>
  <w:footnote w:id="35">
    <w:p w:rsidR="00CF2907" w:rsidRPr="00415007" w:rsidRDefault="00CF2907" w:rsidP="00CF2907">
      <w:pPr>
        <w:pStyle w:val="a6"/>
        <w:spacing w:after="240"/>
        <w:rPr>
          <w:sz w:val="22"/>
          <w:szCs w:val="22"/>
        </w:rPr>
      </w:pPr>
      <w:r>
        <w:rPr>
          <w:rStyle w:val="aa"/>
        </w:rPr>
        <w:footnoteRef/>
      </w:r>
      <w:r>
        <w:t xml:space="preserve"> </w:t>
      </w:r>
      <w:r w:rsidRPr="003B4798">
        <w:rPr>
          <w:sz w:val="22"/>
          <w:szCs w:val="22"/>
        </w:rPr>
        <w:t xml:space="preserve">Vienna Convention on the Law of Treaties of 23 May 1969, 1155 UNTS  p. 331 </w:t>
      </w:r>
      <w:r>
        <w:rPr>
          <w:sz w:val="24"/>
          <w:szCs w:val="24"/>
        </w:rPr>
        <w:t>,</w:t>
      </w:r>
      <w:r>
        <w:t xml:space="preserve"> </w:t>
      </w:r>
      <w:r w:rsidRPr="00415007">
        <w:rPr>
          <w:sz w:val="22"/>
          <w:szCs w:val="22"/>
        </w:rPr>
        <w:t>article26.</w:t>
      </w:r>
    </w:p>
  </w:footnote>
  <w:footnote w:id="36">
    <w:p w:rsidR="00CF2907" w:rsidRDefault="00CF2907" w:rsidP="00CF2907">
      <w:pPr>
        <w:pStyle w:val="a6"/>
        <w:spacing w:after="240"/>
        <w:jc w:val="both"/>
        <w:rPr>
          <w:sz w:val="24"/>
          <w:szCs w:val="24"/>
        </w:rPr>
      </w:pPr>
      <w:r>
        <w:rPr>
          <w:rStyle w:val="aa"/>
          <w:sz w:val="24"/>
          <w:szCs w:val="24"/>
        </w:rPr>
        <w:footnoteRef/>
      </w:r>
      <w:r>
        <w:rPr>
          <w:sz w:val="24"/>
          <w:szCs w:val="24"/>
        </w:rPr>
        <w:t xml:space="preserve"> Art. 2(2) of UN Charter (1945);</w:t>
      </w:r>
      <w:r>
        <w:rPr>
          <w:i/>
          <w:sz w:val="24"/>
          <w:szCs w:val="24"/>
        </w:rPr>
        <w:t xml:space="preserve"> </w:t>
      </w:r>
      <w:r>
        <w:rPr>
          <w:sz w:val="24"/>
          <w:szCs w:val="24"/>
        </w:rPr>
        <w:t>Declaration on Principles of International Law (1970); Helsinki Final Act (1975);</w:t>
      </w:r>
      <w:r>
        <w:rPr>
          <w:i/>
          <w:sz w:val="24"/>
          <w:szCs w:val="24"/>
        </w:rPr>
        <w:t xml:space="preserve"> </w:t>
      </w:r>
      <w:r>
        <w:rPr>
          <w:sz w:val="24"/>
          <w:szCs w:val="24"/>
        </w:rPr>
        <w:t xml:space="preserve">Jennings, Watts, </w:t>
      </w:r>
      <w:r>
        <w:rPr>
          <w:i/>
          <w:sz w:val="24"/>
          <w:szCs w:val="24"/>
        </w:rPr>
        <w:t xml:space="preserve">Oppenheim's International Law </w:t>
      </w:r>
      <w:r>
        <w:rPr>
          <w:iCs/>
          <w:sz w:val="24"/>
          <w:szCs w:val="24"/>
        </w:rPr>
        <w:t>(1992)</w:t>
      </w:r>
      <w:r>
        <w:rPr>
          <w:sz w:val="24"/>
          <w:szCs w:val="24"/>
        </w:rPr>
        <w:t xml:space="preserve">, p. 38; Zoller, </w:t>
      </w:r>
      <w:r>
        <w:rPr>
          <w:i/>
          <w:sz w:val="24"/>
          <w:szCs w:val="24"/>
        </w:rPr>
        <w:t xml:space="preserve">Bonne Foi en Droit International Public </w:t>
      </w:r>
      <w:r>
        <w:rPr>
          <w:iCs/>
          <w:sz w:val="24"/>
          <w:szCs w:val="24"/>
        </w:rPr>
        <w:t>(1977)</w:t>
      </w:r>
      <w:r>
        <w:rPr>
          <w:sz w:val="24"/>
          <w:szCs w:val="24"/>
        </w:rPr>
        <w:t xml:space="preserve">; Thirlway, </w:t>
      </w:r>
      <w:r>
        <w:rPr>
          <w:i/>
          <w:iCs/>
          <w:sz w:val="24"/>
          <w:szCs w:val="24"/>
        </w:rPr>
        <w:t>The Law and Procedure of the International Court of Justice</w:t>
      </w:r>
      <w:r>
        <w:rPr>
          <w:sz w:val="24"/>
          <w:szCs w:val="24"/>
        </w:rPr>
        <w:t xml:space="preserve">, p. 7; Fitzmaurice, </w:t>
      </w:r>
      <w:r>
        <w:rPr>
          <w:i/>
          <w:sz w:val="24"/>
          <w:szCs w:val="24"/>
        </w:rPr>
        <w:t xml:space="preserve">The Law and Procedure of the International Court of Justice </w:t>
      </w:r>
      <w:r>
        <w:rPr>
          <w:iCs/>
          <w:sz w:val="24"/>
          <w:szCs w:val="24"/>
        </w:rPr>
        <w:t>(1986)</w:t>
      </w:r>
      <w:r>
        <w:rPr>
          <w:sz w:val="24"/>
          <w:szCs w:val="24"/>
        </w:rPr>
        <w:t>, vol. I, p. 183, vol. II, p. 609.</w:t>
      </w:r>
    </w:p>
  </w:footnote>
  <w:footnote w:id="37">
    <w:p w:rsidR="00CF2907" w:rsidRDefault="00CF2907" w:rsidP="00CF2907">
      <w:pPr>
        <w:pStyle w:val="a6"/>
        <w:spacing w:after="240"/>
        <w:jc w:val="both"/>
        <w:rPr>
          <w:sz w:val="24"/>
          <w:szCs w:val="24"/>
          <w:lang w:val="es-ES"/>
        </w:rPr>
      </w:pPr>
      <w:r>
        <w:rPr>
          <w:rStyle w:val="aa"/>
          <w:sz w:val="24"/>
          <w:szCs w:val="24"/>
        </w:rPr>
        <w:footnoteRef/>
      </w:r>
      <w:r>
        <w:rPr>
          <w:sz w:val="24"/>
          <w:szCs w:val="24"/>
          <w:lang w:val="es-ES"/>
        </w:rPr>
        <w:t xml:space="preserve"> </w:t>
      </w:r>
      <w:r>
        <w:rPr>
          <w:i/>
          <w:sz w:val="24"/>
          <w:szCs w:val="24"/>
          <w:lang w:val="es-ES"/>
        </w:rPr>
        <w:t>Gabcikovo-Nagymaros Project,</w:t>
      </w:r>
      <w:r>
        <w:rPr>
          <w:sz w:val="24"/>
          <w:szCs w:val="24"/>
          <w:lang w:val="es-ES"/>
        </w:rPr>
        <w:t xml:space="preserve"> p. 81, para. 142.</w:t>
      </w:r>
    </w:p>
  </w:footnote>
  <w:footnote w:id="38">
    <w:p w:rsidR="00CF2907" w:rsidRPr="006A14A0" w:rsidRDefault="00CF2907" w:rsidP="00CF2907">
      <w:pPr>
        <w:pStyle w:val="a6"/>
        <w:spacing w:after="240"/>
        <w:ind w:left="284"/>
        <w:rPr>
          <w:sz w:val="22"/>
          <w:szCs w:val="22"/>
        </w:rPr>
      </w:pPr>
      <w:r w:rsidRPr="006A14A0">
        <w:rPr>
          <w:rStyle w:val="aa"/>
          <w:sz w:val="22"/>
          <w:szCs w:val="22"/>
        </w:rPr>
        <w:footnoteRef/>
      </w:r>
      <w:r w:rsidRPr="006A14A0">
        <w:rPr>
          <w:sz w:val="22"/>
          <w:szCs w:val="22"/>
        </w:rPr>
        <w:t xml:space="preserve"> </w:t>
      </w:r>
      <w:r w:rsidRPr="006A14A0">
        <w:rPr>
          <w:i/>
          <w:sz w:val="22"/>
          <w:szCs w:val="22"/>
        </w:rPr>
        <w:t>Compromis</w:t>
      </w:r>
      <w:r w:rsidRPr="006A14A0">
        <w:rPr>
          <w:sz w:val="22"/>
          <w:szCs w:val="22"/>
        </w:rPr>
        <w:t xml:space="preserve"> (AnexI).</w:t>
      </w:r>
    </w:p>
  </w:footnote>
  <w:footnote w:id="39">
    <w:p w:rsidR="00CF2907" w:rsidRPr="006852A1" w:rsidRDefault="00CF2907" w:rsidP="00CF2907">
      <w:pPr>
        <w:pStyle w:val="a6"/>
        <w:spacing w:after="240"/>
        <w:rPr>
          <w:sz w:val="22"/>
          <w:szCs w:val="22"/>
        </w:rPr>
      </w:pPr>
      <w:r>
        <w:rPr>
          <w:rStyle w:val="aa"/>
        </w:rPr>
        <w:footnoteRef/>
      </w:r>
      <w:r>
        <w:t xml:space="preserve"> </w:t>
      </w:r>
      <w:r w:rsidRPr="006852A1">
        <w:rPr>
          <w:sz w:val="22"/>
          <w:szCs w:val="22"/>
        </w:rPr>
        <w:t xml:space="preserve">Dolzer and Stevens, “Bilateral Investment Treaties”, </w:t>
      </w:r>
      <w:r w:rsidRPr="006852A1">
        <w:rPr>
          <w:i/>
          <w:iCs/>
          <w:sz w:val="22"/>
          <w:szCs w:val="22"/>
        </w:rPr>
        <w:t>ICSID 1995 at 98. op. cit.</w:t>
      </w:r>
      <w:r w:rsidRPr="006852A1">
        <w:rPr>
          <w:sz w:val="22"/>
          <w:szCs w:val="22"/>
        </w:rPr>
        <w:t xml:space="preserve"> </w:t>
      </w:r>
      <w:r w:rsidRPr="006852A1">
        <w:rPr>
          <w:i/>
          <w:iCs/>
          <w:sz w:val="22"/>
          <w:szCs w:val="22"/>
        </w:rPr>
        <w:t>n. 5</w:t>
      </w:r>
      <w:r w:rsidRPr="006852A1">
        <w:rPr>
          <w:sz w:val="22"/>
          <w:szCs w:val="22"/>
        </w:rPr>
        <w:t>.</w:t>
      </w:r>
    </w:p>
  </w:footnote>
  <w:footnote w:id="40">
    <w:p w:rsidR="00CF2907" w:rsidRPr="00EB2553" w:rsidRDefault="00CF2907" w:rsidP="00CF2907">
      <w:pPr>
        <w:pStyle w:val="a6"/>
        <w:spacing w:after="240"/>
        <w:rPr>
          <w:sz w:val="22"/>
          <w:szCs w:val="22"/>
        </w:rPr>
      </w:pPr>
      <w:r>
        <w:rPr>
          <w:rStyle w:val="aa"/>
        </w:rPr>
        <w:footnoteRef/>
      </w:r>
      <w:r>
        <w:t xml:space="preserve"> </w:t>
      </w:r>
      <w:r w:rsidRPr="00EB2553">
        <w:rPr>
          <w:sz w:val="22"/>
          <w:szCs w:val="22"/>
        </w:rPr>
        <w:t>F. V. García Amador,Louis B. Sohn,’ Recent codification of the law of State responsibility for injuries to aliens’</w:t>
      </w:r>
      <w:r>
        <w:rPr>
          <w:sz w:val="22"/>
          <w:szCs w:val="22"/>
        </w:rPr>
        <w:t>, p.13</w:t>
      </w:r>
    </w:p>
  </w:footnote>
  <w:footnote w:id="41">
    <w:p w:rsidR="00CF2907" w:rsidRPr="00EB2553" w:rsidRDefault="00CF2907" w:rsidP="00CF2907">
      <w:pPr>
        <w:pStyle w:val="a6"/>
        <w:spacing w:after="240"/>
        <w:rPr>
          <w:sz w:val="22"/>
          <w:szCs w:val="22"/>
        </w:rPr>
      </w:pPr>
      <w:r>
        <w:rPr>
          <w:rStyle w:val="aa"/>
        </w:rPr>
        <w:footnoteRef/>
      </w:r>
      <w:r>
        <w:t xml:space="preserve"> </w:t>
      </w:r>
      <w:r w:rsidRPr="00EB2553">
        <w:rPr>
          <w:sz w:val="22"/>
          <w:szCs w:val="22"/>
        </w:rPr>
        <w:t>Publications of the Permanent Court of International Justice, Series A, No 7, pp.30-37</w:t>
      </w:r>
      <w:r>
        <w:rPr>
          <w:sz w:val="22"/>
          <w:szCs w:val="22"/>
        </w:rPr>
        <w:t>.</w:t>
      </w:r>
    </w:p>
  </w:footnote>
  <w:footnote w:id="42">
    <w:p w:rsidR="00CF2907" w:rsidRPr="008D10BC" w:rsidRDefault="00CF2907" w:rsidP="00CF2907">
      <w:pPr>
        <w:pStyle w:val="a6"/>
        <w:spacing w:after="240"/>
        <w:rPr>
          <w:sz w:val="22"/>
          <w:szCs w:val="22"/>
        </w:rPr>
      </w:pPr>
      <w:r w:rsidRPr="008D10BC">
        <w:rPr>
          <w:rStyle w:val="aa"/>
          <w:sz w:val="22"/>
          <w:szCs w:val="22"/>
        </w:rPr>
        <w:footnoteRef/>
      </w:r>
      <w:r w:rsidRPr="008D10BC">
        <w:rPr>
          <w:sz w:val="22"/>
          <w:szCs w:val="22"/>
        </w:rPr>
        <w:t xml:space="preserve"> Case of the Free Zones of Upper Savoy and the District of a Gex (1932) Ihid. Series A/B, No 46, p. 167.</w:t>
      </w:r>
    </w:p>
  </w:footnote>
  <w:footnote w:id="43">
    <w:p w:rsidR="00CF2907" w:rsidRPr="00DA3629" w:rsidRDefault="00CF2907" w:rsidP="00CF2907">
      <w:pPr>
        <w:autoSpaceDE w:val="0"/>
        <w:autoSpaceDN w:val="0"/>
        <w:adjustRightInd w:val="0"/>
        <w:spacing w:after="240"/>
        <w:jc w:val="both"/>
        <w:rPr>
          <w:lang w:eastAsia="uk-UA"/>
        </w:rPr>
      </w:pPr>
      <w:r w:rsidRPr="00DA3629">
        <w:rPr>
          <w:rStyle w:val="aa"/>
        </w:rPr>
        <w:footnoteRef/>
      </w:r>
      <w:r w:rsidRPr="00DA3629">
        <w:t xml:space="preserve"> Charter of Fundamental Rights and Freedoms of the European Union, Art. 17. // Official Journal of the European Communities 18.12.2000; C 364/1; Universal Declaration of Human Rights, Adopted and proclaimed by the General Assembly resolution 217 A (III) of </w:t>
      </w:r>
      <w:smartTag w:uri="urn:schemas-microsoft-com:office:smarttags" w:element="date">
        <w:smartTagPr>
          <w:attr w:name="Month" w:val="12"/>
          <w:attr w:name="Day" w:val="10"/>
          <w:attr w:name="Year" w:val="1948"/>
        </w:smartTagPr>
        <w:r w:rsidRPr="00DA3629">
          <w:t>10 Dec. 1948</w:t>
        </w:r>
      </w:smartTag>
      <w:r w:rsidRPr="00DA3629">
        <w:t xml:space="preserve">, Art. 17; American Convention on the Human Rights “Pact of San Jose, Costa Rica”, 1978, Art. 21; American Declaration of the Rights and Duties of Man, 1948, Art. XXIII; African Charter on Human and People’s Rights, 1986, Art.14, 21; </w:t>
      </w:r>
      <w:r w:rsidRPr="00DA3629">
        <w:rPr>
          <w:lang w:eastAsia="uk-UA"/>
        </w:rPr>
        <w:t>Protocol No. 1 to the European Convention on Human Rights, Art. 1.</w:t>
      </w:r>
    </w:p>
  </w:footnote>
  <w:footnote w:id="44">
    <w:p w:rsidR="00CF2907" w:rsidRPr="00DA3629" w:rsidRDefault="00CF2907" w:rsidP="00CF2907">
      <w:pPr>
        <w:pStyle w:val="a6"/>
        <w:spacing w:after="240"/>
        <w:jc w:val="both"/>
        <w:rPr>
          <w:sz w:val="24"/>
          <w:szCs w:val="24"/>
        </w:rPr>
      </w:pPr>
      <w:r w:rsidRPr="00DA3629">
        <w:rPr>
          <w:rStyle w:val="aa"/>
          <w:sz w:val="24"/>
          <w:szCs w:val="24"/>
        </w:rPr>
        <w:footnoteRef/>
      </w:r>
      <w:r w:rsidRPr="00DA3629">
        <w:rPr>
          <w:sz w:val="24"/>
          <w:szCs w:val="24"/>
        </w:rPr>
        <w:t xml:space="preserve"> Universal Declaration of Human Rights,</w:t>
      </w:r>
      <w:r w:rsidRPr="00DA3629">
        <w:rPr>
          <w:i/>
          <w:iCs/>
          <w:sz w:val="24"/>
          <w:szCs w:val="24"/>
          <w:lang w:val="en-GB"/>
        </w:rPr>
        <w:t xml:space="preserve"> Adopted and proclaimed by General Assembly resolution 217 A (III) of </w:t>
      </w:r>
      <w:smartTag w:uri="urn:schemas-microsoft-com:office:smarttags" w:element="date">
        <w:smartTagPr>
          <w:attr w:name="Month" w:val="12"/>
          <w:attr w:name="Day" w:val="10"/>
          <w:attr w:name="Year" w:val="1948"/>
        </w:smartTagPr>
        <w:r w:rsidRPr="00DA3629">
          <w:rPr>
            <w:i/>
            <w:iCs/>
            <w:sz w:val="24"/>
            <w:szCs w:val="24"/>
            <w:lang w:val="en-GB"/>
          </w:rPr>
          <w:t>10 December 1948</w:t>
        </w:r>
      </w:smartTag>
      <w:r w:rsidRPr="00DA3629">
        <w:rPr>
          <w:i/>
          <w:iCs/>
          <w:sz w:val="24"/>
          <w:szCs w:val="24"/>
          <w:lang w:val="en-GB"/>
        </w:rPr>
        <w:t xml:space="preserve">, </w:t>
      </w:r>
      <w:r w:rsidRPr="00DA3629">
        <w:rPr>
          <w:iCs/>
          <w:sz w:val="24"/>
          <w:szCs w:val="24"/>
          <w:lang w:val="en-GB"/>
        </w:rPr>
        <w:t>Art. 17</w:t>
      </w:r>
      <w:r w:rsidRPr="00DA3629">
        <w:rPr>
          <w:i/>
          <w:iCs/>
          <w:sz w:val="24"/>
          <w:szCs w:val="24"/>
          <w:lang w:val="en-GB"/>
        </w:rPr>
        <w:t xml:space="preserve">// </w:t>
      </w:r>
      <w:r w:rsidRPr="00DA3629">
        <w:rPr>
          <w:iCs/>
          <w:sz w:val="24"/>
          <w:szCs w:val="24"/>
          <w:lang w:val="en-GB"/>
        </w:rPr>
        <w:t>www.westlaw.com</w:t>
      </w:r>
      <w:r w:rsidRPr="00DA3629">
        <w:rPr>
          <w:sz w:val="24"/>
          <w:szCs w:val="24"/>
        </w:rPr>
        <w:t xml:space="preserve"> </w:t>
      </w:r>
    </w:p>
  </w:footnote>
  <w:footnote w:id="45">
    <w:p w:rsidR="00CF2907" w:rsidRPr="00DA3629" w:rsidRDefault="00CF2907" w:rsidP="00CF2907">
      <w:pPr>
        <w:pStyle w:val="a6"/>
        <w:spacing w:after="240"/>
        <w:jc w:val="both"/>
        <w:rPr>
          <w:sz w:val="24"/>
          <w:szCs w:val="24"/>
        </w:rPr>
      </w:pPr>
      <w:r w:rsidRPr="00DA3629">
        <w:rPr>
          <w:rStyle w:val="aa"/>
          <w:sz w:val="24"/>
          <w:szCs w:val="24"/>
        </w:rPr>
        <w:footnoteRef/>
      </w:r>
      <w:r w:rsidRPr="00DA3629">
        <w:rPr>
          <w:sz w:val="24"/>
          <w:szCs w:val="24"/>
        </w:rPr>
        <w:t xml:space="preserve"> Charter of Fundamental Rights of the European Union (2000/C 364/01), Art. 17 // Official Journal of the Europen Communities // www.westlaw.com </w:t>
      </w:r>
    </w:p>
  </w:footnote>
  <w:footnote w:id="46">
    <w:p w:rsidR="00CF2907" w:rsidRPr="00DA3629" w:rsidRDefault="00CF2907" w:rsidP="00CF2907">
      <w:pPr>
        <w:pStyle w:val="a6"/>
        <w:spacing w:after="240"/>
        <w:jc w:val="both"/>
        <w:rPr>
          <w:sz w:val="24"/>
          <w:szCs w:val="24"/>
        </w:rPr>
      </w:pPr>
      <w:r w:rsidRPr="00DA3629">
        <w:rPr>
          <w:rStyle w:val="aa"/>
          <w:sz w:val="24"/>
          <w:szCs w:val="24"/>
        </w:rPr>
        <w:footnoteRef/>
      </w:r>
      <w:r w:rsidRPr="00DA3629">
        <w:rPr>
          <w:sz w:val="24"/>
          <w:szCs w:val="24"/>
        </w:rPr>
        <w:t xml:space="preserve"> American Convention on the Human Rights “Pact of San Jose, Costa Rica”, 1978, Art. 21.</w:t>
      </w:r>
    </w:p>
  </w:footnote>
  <w:footnote w:id="47">
    <w:p w:rsidR="00CF2907" w:rsidRPr="00DA1FFD" w:rsidRDefault="00CF2907" w:rsidP="00CF2907">
      <w:pPr>
        <w:autoSpaceDE w:val="0"/>
        <w:autoSpaceDN w:val="0"/>
        <w:adjustRightInd w:val="0"/>
        <w:spacing w:after="240"/>
        <w:rPr>
          <w:sz w:val="22"/>
          <w:szCs w:val="22"/>
        </w:rPr>
      </w:pPr>
      <w:r>
        <w:rPr>
          <w:rStyle w:val="aa"/>
        </w:rPr>
        <w:footnoteRef/>
      </w:r>
      <w:r>
        <w:t xml:space="preserve"> </w:t>
      </w:r>
      <w:r w:rsidRPr="00DA1FFD">
        <w:rPr>
          <w:rFonts w:eastAsia="Calibri"/>
          <w:sz w:val="22"/>
          <w:szCs w:val="22"/>
        </w:rPr>
        <w:t xml:space="preserve">B. Weston “‘Constructive Takings’ under International Law: A Modest Foray into the Problem of ‘Creeping Expropriation’”, </w:t>
      </w:r>
      <w:r w:rsidRPr="00DA1FFD">
        <w:rPr>
          <w:rFonts w:eastAsia="Calibri"/>
          <w:i/>
          <w:iCs/>
          <w:sz w:val="22"/>
          <w:szCs w:val="22"/>
        </w:rPr>
        <w:t>Virginia  Journal of International Law, 1975, Volume 16, pp. 103-175 at 112</w:t>
      </w:r>
      <w:r w:rsidRPr="00DA1FFD">
        <w:rPr>
          <w:rFonts w:eastAsia="Calibri"/>
          <w:sz w:val="22"/>
          <w:szCs w:val="22"/>
        </w:rPr>
        <w:t>.</w:t>
      </w:r>
    </w:p>
  </w:footnote>
  <w:footnote w:id="48">
    <w:p w:rsidR="00CF2907" w:rsidRPr="00DA1FFD" w:rsidRDefault="00CF2907" w:rsidP="00CF2907">
      <w:pPr>
        <w:pStyle w:val="a6"/>
        <w:spacing w:after="240"/>
        <w:rPr>
          <w:sz w:val="22"/>
          <w:szCs w:val="22"/>
        </w:rPr>
      </w:pPr>
      <w:r>
        <w:rPr>
          <w:rStyle w:val="aa"/>
        </w:rPr>
        <w:footnoteRef/>
      </w:r>
      <w:r>
        <w:t xml:space="preserve"> </w:t>
      </w:r>
      <w:r w:rsidRPr="00DA1FFD">
        <w:rPr>
          <w:rFonts w:eastAsia="Calibri"/>
          <w:sz w:val="22"/>
          <w:szCs w:val="22"/>
          <w:lang w:eastAsia="en-US"/>
        </w:rPr>
        <w:t xml:space="preserve">Dolzer and Stevens, “Bilateral Investment Treaties”, </w:t>
      </w:r>
      <w:r w:rsidRPr="00DA1FFD">
        <w:rPr>
          <w:rFonts w:eastAsia="Calibri"/>
          <w:i/>
          <w:iCs/>
          <w:sz w:val="22"/>
          <w:szCs w:val="22"/>
          <w:lang w:eastAsia="en-US"/>
        </w:rPr>
        <w:t>ICSID 1995 at 98.</w:t>
      </w:r>
    </w:p>
  </w:footnote>
  <w:footnote w:id="49">
    <w:p w:rsidR="00CF2907" w:rsidRPr="00DA1FFD" w:rsidRDefault="00CF2907" w:rsidP="00CF2907">
      <w:pPr>
        <w:autoSpaceDE w:val="0"/>
        <w:autoSpaceDN w:val="0"/>
        <w:adjustRightInd w:val="0"/>
        <w:spacing w:after="240"/>
        <w:rPr>
          <w:sz w:val="22"/>
          <w:szCs w:val="22"/>
        </w:rPr>
      </w:pPr>
      <w:r>
        <w:rPr>
          <w:rStyle w:val="aa"/>
        </w:rPr>
        <w:footnoteRef/>
      </w:r>
      <w:r>
        <w:t xml:space="preserve"> </w:t>
      </w:r>
      <w:r w:rsidRPr="00DA1FFD">
        <w:rPr>
          <w:rFonts w:eastAsia="Calibri"/>
          <w:sz w:val="22"/>
          <w:szCs w:val="22"/>
        </w:rPr>
        <w:t xml:space="preserve">Dolzer, “Indirect Expropriation of Alien Property”, </w:t>
      </w:r>
      <w:r w:rsidRPr="00DA1FFD">
        <w:rPr>
          <w:rFonts w:eastAsia="Calibri"/>
          <w:i/>
          <w:iCs/>
          <w:sz w:val="22"/>
          <w:szCs w:val="22"/>
        </w:rPr>
        <w:t>ICSID Review, Foreign Investment Law Journal, (1986) pp. 41-59 at 44.</w:t>
      </w:r>
    </w:p>
  </w:footnote>
  <w:footnote w:id="50">
    <w:p w:rsidR="00CF2907" w:rsidRPr="00D13A8C" w:rsidRDefault="00CF2907" w:rsidP="00CF2907">
      <w:pPr>
        <w:pStyle w:val="a6"/>
        <w:spacing w:after="240"/>
        <w:rPr>
          <w:sz w:val="22"/>
          <w:szCs w:val="22"/>
        </w:rPr>
      </w:pPr>
      <w:r>
        <w:rPr>
          <w:rStyle w:val="aa"/>
        </w:rPr>
        <w:footnoteRef/>
      </w:r>
      <w:r>
        <w:t xml:space="preserve"> </w:t>
      </w:r>
      <w:r w:rsidRPr="00D13A8C">
        <w:rPr>
          <w:sz w:val="22"/>
          <w:szCs w:val="22"/>
        </w:rPr>
        <w:t>Iran-United States Claims Tribunal Reports. - 1983. - Vol. 4. - P. 154.</w:t>
      </w:r>
    </w:p>
  </w:footnote>
  <w:footnote w:id="51">
    <w:p w:rsidR="00CF2907" w:rsidRPr="00D13A8C" w:rsidRDefault="00CF2907" w:rsidP="00CF2907">
      <w:pPr>
        <w:pStyle w:val="a6"/>
        <w:spacing w:after="240"/>
      </w:pPr>
      <w:r>
        <w:rPr>
          <w:rStyle w:val="aa"/>
        </w:rPr>
        <w:footnoteRef/>
      </w:r>
      <w:r>
        <w:t xml:space="preserve"> </w:t>
      </w:r>
      <w:r w:rsidRPr="00D13A8C">
        <w:rPr>
          <w:i/>
          <w:sz w:val="22"/>
          <w:szCs w:val="22"/>
        </w:rPr>
        <w:t>International Legal Materials. - 1978. - Vol. 17. - P. 1321</w:t>
      </w:r>
    </w:p>
  </w:footnote>
  <w:footnote w:id="52">
    <w:p w:rsidR="00CF2907" w:rsidRPr="006E5D9A" w:rsidRDefault="00CF2907" w:rsidP="00CF2907">
      <w:pPr>
        <w:pStyle w:val="a6"/>
        <w:spacing w:after="240"/>
        <w:rPr>
          <w:sz w:val="22"/>
          <w:szCs w:val="22"/>
        </w:rPr>
      </w:pPr>
      <w:r>
        <w:rPr>
          <w:rStyle w:val="aa"/>
        </w:rPr>
        <w:footnoteRef/>
      </w:r>
      <w:r>
        <w:t xml:space="preserve"> </w:t>
      </w:r>
      <w:r w:rsidRPr="006E5D9A">
        <w:rPr>
          <w:sz w:val="22"/>
          <w:szCs w:val="22"/>
        </w:rPr>
        <w:t>International Law Reports. - 1977. - Vol. 53. - P. 389-512.</w:t>
      </w:r>
    </w:p>
  </w:footnote>
  <w:footnote w:id="53">
    <w:p w:rsidR="00CF2907" w:rsidRPr="00D729DE" w:rsidRDefault="00CF2907" w:rsidP="00CF2907">
      <w:pPr>
        <w:autoSpaceDE w:val="0"/>
        <w:autoSpaceDN w:val="0"/>
        <w:adjustRightInd w:val="0"/>
        <w:spacing w:after="240"/>
        <w:jc w:val="both"/>
        <w:rPr>
          <w:lang w:eastAsia="uk-UA"/>
        </w:rPr>
      </w:pPr>
      <w:r w:rsidRPr="00DA3629">
        <w:rPr>
          <w:rStyle w:val="aa"/>
        </w:rPr>
        <w:footnoteRef/>
      </w:r>
      <w:r w:rsidRPr="00DA3629">
        <w:t xml:space="preserve"> </w:t>
      </w:r>
      <w:r w:rsidRPr="00DA3629">
        <w:rPr>
          <w:lang w:val="uk-UA" w:eastAsia="uk-UA"/>
        </w:rPr>
        <w:t>F.R.G. v. Pol., 1926 P.C.I.J. (ser. A) No 7 (May</w:t>
      </w:r>
      <w:r w:rsidRPr="00DA3629">
        <w:rPr>
          <w:lang w:eastAsia="uk-UA"/>
        </w:rPr>
        <w:t xml:space="preserve"> </w:t>
      </w:r>
      <w:r>
        <w:rPr>
          <w:lang w:val="uk-UA" w:eastAsia="uk-UA"/>
        </w:rPr>
        <w:t>1925).</w:t>
      </w:r>
    </w:p>
  </w:footnote>
  <w:footnote w:id="54">
    <w:p w:rsidR="00CF2907" w:rsidRPr="00D729DE" w:rsidRDefault="00CF2907" w:rsidP="00CF2907">
      <w:pPr>
        <w:autoSpaceDE w:val="0"/>
        <w:autoSpaceDN w:val="0"/>
        <w:adjustRightInd w:val="0"/>
        <w:spacing w:after="240"/>
        <w:jc w:val="both"/>
        <w:rPr>
          <w:lang w:eastAsia="uk-UA"/>
        </w:rPr>
      </w:pPr>
      <w:r w:rsidRPr="00DA3629">
        <w:rPr>
          <w:rStyle w:val="aa"/>
        </w:rPr>
        <w:footnoteRef/>
      </w:r>
      <w:r w:rsidRPr="00DA3629">
        <w:t xml:space="preserve"> </w:t>
      </w:r>
      <w:r w:rsidRPr="00DA3629">
        <w:rPr>
          <w:i/>
          <w:iCs/>
          <w:lang w:val="uk-UA" w:eastAsia="uk-UA"/>
        </w:rPr>
        <w:t xml:space="preserve">Amoco International Finance Corporation v. Iran, </w:t>
      </w:r>
      <w:r w:rsidRPr="00DA3629">
        <w:rPr>
          <w:lang w:val="uk-UA" w:eastAsia="uk-UA"/>
        </w:rPr>
        <w:t>Award No 310-56-3 (14 July 1987), 15</w:t>
      </w:r>
      <w:r w:rsidRPr="00DA3629">
        <w:rPr>
          <w:lang w:eastAsia="uk-UA"/>
        </w:rPr>
        <w:t xml:space="preserve"> </w:t>
      </w:r>
      <w:r w:rsidRPr="00DA3629">
        <w:rPr>
          <w:lang w:val="uk-UA" w:eastAsia="uk-UA"/>
        </w:rPr>
        <w:t xml:space="preserve">Iran-US </w:t>
      </w:r>
      <w:r>
        <w:rPr>
          <w:lang w:val="uk-UA" w:eastAsia="uk-UA"/>
        </w:rPr>
        <w:t>C.T.R. 189-289.</w:t>
      </w:r>
    </w:p>
  </w:footnote>
  <w:footnote w:id="55">
    <w:p w:rsidR="00CF2907" w:rsidRDefault="00CF2907" w:rsidP="00CF2907">
      <w:pPr>
        <w:pStyle w:val="a6"/>
        <w:spacing w:after="240"/>
      </w:pPr>
      <w:r>
        <w:rPr>
          <w:rStyle w:val="aa"/>
        </w:rPr>
        <w:footnoteRef/>
      </w:r>
      <w:r>
        <w:t xml:space="preserve"> </w:t>
      </w:r>
      <w:r w:rsidRPr="00DA1FFD">
        <w:rPr>
          <w:i/>
          <w:sz w:val="22"/>
          <w:szCs w:val="22"/>
        </w:rPr>
        <w:t xml:space="preserve">Compromis </w:t>
      </w:r>
      <w:r>
        <w:t xml:space="preserve">, </w:t>
      </w:r>
      <w:r w:rsidRPr="00DA1FFD">
        <w:rPr>
          <w:sz w:val="22"/>
          <w:szCs w:val="22"/>
        </w:rPr>
        <w:t>para 57</w:t>
      </w:r>
      <w:r>
        <w:t>.</w:t>
      </w:r>
    </w:p>
  </w:footnote>
  <w:footnote w:id="56">
    <w:p w:rsidR="00CF2907" w:rsidRPr="004B4078" w:rsidRDefault="00CF2907" w:rsidP="00CF2907">
      <w:pPr>
        <w:pStyle w:val="a6"/>
        <w:spacing w:after="240"/>
        <w:rPr>
          <w:sz w:val="24"/>
          <w:szCs w:val="24"/>
        </w:rPr>
      </w:pPr>
      <w:r w:rsidRPr="004B4078">
        <w:rPr>
          <w:rStyle w:val="aa"/>
          <w:sz w:val="24"/>
          <w:szCs w:val="24"/>
        </w:rPr>
        <w:footnoteRef/>
      </w:r>
      <w:r w:rsidRPr="004B4078">
        <w:rPr>
          <w:sz w:val="24"/>
          <w:szCs w:val="24"/>
        </w:rPr>
        <w:t xml:space="preserve">  “Indirect expropriation” and the “Right to regulate” in International investment law” OECD Peport, No 2004/4,  p.9</w:t>
      </w:r>
    </w:p>
  </w:footnote>
  <w:footnote w:id="57">
    <w:p w:rsidR="00CF2907" w:rsidRPr="00CF2907" w:rsidRDefault="00CF2907" w:rsidP="00CF2907">
      <w:pPr>
        <w:pStyle w:val="a6"/>
        <w:spacing w:after="240"/>
        <w:rPr>
          <w:sz w:val="24"/>
          <w:szCs w:val="24"/>
        </w:rPr>
      </w:pPr>
      <w:r>
        <w:rPr>
          <w:rStyle w:val="aa"/>
        </w:rPr>
        <w:footnoteRef/>
      </w:r>
      <w:r>
        <w:t xml:space="preserve"> </w:t>
      </w:r>
      <w:r w:rsidRPr="00CF2907">
        <w:rPr>
          <w:sz w:val="24"/>
          <w:szCs w:val="24"/>
        </w:rPr>
        <w:t>The Energy Charter Treaty, Lissabon, 1994. Article13.</w:t>
      </w:r>
    </w:p>
  </w:footnote>
  <w:footnote w:id="58">
    <w:p w:rsidR="00CF2907" w:rsidRPr="00CF2907" w:rsidRDefault="00CF2907" w:rsidP="00CF2907">
      <w:pPr>
        <w:autoSpaceDE w:val="0"/>
        <w:autoSpaceDN w:val="0"/>
        <w:adjustRightInd w:val="0"/>
        <w:spacing w:after="240"/>
        <w:jc w:val="both"/>
        <w:rPr>
          <w:lang w:eastAsia="uk-UA"/>
        </w:rPr>
      </w:pPr>
      <w:r w:rsidRPr="00CF2907">
        <w:rPr>
          <w:rStyle w:val="aa"/>
        </w:rPr>
        <w:footnoteRef/>
      </w:r>
      <w:r w:rsidRPr="00CF2907">
        <w:t xml:space="preserve"> </w:t>
      </w:r>
      <w:r w:rsidRPr="00CF2907">
        <w:rPr>
          <w:lang w:val="uk-UA" w:eastAsia="uk-UA"/>
        </w:rPr>
        <w:t xml:space="preserve">OECD Draft Convention on Foreign Property, </w:t>
      </w:r>
      <w:r w:rsidRPr="00CF2907">
        <w:rPr>
          <w:i/>
          <w:iCs/>
          <w:lang w:val="uk-UA" w:eastAsia="uk-UA"/>
        </w:rPr>
        <w:t>12 October 1967 pp. 23-25.</w:t>
      </w:r>
    </w:p>
  </w:footnote>
  <w:footnote w:id="59">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rPr>
        <w:t>Vaughan Lowe, 'Regulation or Expropriation', Lecture Delivered at the University College of London (2003).</w:t>
      </w:r>
    </w:p>
  </w:footnote>
  <w:footnote w:id="60">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shd w:val="clear" w:color="auto" w:fill="FFFFFF"/>
        </w:rPr>
        <w:t>Metalclad Corp. v. United Mexican States</w:t>
      </w:r>
      <w:bookmarkStart w:id="2" w:name="SDU_45"/>
      <w:bookmarkEnd w:id="2"/>
      <w:r w:rsidRPr="00CF2907">
        <w:rPr>
          <w:rStyle w:val="documentbody1"/>
          <w:rFonts w:ascii="Times New Roman" w:hAnsi="Times New Roman"/>
          <w:sz w:val="24"/>
          <w:szCs w:val="24"/>
        </w:rPr>
        <w:t>.</w:t>
      </w:r>
    </w:p>
  </w:footnote>
  <w:footnote w:id="61">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rPr>
        <w:t>S.D. Myers, Inc. v. Canada.</w:t>
      </w:r>
    </w:p>
  </w:footnote>
  <w:footnote w:id="62">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rPr>
        <w:t>Methanex Corp. v. U.S. supra note 117</w:t>
      </w:r>
    </w:p>
  </w:footnote>
  <w:footnote w:id="63">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shd w:val="clear" w:color="auto" w:fill="FFFFFF"/>
        </w:rPr>
        <w:t>Ethyl Corp. v. Canada, 38 I.L.M 700 (1999)</w:t>
      </w:r>
      <w:r w:rsidRPr="00CF2907">
        <w:rPr>
          <w:rStyle w:val="documentbody1"/>
          <w:rFonts w:ascii="Times New Roman" w:hAnsi="Times New Roman"/>
          <w:sz w:val="24"/>
          <w:szCs w:val="24"/>
        </w:rPr>
        <w:t xml:space="preserve"> (UNCITRAL--NAFTA 1998); Todd Weiler, The </w:t>
      </w:r>
      <w:r w:rsidRPr="00CF2907">
        <w:rPr>
          <w:rStyle w:val="documentbody1"/>
          <w:rFonts w:ascii="Times New Roman" w:hAnsi="Times New Roman"/>
          <w:sz w:val="24"/>
          <w:szCs w:val="24"/>
          <w:shd w:val="clear" w:color="auto" w:fill="FFFFFF"/>
        </w:rPr>
        <w:t>Ethyl Arbitration: First of its Kind and a Harbinger of Things to Come, 11 AM. REV. INT'L ARB. 187 (2000)</w:t>
      </w:r>
      <w:r w:rsidRPr="00CF2907">
        <w:rPr>
          <w:rStyle w:val="documentbody1"/>
          <w:rFonts w:ascii="Times New Roman" w:hAnsi="Times New Roman"/>
          <w:sz w:val="24"/>
          <w:szCs w:val="24"/>
        </w:rPr>
        <w:t>.</w:t>
      </w:r>
    </w:p>
  </w:footnote>
  <w:footnote w:id="64">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rPr>
        <w:t>Maffezini v. Kingdom of Spain, 16(1) ICSID REV. FOREIGN INVESTMENT L.J. 248 (2000) (ICSID Case No. ARB/97/7--Argentina/Spain BIT 1997).</w:t>
      </w:r>
    </w:p>
  </w:footnote>
  <w:footnote w:id="65">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rStyle w:val="documentbody1"/>
          <w:rFonts w:ascii="Times New Roman" w:hAnsi="Times New Roman"/>
          <w:sz w:val="24"/>
          <w:szCs w:val="24"/>
        </w:rPr>
        <w:t>The Iran-U.S. Claims Tribunal</w:t>
      </w:r>
    </w:p>
  </w:footnote>
  <w:footnote w:id="66">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w:t>
      </w:r>
      <w:r w:rsidRPr="00CF2907">
        <w:rPr>
          <w:i/>
          <w:sz w:val="24"/>
          <w:szCs w:val="24"/>
        </w:rPr>
        <w:t>Sabbatino case</w:t>
      </w:r>
      <w:r w:rsidRPr="00CF2907">
        <w:rPr>
          <w:sz w:val="24"/>
          <w:szCs w:val="24"/>
        </w:rPr>
        <w:t>, 16 Rutgers L. Rev. 1 (1961)</w:t>
      </w:r>
    </w:p>
  </w:footnote>
  <w:footnote w:id="67">
    <w:p w:rsidR="00CF2907" w:rsidRPr="00CF2907" w:rsidRDefault="00CF2907" w:rsidP="00CF2907">
      <w:pPr>
        <w:pStyle w:val="a6"/>
        <w:spacing w:after="240"/>
        <w:rPr>
          <w:sz w:val="24"/>
          <w:szCs w:val="24"/>
        </w:rPr>
      </w:pPr>
      <w:r w:rsidRPr="00CF2907">
        <w:rPr>
          <w:rStyle w:val="aa"/>
          <w:sz w:val="24"/>
          <w:szCs w:val="24"/>
        </w:rPr>
        <w:footnoteRef/>
      </w:r>
      <w:r w:rsidRPr="00CF2907">
        <w:rPr>
          <w:sz w:val="24"/>
          <w:szCs w:val="24"/>
        </w:rPr>
        <w:t xml:space="preserve"> Domke, 1961; Stevenson 1963; Falk, 1964.</w:t>
      </w:r>
    </w:p>
  </w:footnote>
  <w:footnote w:id="68">
    <w:p w:rsidR="00CF2907" w:rsidRPr="00BD30DC" w:rsidRDefault="00CF2907" w:rsidP="00CF2907">
      <w:pPr>
        <w:pStyle w:val="a6"/>
        <w:spacing w:after="240"/>
        <w:rPr>
          <w:sz w:val="22"/>
          <w:szCs w:val="22"/>
        </w:rPr>
      </w:pPr>
      <w:r>
        <w:rPr>
          <w:rStyle w:val="aa"/>
        </w:rPr>
        <w:footnoteRef/>
      </w:r>
      <w:r>
        <w:t xml:space="preserve"> </w:t>
      </w:r>
      <w:r w:rsidRPr="00BD30DC">
        <w:rPr>
          <w:sz w:val="22"/>
          <w:szCs w:val="22"/>
        </w:rPr>
        <w:t>Draft Articles on Diplomatic Protection, with commentaries, adopted by the International Law Commission at its 58th session (2006)</w:t>
      </w:r>
      <w:r>
        <w:rPr>
          <w:sz w:val="22"/>
          <w:szCs w:val="22"/>
        </w:rPr>
        <w:t>, article1.</w:t>
      </w:r>
    </w:p>
  </w:footnote>
  <w:footnote w:id="69">
    <w:p w:rsidR="00CF2907" w:rsidRDefault="00CF2907" w:rsidP="00CF2907">
      <w:pPr>
        <w:pStyle w:val="a6"/>
        <w:spacing w:after="240"/>
      </w:pPr>
      <w:r>
        <w:rPr>
          <w:rStyle w:val="aa"/>
        </w:rPr>
        <w:footnoteRef/>
      </w:r>
      <w:r>
        <w:t xml:space="preserve"> </w:t>
      </w:r>
      <w:r w:rsidRPr="00BD30DC">
        <w:rPr>
          <w:sz w:val="22"/>
          <w:szCs w:val="22"/>
        </w:rPr>
        <w:t>Draft Articles on Diplomatic Protection</w:t>
      </w:r>
      <w:r>
        <w:rPr>
          <w:sz w:val="22"/>
          <w:szCs w:val="22"/>
        </w:rPr>
        <w:t>, article 12.</w:t>
      </w:r>
    </w:p>
  </w:footnote>
  <w:footnote w:id="70">
    <w:p w:rsidR="00CF2907" w:rsidRPr="00B73F27" w:rsidRDefault="00CF2907" w:rsidP="00CF2907">
      <w:pPr>
        <w:pStyle w:val="a6"/>
        <w:spacing w:after="240"/>
        <w:rPr>
          <w:sz w:val="22"/>
          <w:szCs w:val="22"/>
        </w:rPr>
      </w:pPr>
      <w:r>
        <w:rPr>
          <w:rStyle w:val="aa"/>
        </w:rPr>
        <w:footnoteRef/>
      </w:r>
      <w:r>
        <w:t xml:space="preserve"> </w:t>
      </w:r>
      <w:r w:rsidRPr="00B73F27">
        <w:rPr>
          <w:i/>
          <w:sz w:val="22"/>
          <w:szCs w:val="22"/>
        </w:rPr>
        <w:t>Compromis</w:t>
      </w:r>
      <w:r w:rsidRPr="00B73F27">
        <w:rPr>
          <w:sz w:val="22"/>
          <w:szCs w:val="22"/>
        </w:rPr>
        <w:t>, Annex I, article V</w:t>
      </w:r>
    </w:p>
  </w:footnote>
  <w:footnote w:id="71">
    <w:p w:rsidR="00CF2907" w:rsidRPr="00B73F27" w:rsidRDefault="00CF2907" w:rsidP="00CF2907">
      <w:pPr>
        <w:autoSpaceDE w:val="0"/>
        <w:autoSpaceDN w:val="0"/>
        <w:adjustRightInd w:val="0"/>
        <w:spacing w:after="240"/>
        <w:rPr>
          <w:rFonts w:ascii="TimesNewRomanPS" w:eastAsia="Calibri" w:hAnsi="TimesNewRomanPS" w:cs="TimesNewRomanPS"/>
          <w:sz w:val="22"/>
          <w:szCs w:val="22"/>
        </w:rPr>
      </w:pPr>
      <w:r>
        <w:rPr>
          <w:rStyle w:val="aa"/>
        </w:rPr>
        <w:footnoteRef/>
      </w:r>
      <w:r>
        <w:t xml:space="preserve"> </w:t>
      </w:r>
      <w:r w:rsidRPr="00B73F27">
        <w:rPr>
          <w:rFonts w:ascii="TimesNewRomanPS-ItalicMT" w:eastAsia="Calibri" w:hAnsi="TimesNewRomanPS-ItalicMT" w:cs="TimesNewRomanPS-ItalicMT"/>
          <w:i/>
          <w:iCs/>
          <w:sz w:val="22"/>
          <w:szCs w:val="22"/>
        </w:rPr>
        <w:t>United States Diplomatic and Consular Staff in Tehran</w:t>
      </w:r>
      <w:r w:rsidRPr="00B73F27">
        <w:rPr>
          <w:rFonts w:ascii="TimesNewRomanPS" w:eastAsia="Calibri" w:hAnsi="TimesNewRomanPS" w:cs="TimesNewRomanPS"/>
          <w:sz w:val="22"/>
          <w:szCs w:val="22"/>
        </w:rPr>
        <w:t>, p. 29, para. 56.</w:t>
      </w:r>
    </w:p>
    <w:p w:rsidR="00CF2907" w:rsidRPr="00B73F27" w:rsidRDefault="00CF2907" w:rsidP="00CF2907">
      <w:pPr>
        <w:pStyle w:val="a6"/>
        <w:spacing w:after="240"/>
        <w:rPr>
          <w:sz w:val="22"/>
          <w:szCs w:val="22"/>
        </w:rPr>
      </w:pPr>
    </w:p>
  </w:footnote>
  <w:footnote w:id="72">
    <w:p w:rsidR="00CF2907" w:rsidRPr="00B73F27" w:rsidRDefault="00CF2907" w:rsidP="00CF2907">
      <w:pPr>
        <w:autoSpaceDE w:val="0"/>
        <w:autoSpaceDN w:val="0"/>
        <w:adjustRightInd w:val="0"/>
        <w:spacing w:after="240"/>
        <w:rPr>
          <w:rFonts w:ascii="TimesNewRomanPS" w:eastAsia="Calibri" w:hAnsi="TimesNewRomanPS" w:cs="TimesNewRomanPS"/>
          <w:sz w:val="22"/>
          <w:szCs w:val="22"/>
        </w:rPr>
      </w:pPr>
      <w:r>
        <w:rPr>
          <w:rStyle w:val="aa"/>
        </w:rPr>
        <w:footnoteRef/>
      </w:r>
      <w:r>
        <w:t xml:space="preserve"> </w:t>
      </w:r>
      <w:r w:rsidRPr="00B73F27">
        <w:rPr>
          <w:rFonts w:ascii="TimesNewRomanPS-ItalicMT" w:eastAsia="Calibri" w:hAnsi="TimesNewRomanPS-ItalicMT" w:cs="TimesNewRomanPS-ItalicMT"/>
          <w:i/>
          <w:iCs/>
          <w:sz w:val="22"/>
          <w:szCs w:val="22"/>
        </w:rPr>
        <w:t>Military and Paramilitary Activities in and against Nicaragua</w:t>
      </w:r>
      <w:r w:rsidRPr="00B73F27">
        <w:rPr>
          <w:rFonts w:ascii="TimesNewRomanPS" w:eastAsia="Calibri" w:hAnsi="TimesNewRomanPS" w:cs="TimesNewRomanPS"/>
          <w:sz w:val="22"/>
          <w:szCs w:val="22"/>
        </w:rPr>
        <w:t>, p. 64, para. 115, and p. 98, para. 186, respectively.</w:t>
      </w:r>
    </w:p>
    <w:p w:rsidR="00CF2907" w:rsidRDefault="00CF2907" w:rsidP="00CF2907">
      <w:pPr>
        <w:pStyle w:val="a6"/>
        <w:spacing w:after="240"/>
      </w:pPr>
    </w:p>
  </w:footnote>
  <w:footnote w:id="73">
    <w:p w:rsidR="00CF2907" w:rsidRPr="00B73F27" w:rsidRDefault="00CF2907" w:rsidP="00CF2907">
      <w:pPr>
        <w:autoSpaceDE w:val="0"/>
        <w:autoSpaceDN w:val="0"/>
        <w:adjustRightInd w:val="0"/>
        <w:spacing w:after="240"/>
        <w:rPr>
          <w:sz w:val="22"/>
          <w:szCs w:val="22"/>
        </w:rPr>
      </w:pPr>
      <w:r>
        <w:rPr>
          <w:rStyle w:val="aa"/>
        </w:rPr>
        <w:footnoteRef/>
      </w:r>
      <w:r>
        <w:t xml:space="preserve"> </w:t>
      </w:r>
      <w:r w:rsidRPr="00B73F27">
        <w:rPr>
          <w:rFonts w:ascii="TimesNewRomanPS-ItalicMT" w:eastAsia="Calibri" w:hAnsi="TimesNewRomanPS-ItalicMT" w:cs="TimesNewRomanPS-ItalicMT"/>
          <w:i/>
          <w:iCs/>
          <w:sz w:val="22"/>
          <w:szCs w:val="22"/>
        </w:rPr>
        <w:t>Gab</w:t>
      </w:r>
      <w:r w:rsidRPr="00B73F27">
        <w:rPr>
          <w:rFonts w:ascii="Times-Italic" w:eastAsia="Calibri" w:hAnsi="Times-Italic" w:cs="Times-Italic"/>
          <w:i/>
          <w:iCs/>
          <w:sz w:val="22"/>
          <w:szCs w:val="22"/>
        </w:rPr>
        <w:t>ˇc</w:t>
      </w:r>
      <w:r w:rsidRPr="00B73F27">
        <w:rPr>
          <w:rFonts w:ascii="TimesNewRomanPS-ItalicMT" w:eastAsia="Calibri" w:hAnsi="TimesNewRomanPS-ItalicMT" w:cs="TimesNewRomanPS-ItalicMT"/>
          <w:i/>
          <w:iCs/>
          <w:sz w:val="22"/>
          <w:szCs w:val="22"/>
        </w:rPr>
        <w:t>íkovo-Nagymaros Project</w:t>
      </w:r>
      <w:r w:rsidRPr="00B73F27">
        <w:rPr>
          <w:rFonts w:ascii="TimesNewRomanPS" w:eastAsia="Calibri" w:hAnsi="TimesNewRomanPS" w:cs="TimesNewRomanPS"/>
          <w:sz w:val="22"/>
          <w:szCs w:val="22"/>
        </w:rPr>
        <w:t>, p. 46, para. 57.</w:t>
      </w:r>
    </w:p>
  </w:footnote>
  <w:footnote w:id="74">
    <w:p w:rsidR="00CF2907" w:rsidRDefault="00CF2907" w:rsidP="00CF2907">
      <w:pPr>
        <w:pStyle w:val="a6"/>
        <w:spacing w:after="240"/>
      </w:pPr>
      <w:r>
        <w:rPr>
          <w:rStyle w:val="aa"/>
        </w:rPr>
        <w:footnoteRef/>
      </w:r>
      <w:r>
        <w:t xml:space="preserve"> </w:t>
      </w:r>
      <w:r w:rsidRPr="00BD30DC">
        <w:rPr>
          <w:sz w:val="22"/>
          <w:szCs w:val="22"/>
        </w:rPr>
        <w:t>Draft Articles on Diplomatic Protection</w:t>
      </w:r>
      <w:r>
        <w:rPr>
          <w:sz w:val="22"/>
          <w:szCs w:val="22"/>
        </w:rPr>
        <w:t>, article 32.</w:t>
      </w:r>
    </w:p>
  </w:footnote>
  <w:footnote w:id="75">
    <w:p w:rsidR="00CF2907" w:rsidRPr="00343AF9" w:rsidRDefault="00CF2907" w:rsidP="00CF2907">
      <w:pPr>
        <w:pStyle w:val="a6"/>
        <w:rPr>
          <w:sz w:val="24"/>
          <w:szCs w:val="24"/>
        </w:rPr>
      </w:pPr>
      <w:r w:rsidRPr="00343AF9">
        <w:rPr>
          <w:rStyle w:val="aa"/>
          <w:sz w:val="24"/>
          <w:szCs w:val="24"/>
        </w:rPr>
        <w:footnoteRef/>
      </w:r>
      <w:r w:rsidRPr="00343AF9">
        <w:rPr>
          <w:sz w:val="24"/>
          <w:szCs w:val="24"/>
        </w:rPr>
        <w:t xml:space="preserve"> Brownlie, 1990</w:t>
      </w:r>
      <w:r>
        <w:rPr>
          <w:sz w:val="24"/>
          <w:szCs w:val="24"/>
        </w:rPr>
        <w:t>.</w:t>
      </w:r>
      <w:r w:rsidRPr="00343AF9">
        <w:rPr>
          <w:sz w:val="24"/>
          <w:szCs w:val="24"/>
        </w:rPr>
        <w:t xml:space="preserve"> </w:t>
      </w:r>
    </w:p>
    <w:p w:rsidR="00CF2907" w:rsidRPr="00343AF9" w:rsidRDefault="00CF2907" w:rsidP="00CF2907">
      <w:pPr>
        <w:pStyle w:val="a6"/>
        <w:rPr>
          <w:sz w:val="24"/>
          <w:szCs w:val="24"/>
        </w:rPr>
      </w:pPr>
    </w:p>
  </w:footnote>
  <w:footnote w:id="76">
    <w:p w:rsidR="00CF2907" w:rsidRPr="00285E71" w:rsidRDefault="00CF2907" w:rsidP="00CF2907">
      <w:pPr>
        <w:spacing w:after="120"/>
        <w:jc w:val="both"/>
      </w:pPr>
      <w:r w:rsidRPr="00343AF9">
        <w:rPr>
          <w:rStyle w:val="aa"/>
        </w:rPr>
        <w:footnoteRef/>
      </w:r>
      <w:r w:rsidRPr="00343AF9">
        <w:t xml:space="preserve"> </w:t>
      </w:r>
      <w:r w:rsidRPr="00285E71">
        <w:rPr>
          <w:i/>
        </w:rPr>
        <w:t>DARS</w:t>
      </w:r>
      <w:r>
        <w:rPr>
          <w:i/>
        </w:rPr>
        <w:t xml:space="preserve">, </w:t>
      </w:r>
      <w:r w:rsidRPr="00444557">
        <w:t>art. 31</w:t>
      </w:r>
      <w:r w:rsidRPr="00285E71">
        <w:rPr>
          <w:i/>
        </w:rPr>
        <w:t xml:space="preserve"> </w:t>
      </w:r>
    </w:p>
  </w:footnote>
  <w:footnote w:id="77">
    <w:p w:rsidR="00CF2907" w:rsidRPr="00343AF9" w:rsidRDefault="00CF2907" w:rsidP="00CF2907">
      <w:pPr>
        <w:autoSpaceDE w:val="0"/>
        <w:autoSpaceDN w:val="0"/>
        <w:adjustRightInd w:val="0"/>
      </w:pPr>
      <w:r w:rsidRPr="00343AF9">
        <w:rPr>
          <w:rStyle w:val="aa"/>
        </w:rPr>
        <w:footnoteRef/>
      </w:r>
      <w:r w:rsidRPr="00343AF9">
        <w:t xml:space="preserve"> </w:t>
      </w:r>
      <w:r w:rsidRPr="00FA3FE0">
        <w:rPr>
          <w:i/>
        </w:rPr>
        <w:t>Gabcíkovo-Nagymaros</w:t>
      </w:r>
      <w:r w:rsidRPr="00343AF9">
        <w:t xml:space="preserve">; </w:t>
      </w:r>
      <w:r w:rsidRPr="00FA3FE0">
        <w:rPr>
          <w:i/>
        </w:rPr>
        <w:t>Factory at Chorzów</w:t>
      </w:r>
      <w:r>
        <w:rPr>
          <w:i/>
        </w:rPr>
        <w:t>.</w:t>
      </w:r>
    </w:p>
    <w:p w:rsidR="00CF2907" w:rsidRPr="00343AF9" w:rsidRDefault="00CF2907" w:rsidP="00CF2907">
      <w:pPr>
        <w:autoSpaceDE w:val="0"/>
        <w:autoSpaceDN w:val="0"/>
        <w:adjustRightInd w:val="0"/>
      </w:pPr>
    </w:p>
  </w:footnote>
  <w:footnote w:id="78">
    <w:p w:rsidR="00CF2907" w:rsidRDefault="00CF2907" w:rsidP="00CF2907">
      <w:pPr>
        <w:pStyle w:val="a6"/>
        <w:spacing w:after="240"/>
        <w:jc w:val="both"/>
        <w:rPr>
          <w:sz w:val="24"/>
          <w:szCs w:val="24"/>
        </w:rPr>
      </w:pPr>
      <w:r>
        <w:rPr>
          <w:rStyle w:val="aa"/>
          <w:sz w:val="24"/>
          <w:szCs w:val="24"/>
        </w:rPr>
        <w:footnoteRef/>
      </w:r>
      <w:r>
        <w:rPr>
          <w:sz w:val="24"/>
          <w:szCs w:val="24"/>
        </w:rPr>
        <w:t xml:space="preserve"> ARS (2001), Art. 34.</w:t>
      </w:r>
    </w:p>
  </w:footnote>
  <w:footnote w:id="79">
    <w:p w:rsidR="00CF2907" w:rsidRDefault="00CF2907" w:rsidP="00CF2907">
      <w:pPr>
        <w:pStyle w:val="a6"/>
        <w:spacing w:after="240"/>
        <w:jc w:val="both"/>
        <w:rPr>
          <w:sz w:val="24"/>
          <w:szCs w:val="24"/>
        </w:rPr>
      </w:pPr>
      <w:r>
        <w:rPr>
          <w:rStyle w:val="aa"/>
          <w:sz w:val="24"/>
          <w:szCs w:val="24"/>
        </w:rPr>
        <w:footnoteRef/>
      </w:r>
      <w:r>
        <w:rPr>
          <w:sz w:val="24"/>
          <w:szCs w:val="24"/>
        </w:rPr>
        <w:t xml:space="preserve"> VCLT, Article 27; </w:t>
      </w:r>
      <w:r>
        <w:rPr>
          <w:i/>
          <w:iCs/>
          <w:sz w:val="24"/>
          <w:szCs w:val="24"/>
        </w:rPr>
        <w:t>Alabama</w:t>
      </w:r>
      <w:r>
        <w:rPr>
          <w:sz w:val="24"/>
          <w:szCs w:val="24"/>
        </w:rPr>
        <w:t xml:space="preserve">, pp. 4156-4157; </w:t>
      </w:r>
      <w:r>
        <w:rPr>
          <w:i/>
          <w:sz w:val="24"/>
          <w:szCs w:val="24"/>
        </w:rPr>
        <w:t>Norwegian Shipowners Claims</w:t>
      </w:r>
      <w:r>
        <w:rPr>
          <w:sz w:val="24"/>
          <w:szCs w:val="24"/>
        </w:rPr>
        <w:t xml:space="preserve">, p. 331; </w:t>
      </w:r>
      <w:r>
        <w:rPr>
          <w:i/>
          <w:sz w:val="24"/>
          <w:szCs w:val="24"/>
        </w:rPr>
        <w:t>Tinoco</w:t>
      </w:r>
      <w:r>
        <w:rPr>
          <w:sz w:val="24"/>
          <w:szCs w:val="24"/>
        </w:rPr>
        <w:t>, p. 386;</w:t>
      </w:r>
      <w:r>
        <w:rPr>
          <w:i/>
          <w:sz w:val="24"/>
          <w:szCs w:val="24"/>
        </w:rPr>
        <w:t xml:space="preserve"> Shufeldt Claim</w:t>
      </w:r>
      <w:r>
        <w:rPr>
          <w:sz w:val="24"/>
          <w:szCs w:val="24"/>
        </w:rPr>
        <w:t xml:space="preserve">, p. 1098; </w:t>
      </w:r>
      <w:r>
        <w:rPr>
          <w:i/>
          <w:sz w:val="24"/>
          <w:szCs w:val="24"/>
        </w:rPr>
        <w:t>Wimbledon</w:t>
      </w:r>
      <w:r>
        <w:rPr>
          <w:sz w:val="24"/>
          <w:szCs w:val="24"/>
        </w:rPr>
        <w:t xml:space="preserve">, pp. 29-30; </w:t>
      </w:r>
      <w:r>
        <w:rPr>
          <w:i/>
          <w:sz w:val="24"/>
          <w:szCs w:val="24"/>
        </w:rPr>
        <w:t>Greco-Bulgarian Communities</w:t>
      </w:r>
      <w:r>
        <w:rPr>
          <w:sz w:val="24"/>
          <w:szCs w:val="24"/>
        </w:rPr>
        <w:t xml:space="preserve">, p. 32; </w:t>
      </w:r>
      <w:r>
        <w:rPr>
          <w:i/>
          <w:sz w:val="24"/>
          <w:szCs w:val="24"/>
        </w:rPr>
        <w:t>Free Zones of Upper Savoy</w:t>
      </w:r>
      <w:r>
        <w:rPr>
          <w:sz w:val="24"/>
          <w:szCs w:val="24"/>
        </w:rPr>
        <w:t xml:space="preserve"> (1932), p. 167; </w:t>
      </w:r>
      <w:r>
        <w:rPr>
          <w:i/>
          <w:sz w:val="24"/>
          <w:szCs w:val="24"/>
        </w:rPr>
        <w:t>Treatment of Polish Nationals</w:t>
      </w:r>
      <w:r>
        <w:rPr>
          <w:sz w:val="24"/>
          <w:szCs w:val="24"/>
        </w:rPr>
        <w:t xml:space="preserve">, p. 24; </w:t>
      </w:r>
      <w:r>
        <w:rPr>
          <w:i/>
          <w:sz w:val="24"/>
          <w:szCs w:val="24"/>
        </w:rPr>
        <w:t>Exchange of Greek and Turkish Populations</w:t>
      </w:r>
      <w:r>
        <w:rPr>
          <w:sz w:val="24"/>
          <w:szCs w:val="24"/>
        </w:rPr>
        <w:t xml:space="preserve">, p. 20; </w:t>
      </w:r>
      <w:r>
        <w:rPr>
          <w:i/>
          <w:sz w:val="24"/>
          <w:szCs w:val="24"/>
        </w:rPr>
        <w:t>Jurisdiction of the Courts of Danzig</w:t>
      </w:r>
      <w:r>
        <w:rPr>
          <w:sz w:val="24"/>
          <w:szCs w:val="24"/>
        </w:rPr>
        <w:t xml:space="preserve">, pp. 26-27; </w:t>
      </w:r>
      <w:r>
        <w:rPr>
          <w:i/>
          <w:sz w:val="24"/>
          <w:szCs w:val="24"/>
        </w:rPr>
        <w:t>Fisheries</w:t>
      </w:r>
      <w:r>
        <w:rPr>
          <w:sz w:val="24"/>
          <w:szCs w:val="24"/>
        </w:rPr>
        <w:t xml:space="preserve">, p. 132; </w:t>
      </w:r>
      <w:r>
        <w:rPr>
          <w:i/>
          <w:sz w:val="24"/>
          <w:szCs w:val="24"/>
        </w:rPr>
        <w:t>Nottebohm</w:t>
      </w:r>
      <w:r>
        <w:rPr>
          <w:sz w:val="24"/>
          <w:szCs w:val="24"/>
        </w:rPr>
        <w:t xml:space="preserve">, p. 123; </w:t>
      </w:r>
      <w:r>
        <w:rPr>
          <w:i/>
          <w:sz w:val="24"/>
          <w:szCs w:val="24"/>
          <w:shd w:val="clear" w:color="auto" w:fill="FFFFFF"/>
        </w:rPr>
        <w:t>Guardianship of Infants</w:t>
      </w:r>
      <w:r>
        <w:rPr>
          <w:sz w:val="24"/>
          <w:szCs w:val="24"/>
        </w:rPr>
        <w:t xml:space="preserve">, p. 67; </w:t>
      </w:r>
      <w:r>
        <w:rPr>
          <w:i/>
          <w:sz w:val="24"/>
          <w:szCs w:val="24"/>
        </w:rPr>
        <w:t>Applicability of the Obligation to Arbitrate</w:t>
      </w:r>
      <w:r>
        <w:rPr>
          <w:sz w:val="24"/>
          <w:szCs w:val="24"/>
        </w:rPr>
        <w:t xml:space="preserve">, para. 57; </w:t>
      </w:r>
      <w:r>
        <w:rPr>
          <w:i/>
          <w:sz w:val="24"/>
          <w:szCs w:val="24"/>
        </w:rPr>
        <w:t>Reparation for Injuries</w:t>
      </w:r>
      <w:r>
        <w:rPr>
          <w:sz w:val="24"/>
          <w:szCs w:val="24"/>
        </w:rPr>
        <w:t>, p. 180.</w:t>
      </w:r>
    </w:p>
  </w:footnote>
  <w:footnote w:id="80">
    <w:p w:rsidR="00CF2907" w:rsidRPr="00186952" w:rsidRDefault="00CF2907" w:rsidP="00CF2907">
      <w:pPr>
        <w:pStyle w:val="a6"/>
        <w:spacing w:after="240"/>
        <w:rPr>
          <w:sz w:val="22"/>
          <w:szCs w:val="22"/>
        </w:rPr>
      </w:pPr>
      <w:r>
        <w:rPr>
          <w:rStyle w:val="aa"/>
        </w:rPr>
        <w:footnoteRef/>
      </w:r>
      <w:r>
        <w:t xml:space="preserve"> </w:t>
      </w:r>
      <w:r w:rsidRPr="00186952">
        <w:rPr>
          <w:color w:val="333333"/>
          <w:sz w:val="22"/>
          <w:szCs w:val="22"/>
        </w:rPr>
        <w:t xml:space="preserve">I. Brownlie, Principles of Public International Law (5th edn, 1998), </w:t>
      </w:r>
      <w:r>
        <w:rPr>
          <w:color w:val="333333"/>
          <w:sz w:val="22"/>
          <w:szCs w:val="22"/>
        </w:rPr>
        <w:t>p.</w:t>
      </w:r>
      <w:r w:rsidRPr="00186952">
        <w:rPr>
          <w:color w:val="333333"/>
          <w:sz w:val="22"/>
          <w:szCs w:val="22"/>
        </w:rPr>
        <w:t>34.</w:t>
      </w:r>
    </w:p>
  </w:footnote>
  <w:footnote w:id="81">
    <w:p w:rsidR="00CF2907" w:rsidRDefault="00CF2907" w:rsidP="00CF2907">
      <w:pPr>
        <w:pStyle w:val="a6"/>
        <w:spacing w:after="240"/>
      </w:pPr>
      <w:r>
        <w:rPr>
          <w:rStyle w:val="aa"/>
        </w:rPr>
        <w:footnoteRef/>
      </w:r>
      <w:r>
        <w:t xml:space="preserve"> </w:t>
      </w:r>
      <w:r w:rsidRPr="003B4798">
        <w:rPr>
          <w:sz w:val="22"/>
          <w:szCs w:val="22"/>
        </w:rPr>
        <w:t xml:space="preserve">Vienna Convention on the Law of Treaties of 23 May 1969, 1155 UNTS  p. 331 </w:t>
      </w:r>
      <w:r>
        <w:rPr>
          <w:sz w:val="24"/>
          <w:szCs w:val="24"/>
        </w:rPr>
        <w:t>,</w:t>
      </w:r>
      <w:r>
        <w:t xml:space="preserve"> </w:t>
      </w:r>
      <w:r w:rsidRPr="00415007">
        <w:rPr>
          <w:sz w:val="22"/>
          <w:szCs w:val="22"/>
        </w:rPr>
        <w:t>article2</w:t>
      </w:r>
      <w:r>
        <w:rPr>
          <w:sz w:val="22"/>
          <w:szCs w:val="22"/>
        </w:rPr>
        <w:t>7.</w:t>
      </w:r>
    </w:p>
  </w:footnote>
  <w:footnote w:id="82">
    <w:p w:rsidR="00CF2907" w:rsidRPr="00700A7B" w:rsidRDefault="00CF2907" w:rsidP="00CF2907">
      <w:pPr>
        <w:pStyle w:val="a6"/>
        <w:rPr>
          <w:sz w:val="22"/>
        </w:rPr>
      </w:pPr>
      <w:r>
        <w:rPr>
          <w:rStyle w:val="aa"/>
        </w:rPr>
        <w:footnoteRef/>
      </w:r>
      <w:r>
        <w:t xml:space="preserve"> </w:t>
      </w:r>
      <w:r w:rsidRPr="00700A7B">
        <w:rPr>
          <w:sz w:val="22"/>
        </w:rPr>
        <w:t>Applicability of the Obligation to Arbitrade case (1988) ICJ 12, p.34: 82 ILR 225, p. 252.</w:t>
      </w:r>
    </w:p>
  </w:footnote>
  <w:footnote w:id="83">
    <w:p w:rsidR="00CF2907" w:rsidRPr="00B946E7" w:rsidRDefault="00CF2907" w:rsidP="00CF2907">
      <w:pPr>
        <w:pStyle w:val="a6"/>
        <w:spacing w:after="240"/>
        <w:rPr>
          <w:sz w:val="22"/>
        </w:rPr>
      </w:pPr>
      <w:r>
        <w:rPr>
          <w:rStyle w:val="aa"/>
        </w:rPr>
        <w:footnoteRef/>
      </w:r>
      <w:r>
        <w:t xml:space="preserve"> </w:t>
      </w:r>
      <w:r w:rsidRPr="00B946E7">
        <w:rPr>
          <w:i/>
          <w:sz w:val="22"/>
        </w:rPr>
        <w:t>Case concerning Questions of Interpretation and Application of the 1971 Montreal Convention arising from the Aerial Incident at Lockerbie</w:t>
      </w:r>
      <w:r w:rsidRPr="00B946E7">
        <w:rPr>
          <w:sz w:val="22"/>
        </w:rPr>
        <w:t xml:space="preserve"> (1992) ICJ 3, p.22: 94 ILR 478, p.515.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9860"/>
      <w:docPartObj>
        <w:docPartGallery w:val="Page Numbers (Top of Page)"/>
        <w:docPartUnique/>
      </w:docPartObj>
    </w:sdtPr>
    <w:sdtContent>
      <w:p w:rsidR="00CF2907" w:rsidRDefault="00B91C67">
        <w:pPr>
          <w:pStyle w:val="ac"/>
          <w:jc w:val="center"/>
        </w:pPr>
        <w:fldSimple w:instr=" PAGE   \* MERGEFORMAT ">
          <w:r w:rsidR="00053F9A">
            <w:rPr>
              <w:noProof/>
            </w:rPr>
            <w:t>xx</w:t>
          </w:r>
        </w:fldSimple>
      </w:p>
    </w:sdtContent>
  </w:sdt>
  <w:p w:rsidR="00CF2907" w:rsidRDefault="00CF290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00229"/>
    <w:multiLevelType w:val="hybridMultilevel"/>
    <w:tmpl w:val="64860226"/>
    <w:lvl w:ilvl="0" w:tplc="CA68A3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F47737"/>
    <w:multiLevelType w:val="hybridMultilevel"/>
    <w:tmpl w:val="06AC6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41DEA"/>
    <w:multiLevelType w:val="hybridMultilevel"/>
    <w:tmpl w:val="26B68BD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0F33D63"/>
    <w:multiLevelType w:val="hybridMultilevel"/>
    <w:tmpl w:val="DC1846FC"/>
    <w:lvl w:ilvl="0" w:tplc="7FB6C7A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63075"/>
    <w:multiLevelType w:val="hybridMultilevel"/>
    <w:tmpl w:val="86F02BCC"/>
    <w:lvl w:ilvl="0" w:tplc="114261C6">
      <w:start w:val="1"/>
      <w:numFmt w:val="decimal"/>
      <w:lvlText w:val="%1."/>
      <w:lvlJc w:val="left"/>
      <w:pPr>
        <w:ind w:left="720" w:hanging="360"/>
      </w:pPr>
      <w:rPr>
        <w:rFonts w:eastAsia="PMingLiU"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D778FC"/>
    <w:multiLevelType w:val="hybridMultilevel"/>
    <w:tmpl w:val="9FD8D2EC"/>
    <w:lvl w:ilvl="0" w:tplc="F7AE5066">
      <w:start w:val="1"/>
      <w:numFmt w:val="decimal"/>
      <w:pStyle w:val="NumberedParagraphs"/>
      <w:lvlText w:val="%1."/>
      <w:lvlJc w:val="left"/>
      <w:pPr>
        <w:ind w:left="50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6">
    <w:nsid w:val="692613A5"/>
    <w:multiLevelType w:val="hybridMultilevel"/>
    <w:tmpl w:val="14987A04"/>
    <w:lvl w:ilvl="0" w:tplc="FD02BB0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9C0943"/>
    <w:multiLevelType w:val="hybridMultilevel"/>
    <w:tmpl w:val="F466A8B2"/>
    <w:lvl w:ilvl="0" w:tplc="72FA787E">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9560BC"/>
    <w:multiLevelType w:val="hybridMultilevel"/>
    <w:tmpl w:val="E15E79D8"/>
    <w:lvl w:ilvl="0" w:tplc="AEAC7E12">
      <w:start w:val="1"/>
      <w:numFmt w:val="decimal"/>
      <w:lvlText w:val="%1."/>
      <w:lvlJc w:val="left"/>
      <w:pPr>
        <w:ind w:left="1636" w:hanging="360"/>
      </w:pPr>
      <w:rPr>
        <w:rFonts w:hint="default"/>
        <w:b w:val="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78441048"/>
    <w:multiLevelType w:val="hybridMultilevel"/>
    <w:tmpl w:val="74848A8C"/>
    <w:lvl w:ilvl="0" w:tplc="0409000F">
      <w:start w:val="1"/>
      <w:numFmt w:val="lowerLetter"/>
      <w:lvlText w:val="%1)"/>
      <w:lvlJc w:val="left"/>
      <w:pPr>
        <w:tabs>
          <w:tab w:val="num" w:pos="720"/>
        </w:tabs>
        <w:ind w:left="720" w:hanging="360"/>
      </w:pPr>
      <w:rPr>
        <w:rFonts w:hint="default"/>
      </w:rPr>
    </w:lvl>
    <w:lvl w:ilvl="1" w:tplc="04090019">
      <w:start w:val="1"/>
      <w:numFmt w:val="upperRoman"/>
      <w:pStyle w:val="2"/>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A73E84"/>
    <w:multiLevelType w:val="hybridMultilevel"/>
    <w:tmpl w:val="FC6AF684"/>
    <w:lvl w:ilvl="0" w:tplc="B1FC9A04">
      <w:start w:val="1"/>
      <w:numFmt w:val="decimal"/>
      <w:lvlText w:val="%1."/>
      <w:lvlJc w:val="left"/>
      <w:pPr>
        <w:ind w:left="36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0B5003"/>
    <w:multiLevelType w:val="hybridMultilevel"/>
    <w:tmpl w:val="37FC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8"/>
  </w:num>
  <w:num w:numId="5">
    <w:abstractNumId w:val="3"/>
  </w:num>
  <w:num w:numId="6">
    <w:abstractNumId w:val="10"/>
  </w:num>
  <w:num w:numId="7">
    <w:abstractNumId w:val="1"/>
  </w:num>
  <w:num w:numId="8">
    <w:abstractNumId w:val="4"/>
  </w:num>
  <w:num w:numId="9">
    <w:abstractNumId w:val="6"/>
  </w:num>
  <w:num w:numId="10">
    <w:abstractNumId w:val="1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E20F3"/>
    <w:rsid w:val="00003E1B"/>
    <w:rsid w:val="00053F9A"/>
    <w:rsid w:val="000A00D8"/>
    <w:rsid w:val="001536EB"/>
    <w:rsid w:val="00207849"/>
    <w:rsid w:val="00231EE4"/>
    <w:rsid w:val="00346A4F"/>
    <w:rsid w:val="005F7738"/>
    <w:rsid w:val="009034C0"/>
    <w:rsid w:val="009F073F"/>
    <w:rsid w:val="00AD6BF8"/>
    <w:rsid w:val="00B91C67"/>
    <w:rsid w:val="00B93994"/>
    <w:rsid w:val="00BA3E60"/>
    <w:rsid w:val="00CF2907"/>
    <w:rsid w:val="00D61F34"/>
    <w:rsid w:val="00DA7799"/>
    <w:rsid w:val="00DE41B8"/>
    <w:rsid w:val="00EE20F3"/>
    <w:rsid w:val="00F021A3"/>
    <w:rsid w:val="00F33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0F3"/>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0"/>
    <w:qFormat/>
    <w:rsid w:val="00EE20F3"/>
    <w:pPr>
      <w:keepNext/>
      <w:numPr>
        <w:ilvl w:val="1"/>
        <w:numId w:val="1"/>
      </w:numPr>
      <w:tabs>
        <w:tab w:val="clear" w:pos="1800"/>
      </w:tabs>
      <w:ind w:left="0" w:firstLine="0"/>
      <w:jc w:val="both"/>
      <w:outlineLvl w:val="1"/>
    </w:pPr>
    <w:rPr>
      <w:b/>
      <w:bCs/>
      <w:i/>
      <w:iCs/>
    </w:rPr>
  </w:style>
  <w:style w:type="paragraph" w:styleId="5">
    <w:name w:val="heading 5"/>
    <w:basedOn w:val="a"/>
    <w:next w:val="a"/>
    <w:link w:val="50"/>
    <w:qFormat/>
    <w:rsid w:val="00EE20F3"/>
    <w:pPr>
      <w:spacing w:before="240" w:after="60"/>
      <w:outlineLvl w:val="4"/>
    </w:pPr>
    <w:rPr>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E20F3"/>
    <w:rPr>
      <w:rFonts w:ascii="Times New Roman" w:eastAsia="Times New Roman" w:hAnsi="Times New Roman" w:cs="Times New Roman"/>
      <w:b/>
      <w:bCs/>
      <w:i/>
      <w:iCs/>
      <w:sz w:val="24"/>
      <w:szCs w:val="24"/>
      <w:lang w:val="en-GB"/>
    </w:rPr>
  </w:style>
  <w:style w:type="character" w:customStyle="1" w:styleId="50">
    <w:name w:val="Заголовок 5 Знак"/>
    <w:basedOn w:val="a0"/>
    <w:link w:val="5"/>
    <w:rsid w:val="00EE20F3"/>
    <w:rPr>
      <w:rFonts w:ascii="Times New Roman" w:eastAsia="Times New Roman" w:hAnsi="Times New Roman" w:cs="Times New Roman"/>
      <w:b/>
      <w:bCs/>
      <w:i/>
      <w:iCs/>
      <w:sz w:val="26"/>
      <w:szCs w:val="26"/>
      <w:lang w:val="en-US"/>
    </w:rPr>
  </w:style>
  <w:style w:type="paragraph" w:styleId="a3">
    <w:name w:val="Body Text"/>
    <w:basedOn w:val="a"/>
    <w:link w:val="a4"/>
    <w:semiHidden/>
    <w:rsid w:val="00EE20F3"/>
    <w:rPr>
      <w:b/>
      <w:bCs/>
    </w:rPr>
  </w:style>
  <w:style w:type="character" w:customStyle="1" w:styleId="a4">
    <w:name w:val="Основной текст Знак"/>
    <w:basedOn w:val="a0"/>
    <w:link w:val="a3"/>
    <w:semiHidden/>
    <w:rsid w:val="00EE20F3"/>
    <w:rPr>
      <w:rFonts w:ascii="Times New Roman" w:eastAsia="Times New Roman" w:hAnsi="Times New Roman" w:cs="Times New Roman"/>
      <w:b/>
      <w:bCs/>
      <w:sz w:val="24"/>
      <w:szCs w:val="24"/>
      <w:lang w:val="en-GB"/>
    </w:rPr>
  </w:style>
  <w:style w:type="paragraph" w:customStyle="1" w:styleId="NumberedParagraphs">
    <w:name w:val="Numbered Paragraphs"/>
    <w:basedOn w:val="a"/>
    <w:link w:val="NumberedParagraphsChar"/>
    <w:qFormat/>
    <w:rsid w:val="001536EB"/>
    <w:pPr>
      <w:numPr>
        <w:numId w:val="2"/>
      </w:numPr>
      <w:spacing w:after="240" w:line="360" w:lineRule="auto"/>
      <w:jc w:val="both"/>
    </w:pPr>
    <w:rPr>
      <w:rFonts w:eastAsia="SimSun"/>
      <w:sz w:val="26"/>
      <w:szCs w:val="26"/>
      <w:lang w:eastAsia="zh-CN"/>
    </w:rPr>
  </w:style>
  <w:style w:type="character" w:customStyle="1" w:styleId="NumberedParagraphsChar">
    <w:name w:val="Numbered Paragraphs Char"/>
    <w:basedOn w:val="a0"/>
    <w:link w:val="NumberedParagraphs"/>
    <w:rsid w:val="001536EB"/>
    <w:rPr>
      <w:rFonts w:ascii="Times New Roman" w:eastAsia="SimSun" w:hAnsi="Times New Roman" w:cs="Times New Roman"/>
      <w:sz w:val="26"/>
      <w:szCs w:val="26"/>
      <w:lang w:val="en-GB" w:eastAsia="zh-CN"/>
    </w:rPr>
  </w:style>
  <w:style w:type="paragraph" w:styleId="a5">
    <w:name w:val="List Paragraph"/>
    <w:basedOn w:val="a"/>
    <w:uiPriority w:val="34"/>
    <w:qFormat/>
    <w:rsid w:val="000A00D8"/>
    <w:pPr>
      <w:ind w:left="720"/>
      <w:contextualSpacing/>
    </w:pPr>
  </w:style>
  <w:style w:type="paragraph" w:styleId="a6">
    <w:name w:val="footnote text"/>
    <w:aliases w:val="Fußnotentext Char1,Fußnotentext Char Char, Char Char Char,Char Char Char,Fußnotentext Char1 Char, Char Char1 Char,Char Char1 Char, Char Char1,Char Char1,Fußnotentext Char2,Fußnotentext Char Char Char, Char Char Char Char,Char Char Char Cha"/>
    <w:basedOn w:val="a"/>
    <w:link w:val="a7"/>
    <w:unhideWhenUsed/>
    <w:rsid w:val="000A00D8"/>
    <w:rPr>
      <w:rFonts w:eastAsia="PMingLiU"/>
      <w:sz w:val="20"/>
      <w:szCs w:val="20"/>
      <w:lang w:val="en-US" w:eastAsia="es-ES"/>
    </w:rPr>
  </w:style>
  <w:style w:type="character" w:customStyle="1" w:styleId="a7">
    <w:name w:val="Текст сноски Знак"/>
    <w:aliases w:val="Fußnotentext Char1 Знак,Fußnotentext Char Char Знак, Char Char Char Знак,Char Char Char Знак,Fußnotentext Char1 Char Знак, Char Char1 Char Знак,Char Char1 Char Знак, Char Char1 Знак,Char Char1 Знак,Fußnotentext Char2 Знак"/>
    <w:basedOn w:val="a0"/>
    <w:link w:val="a6"/>
    <w:rsid w:val="000A00D8"/>
    <w:rPr>
      <w:rFonts w:ascii="Times New Roman" w:eastAsia="PMingLiU" w:hAnsi="Times New Roman" w:cs="Times New Roman"/>
      <w:sz w:val="20"/>
      <w:szCs w:val="20"/>
      <w:lang w:val="en-US" w:eastAsia="es-ES"/>
    </w:rPr>
  </w:style>
  <w:style w:type="paragraph" w:styleId="a8">
    <w:name w:val="Subtitle"/>
    <w:basedOn w:val="a"/>
    <w:link w:val="a9"/>
    <w:qFormat/>
    <w:rsid w:val="000A00D8"/>
    <w:pPr>
      <w:spacing w:line="480" w:lineRule="auto"/>
    </w:pPr>
    <w:rPr>
      <w:b/>
    </w:rPr>
  </w:style>
  <w:style w:type="character" w:customStyle="1" w:styleId="a9">
    <w:name w:val="Подзаголовок Знак"/>
    <w:basedOn w:val="a0"/>
    <w:link w:val="a8"/>
    <w:rsid w:val="000A00D8"/>
    <w:rPr>
      <w:rFonts w:ascii="Times New Roman" w:eastAsia="Times New Roman" w:hAnsi="Times New Roman" w:cs="Times New Roman"/>
      <w:b/>
      <w:sz w:val="24"/>
      <w:szCs w:val="24"/>
      <w:lang w:val="en-GB"/>
    </w:rPr>
  </w:style>
  <w:style w:type="character" w:customStyle="1" w:styleId="documentbody1">
    <w:name w:val="documentbody1"/>
    <w:basedOn w:val="a0"/>
    <w:rsid w:val="000A00D8"/>
    <w:rPr>
      <w:rFonts w:ascii="Verdana" w:hAnsi="Verdana" w:hint="default"/>
      <w:sz w:val="19"/>
      <w:szCs w:val="19"/>
    </w:rPr>
  </w:style>
  <w:style w:type="character" w:styleId="aa">
    <w:name w:val="footnote reference"/>
    <w:basedOn w:val="a0"/>
    <w:semiHidden/>
    <w:rsid w:val="00CF2907"/>
    <w:rPr>
      <w:vertAlign w:val="superscript"/>
    </w:rPr>
  </w:style>
  <w:style w:type="character" w:customStyle="1" w:styleId="longtext1">
    <w:name w:val="long_text1"/>
    <w:basedOn w:val="a0"/>
    <w:rsid w:val="00CF2907"/>
    <w:rPr>
      <w:sz w:val="20"/>
      <w:szCs w:val="20"/>
    </w:rPr>
  </w:style>
  <w:style w:type="paragraph" w:styleId="ab">
    <w:name w:val="Normal (Web)"/>
    <w:basedOn w:val="a"/>
    <w:uiPriority w:val="99"/>
    <w:unhideWhenUsed/>
    <w:rsid w:val="00CF2907"/>
    <w:pPr>
      <w:spacing w:before="100" w:beforeAutospacing="1" w:after="100" w:afterAutospacing="1" w:line="288" w:lineRule="auto"/>
      <w:ind w:firstLine="375"/>
    </w:pPr>
    <w:rPr>
      <w:rFonts w:ascii="Arial" w:hAnsi="Arial" w:cs="Arial"/>
      <w:sz w:val="23"/>
      <w:szCs w:val="23"/>
      <w:lang w:val="ru-RU" w:eastAsia="ru-RU"/>
    </w:rPr>
  </w:style>
  <w:style w:type="paragraph" w:styleId="ac">
    <w:name w:val="header"/>
    <w:basedOn w:val="a"/>
    <w:link w:val="ad"/>
    <w:uiPriority w:val="99"/>
    <w:unhideWhenUsed/>
    <w:rsid w:val="00CF2907"/>
    <w:pPr>
      <w:tabs>
        <w:tab w:val="center" w:pos="4677"/>
        <w:tab w:val="right" w:pos="9355"/>
      </w:tabs>
    </w:pPr>
  </w:style>
  <w:style w:type="character" w:customStyle="1" w:styleId="ad">
    <w:name w:val="Верхний колонтитул Знак"/>
    <w:basedOn w:val="a0"/>
    <w:link w:val="ac"/>
    <w:uiPriority w:val="99"/>
    <w:rsid w:val="00CF2907"/>
    <w:rPr>
      <w:rFonts w:ascii="Times New Roman" w:eastAsia="Times New Roman" w:hAnsi="Times New Roman" w:cs="Times New Roman"/>
      <w:sz w:val="24"/>
      <w:szCs w:val="24"/>
      <w:lang w:val="en-GB"/>
    </w:rPr>
  </w:style>
  <w:style w:type="paragraph" w:styleId="ae">
    <w:name w:val="footer"/>
    <w:basedOn w:val="a"/>
    <w:link w:val="af"/>
    <w:uiPriority w:val="99"/>
    <w:semiHidden/>
    <w:unhideWhenUsed/>
    <w:rsid w:val="00CF2907"/>
    <w:pPr>
      <w:tabs>
        <w:tab w:val="center" w:pos="4677"/>
        <w:tab w:val="right" w:pos="9355"/>
      </w:tabs>
    </w:pPr>
  </w:style>
  <w:style w:type="character" w:customStyle="1" w:styleId="af">
    <w:name w:val="Нижний колонтитул Знак"/>
    <w:basedOn w:val="a0"/>
    <w:link w:val="ae"/>
    <w:uiPriority w:val="99"/>
    <w:semiHidden/>
    <w:rsid w:val="00CF290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8365</Words>
  <Characters>47685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55939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4</cp:revision>
  <dcterms:created xsi:type="dcterms:W3CDTF">2010-01-12T22:18:00Z</dcterms:created>
  <dcterms:modified xsi:type="dcterms:W3CDTF">2010-02-04T17:13:00Z</dcterms:modified>
</cp:coreProperties>
</file>