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2"/>
        <w:gridCol w:w="5202"/>
      </w:tblGrid>
      <w:tr w:rsidR="0084107A" w:rsidTr="0084107A">
        <w:tc>
          <w:tcPr>
            <w:tcW w:w="5202" w:type="dxa"/>
          </w:tcPr>
          <w:p w:rsidR="0084107A" w:rsidRPr="0092240B" w:rsidRDefault="0084107A" w:rsidP="0084107A">
            <w:pPr>
              <w:jc w:val="both"/>
              <w:rPr>
                <w:rFonts w:ascii="Times New Roman" w:hAnsi="Times New Roman" w:cs="Times New Roman"/>
                <w:b/>
                <w:color w:val="343434"/>
                <w:lang w:val="en-US"/>
              </w:rPr>
            </w:pPr>
            <w:r w:rsidRPr="0092240B">
              <w:rPr>
                <w:rFonts w:ascii="Times New Roman" w:hAnsi="Times New Roman" w:cs="Times New Roman"/>
                <w:b/>
                <w:color w:val="343434"/>
                <w:lang w:val="en-US"/>
              </w:rPr>
              <w:t>Primary Open-Angle Glaucoma</w:t>
            </w:r>
          </w:p>
          <w:p w:rsidR="0084107A" w:rsidRPr="0092240B" w:rsidRDefault="0084107A" w:rsidP="0084107A">
            <w:pPr>
              <w:jc w:val="both"/>
              <w:rPr>
                <w:rFonts w:ascii="Times New Roman" w:hAnsi="Times New Roman" w:cs="Times New Roman"/>
                <w:color w:val="343434"/>
                <w:lang w:val="en-US"/>
              </w:rPr>
            </w:pPr>
          </w:p>
          <w:p w:rsidR="0084107A" w:rsidRPr="0092240B" w:rsidRDefault="0084107A" w:rsidP="0084107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Primary open-angle glaucoma is described distinctly as a multifactorial optic neuropathy that is chronic and progressive, with a characteristic acquired loss of optic nerve fibers. Such loss develops in the presence of open anterior chamber angles, characteristic visual field abnormalities, and intraocular pressure that </w:t>
            </w:r>
            <w:proofErr w:type="gramStart"/>
            <w:r w:rsidRPr="0092240B">
              <w:rPr>
                <w:rFonts w:ascii="Times New Roman" w:hAnsi="Times New Roman" w:cs="Times New Roman"/>
                <w:lang w:val="en-US"/>
              </w:rPr>
              <w:t>is</w:t>
            </w:r>
            <w:proofErr w:type="gramEnd"/>
            <w:r w:rsidRPr="0092240B">
              <w:rPr>
                <w:rFonts w:ascii="Times New Roman" w:hAnsi="Times New Roman" w:cs="Times New Roman"/>
                <w:lang w:val="en-US"/>
              </w:rPr>
              <w:t xml:space="preserve"> too high for the continued health of the eye. It manifests by cupping and atrophy of the optic disc, in the absence of other known causes of glaucomatous disease.</w:t>
            </w:r>
          </w:p>
          <w:p w:rsidR="0084107A" w:rsidRPr="0092240B" w:rsidRDefault="0084107A" w:rsidP="0084107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4107A" w:rsidRPr="0092240B" w:rsidRDefault="0084107A" w:rsidP="0084107A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240B">
              <w:rPr>
                <w:rFonts w:ascii="Times New Roman" w:hAnsi="Times New Roman" w:cs="Times New Roman"/>
                <w:b/>
                <w:bCs/>
                <w:lang w:val="en-US"/>
              </w:rPr>
              <w:t>Signs and symptoms</w:t>
            </w:r>
          </w:p>
          <w:p w:rsidR="0084107A" w:rsidRPr="0092240B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Because of the silent nature of glaucoma, patients usually don’t present with any symptoms or visual complaints until late in the disease course, particularly with primary open-angle glaucoma. However, narrow/closed-angle glaucoma and secondary </w:t>
            </w: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glaucomas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 xml:space="preserve"> can cause rapid closure of the trabecular meshwork, with an equally rapid rise in intraocular pressure, which is usually symptomatic, particularly when intraocular pressure is 35 mm Hg or more.</w:t>
            </w:r>
          </w:p>
          <w:p w:rsidR="0084107A" w:rsidRPr="0092240B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>Significant attention should be given to the following in the patient’s clinical history: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Past ocular history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Previous ocular surgery, including photocoagulation or refractive procedures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Ocular/head trauma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Past medical history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Current medications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>Risk factors for glaucomatous optic neuropathy</w:t>
            </w:r>
          </w:p>
          <w:p w:rsidR="0084107A" w:rsidRPr="0092240B" w:rsidRDefault="0084107A" w:rsidP="0084107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4107A" w:rsidRDefault="0084107A" w:rsidP="00841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4107A" w:rsidRDefault="0084107A" w:rsidP="00841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4107A" w:rsidRDefault="0084107A" w:rsidP="00841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4107A" w:rsidRDefault="0084107A" w:rsidP="00841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4107A" w:rsidRDefault="0084107A" w:rsidP="00841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4107A" w:rsidRDefault="0084107A" w:rsidP="00841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4107A" w:rsidRDefault="0084107A" w:rsidP="00841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4107A" w:rsidRPr="0092240B" w:rsidRDefault="0084107A" w:rsidP="0084107A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240B">
              <w:rPr>
                <w:rFonts w:ascii="Times New Roman" w:hAnsi="Times New Roman" w:cs="Times New Roman"/>
                <w:b/>
                <w:bCs/>
                <w:lang w:val="en-US"/>
              </w:rPr>
              <w:t>Management</w:t>
            </w:r>
          </w:p>
          <w:p w:rsidR="0084107A" w:rsidRPr="0092240B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Current medical therapy for primary open-angle glaucoma is limited toward lowering intraocular pressure. A rational approach to choosing </w:t>
            </w: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antiglaucoma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 xml:space="preserve"> medications should minimize the number of medications and the probability of significant adverse effects.</w:t>
            </w:r>
          </w:p>
          <w:p w:rsidR="0084107A" w:rsidRPr="0092240B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>If one medication is not adequate in reaching the target pressure, a second medication should be chosen that has a different mechanism of action, so that the 2 drug therapies will have an additive effect.</w:t>
            </w:r>
          </w:p>
          <w:p w:rsidR="0084107A" w:rsidRPr="0092240B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84107A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4107A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4107A" w:rsidRPr="0092240B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i/>
                <w:iCs/>
                <w:lang w:val="en-US"/>
              </w:rPr>
              <w:t>Pharmacotherapy</w:t>
            </w:r>
          </w:p>
          <w:p w:rsidR="0084107A" w:rsidRPr="0092240B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>Medications used in the management of primary open-angle glaucoma include the following: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Beta-adrenergic blockers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Adrenergic agonists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Less-selective </w:t>
            </w: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sympathomimetics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Carbonic anhydrase inhibitors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Beta-blocker/carbonic anhydrase inhibitor combination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Prostaglandin analogs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Miotic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 xml:space="preserve"> agents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Hyperosmotic agents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Beta-blocker/alpha agonist combination </w:t>
            </w:r>
          </w:p>
          <w:p w:rsidR="0084107A" w:rsidRPr="0092240B" w:rsidRDefault="0084107A" w:rsidP="008410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4107A" w:rsidRDefault="0084107A" w:rsidP="0084107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</w:p>
          <w:p w:rsidR="0084107A" w:rsidRPr="0092240B" w:rsidRDefault="0084107A" w:rsidP="0084107A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2240B">
              <w:rPr>
                <w:rFonts w:ascii="Times New Roman" w:hAnsi="Times New Roman" w:cs="Times New Roman"/>
                <w:i/>
                <w:iCs/>
                <w:lang w:val="en-US"/>
              </w:rPr>
              <w:t>Surgery</w:t>
            </w:r>
          </w:p>
          <w:p w:rsidR="0084107A" w:rsidRPr="0092240B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>Surgery is indicated in primary open-angle glaucoma when glaucomatous optic neuropathy worsens (or is expected to worsen) at any given level of intraocular pressure and the patient is on maximum tolerated medical therapy.</w:t>
            </w:r>
          </w:p>
          <w:p w:rsidR="0084107A" w:rsidRPr="0092240B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>The following are surgical options that may be used for primary open-angle glaucoma: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Argon laser </w:t>
            </w: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trabeculoplasty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Selective laser </w:t>
            </w: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trabeculoplasty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Trabeculectomy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>Drainage implant (</w:t>
            </w: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ie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seton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 xml:space="preserve">/tube/shunt) surgery </w:t>
            </w:r>
          </w:p>
          <w:p w:rsidR="0084107A" w:rsidRPr="0092240B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Ciliary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 xml:space="preserve"> body ablation </w:t>
            </w:r>
          </w:p>
          <w:p w:rsidR="0084107A" w:rsidRPr="0092240B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>Newer techniques that hold potential as surgical options in primary open-angle glaucoma include the following:</w:t>
            </w:r>
          </w:p>
          <w:p w:rsidR="0084107A" w:rsidRPr="0084107A" w:rsidRDefault="0084107A" w:rsidP="0084107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40B">
              <w:rPr>
                <w:rFonts w:ascii="Times New Roman" w:hAnsi="Times New Roman" w:cs="Times New Roman"/>
                <w:lang w:val="en-US"/>
              </w:rPr>
              <w:t xml:space="preserve">Deep </w:t>
            </w: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sclerectomy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2240B">
              <w:rPr>
                <w:rFonts w:ascii="Times New Roman" w:hAnsi="Times New Roman" w:cs="Times New Roman"/>
                <w:lang w:val="en-US"/>
              </w:rPr>
              <w:t>viscocanalostomy</w:t>
            </w:r>
            <w:proofErr w:type="spellEnd"/>
            <w:r w:rsidRPr="0092240B">
              <w:rPr>
                <w:rFonts w:ascii="Times New Roman" w:hAnsi="Times New Roman" w:cs="Times New Roman"/>
                <w:lang w:val="en-US"/>
              </w:rPr>
              <w:t>/with or without collagen implant</w:t>
            </w:r>
            <w:r w:rsidRPr="008410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107A" w:rsidRPr="0084107A" w:rsidRDefault="0084107A" w:rsidP="0084107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107A">
              <w:rPr>
                <w:rFonts w:ascii="Times New Roman" w:hAnsi="Times New Roman" w:cs="Times New Roman"/>
                <w:lang w:val="en-US"/>
              </w:rPr>
              <w:t xml:space="preserve">360-degree suture </w:t>
            </w:r>
            <w:proofErr w:type="spellStart"/>
            <w:r w:rsidRPr="0084107A">
              <w:rPr>
                <w:rFonts w:ascii="Times New Roman" w:hAnsi="Times New Roman" w:cs="Times New Roman"/>
                <w:lang w:val="en-US"/>
              </w:rPr>
              <w:t>canaloplasty</w:t>
            </w:r>
            <w:proofErr w:type="spellEnd"/>
          </w:p>
          <w:p w:rsidR="0084107A" w:rsidRDefault="0084107A" w:rsidP="00753C0E">
            <w:pPr>
              <w:jc w:val="both"/>
              <w:rPr>
                <w:rFonts w:ascii="Times New Roman" w:hAnsi="Times New Roman" w:cs="Times New Roman"/>
                <w:b/>
                <w:color w:val="343434"/>
              </w:rPr>
            </w:pPr>
          </w:p>
        </w:tc>
        <w:tc>
          <w:tcPr>
            <w:tcW w:w="5202" w:type="dxa"/>
          </w:tcPr>
          <w:p w:rsidR="0084107A" w:rsidRPr="00753C0E" w:rsidRDefault="0084107A" w:rsidP="0084107A">
            <w:pPr>
              <w:jc w:val="both"/>
              <w:rPr>
                <w:rFonts w:ascii="Times New Roman" w:hAnsi="Times New Roman" w:cs="Times New Roman"/>
                <w:b/>
                <w:color w:val="343434"/>
              </w:rPr>
            </w:pPr>
            <w:r w:rsidRPr="00753C0E">
              <w:rPr>
                <w:rFonts w:ascii="Times New Roman" w:hAnsi="Times New Roman" w:cs="Times New Roman"/>
                <w:b/>
                <w:color w:val="343434"/>
              </w:rPr>
              <w:lastRenderedPageBreak/>
              <w:t xml:space="preserve">Первичная </w:t>
            </w:r>
            <w:proofErr w:type="spellStart"/>
            <w:r w:rsidRPr="00753C0E">
              <w:rPr>
                <w:rFonts w:ascii="Times New Roman" w:hAnsi="Times New Roman" w:cs="Times New Roman"/>
                <w:b/>
                <w:color w:val="343434"/>
              </w:rPr>
              <w:t>открытоугольная</w:t>
            </w:r>
            <w:proofErr w:type="spellEnd"/>
            <w:r w:rsidRPr="00753C0E">
              <w:rPr>
                <w:rFonts w:ascii="Times New Roman" w:hAnsi="Times New Roman" w:cs="Times New Roman"/>
                <w:b/>
                <w:color w:val="343434"/>
              </w:rPr>
              <w:t xml:space="preserve"> глаукома</w:t>
            </w:r>
          </w:p>
          <w:p w:rsidR="0084107A" w:rsidRPr="00753C0E" w:rsidRDefault="0084107A" w:rsidP="0084107A">
            <w:pPr>
              <w:jc w:val="both"/>
              <w:rPr>
                <w:rFonts w:ascii="Times New Roman" w:hAnsi="Times New Roman" w:cs="Times New Roman"/>
                <w:color w:val="343434"/>
              </w:rPr>
            </w:pPr>
          </w:p>
          <w:p w:rsidR="0084107A" w:rsidRPr="00753C0E" w:rsidRDefault="0084107A" w:rsidP="0084107A">
            <w:pPr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Первичная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открытоугольная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глаукома может быть отчетливо описана как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мультифакториальная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невропатия зрительного нерва, которая бывает хронической и прогрессивной, с характерным разрушением волокон зрительного нерва.  Такого рода разрушение возникает </w:t>
            </w:r>
            <w:r>
              <w:rPr>
                <w:rFonts w:ascii="Times New Roman" w:hAnsi="Times New Roman" w:cs="Times New Roman"/>
              </w:rPr>
              <w:t>на фоне</w:t>
            </w:r>
            <w:r w:rsidRPr="00753C0E">
              <w:rPr>
                <w:rFonts w:ascii="Times New Roman" w:hAnsi="Times New Roman" w:cs="Times New Roman"/>
              </w:rPr>
              <w:t xml:space="preserve"> откры</w:t>
            </w:r>
            <w:r>
              <w:rPr>
                <w:rFonts w:ascii="Times New Roman" w:hAnsi="Times New Roman" w:cs="Times New Roman"/>
              </w:rPr>
              <w:t xml:space="preserve">того УПК (угол передней камеры) при </w:t>
            </w:r>
            <w:r w:rsidRPr="00753C0E">
              <w:rPr>
                <w:rFonts w:ascii="Times New Roman" w:hAnsi="Times New Roman" w:cs="Times New Roman"/>
              </w:rPr>
              <w:t>дефектах поля зрения и чрезмерно высоком внутриглазном давлении,</w:t>
            </w:r>
            <w:r>
              <w:rPr>
                <w:rFonts w:ascii="Times New Roman" w:hAnsi="Times New Roman" w:cs="Times New Roman"/>
              </w:rPr>
              <w:t xml:space="preserve"> угрожающим здоровью глаза</w:t>
            </w:r>
            <w:r w:rsidRPr="00753C0E">
              <w:rPr>
                <w:rFonts w:ascii="Times New Roman" w:hAnsi="Times New Roman" w:cs="Times New Roman"/>
              </w:rPr>
              <w:t xml:space="preserve">.  Глаукома проявляется экскавацией и атрофией диска зрительного нерва при отсутствии других известных причин. </w:t>
            </w:r>
          </w:p>
          <w:p w:rsidR="0084107A" w:rsidRPr="00753C0E" w:rsidRDefault="0084107A" w:rsidP="0084107A">
            <w:pPr>
              <w:jc w:val="both"/>
              <w:rPr>
                <w:rFonts w:ascii="Times New Roman" w:hAnsi="Times New Roman" w:cs="Times New Roman"/>
              </w:rPr>
            </w:pPr>
          </w:p>
          <w:p w:rsidR="0084107A" w:rsidRPr="00753C0E" w:rsidRDefault="0084107A" w:rsidP="00841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C0E">
              <w:rPr>
                <w:rFonts w:ascii="Times New Roman" w:hAnsi="Times New Roman" w:cs="Times New Roman"/>
                <w:b/>
                <w:bCs/>
              </w:rPr>
              <w:t>Признаки и симптомы</w:t>
            </w:r>
          </w:p>
          <w:p w:rsidR="0084107A" w:rsidRPr="00753C0E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В силу бессимптомного протекания глаукомы, обычно пациенты не жалуются на какие-либо проблемы со зрением вплоть до последней стадии заболевания, особенно при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открытоугольной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глаукоме.   Однако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75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закрытоугольная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глаукома и вторичные виды глаукомы могут привести к мгновенному </w:t>
            </w:r>
            <w:r>
              <w:rPr>
                <w:rFonts w:ascii="Times New Roman" w:hAnsi="Times New Roman" w:cs="Times New Roman"/>
              </w:rPr>
              <w:t xml:space="preserve">закупориванию </w:t>
            </w:r>
            <w:proofErr w:type="spellStart"/>
            <w:r>
              <w:rPr>
                <w:rFonts w:ascii="Times New Roman" w:hAnsi="Times New Roman" w:cs="Times New Roman"/>
              </w:rPr>
              <w:t>трабекулярной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</w:t>
            </w:r>
            <w:r w:rsidRPr="00753C0E">
              <w:rPr>
                <w:rFonts w:ascii="Times New Roman" w:hAnsi="Times New Roman" w:cs="Times New Roman"/>
              </w:rPr>
              <w:t>и,</w:t>
            </w:r>
            <w:r>
              <w:rPr>
                <w:rFonts w:ascii="Times New Roman" w:hAnsi="Times New Roman" w:cs="Times New Roman"/>
              </w:rPr>
              <w:t xml:space="preserve"> что влечет за собой </w:t>
            </w:r>
            <w:r w:rsidRPr="00753C0E">
              <w:rPr>
                <w:rFonts w:ascii="Times New Roman" w:hAnsi="Times New Roman" w:cs="Times New Roman"/>
              </w:rPr>
              <w:t>резкое повышение внутриглазного давления, чаще всего симптоматическое, достигающее 35 мм рт. ст. или больше.</w:t>
            </w:r>
          </w:p>
          <w:p w:rsidR="0084107A" w:rsidRPr="00753C0E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анамнезе</w:t>
            </w:r>
            <w:r w:rsidRPr="00753C0E">
              <w:rPr>
                <w:rFonts w:ascii="Times New Roman" w:hAnsi="Times New Roman" w:cs="Times New Roman"/>
              </w:rPr>
              <w:t xml:space="preserve"> пациента следует обратить особое внимание на следующие моменты: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История заболевания глаз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>Предыдущие операции на г</w:t>
            </w:r>
            <w:r>
              <w:rPr>
                <w:rFonts w:ascii="Times New Roman" w:hAnsi="Times New Roman" w:cs="Times New Roman"/>
              </w:rPr>
              <w:t>лазах</w:t>
            </w:r>
            <w:r w:rsidRPr="00753C0E">
              <w:rPr>
                <w:rFonts w:ascii="Times New Roman" w:hAnsi="Times New Roman" w:cs="Times New Roman"/>
              </w:rPr>
              <w:t xml:space="preserve">, включая </w:t>
            </w:r>
            <w:proofErr w:type="spellStart"/>
            <w:r w:rsidRPr="00753C0E">
              <w:rPr>
                <w:rFonts w:ascii="Times New Roman" w:hAnsi="Times New Roman" w:cs="Times New Roman"/>
              </w:rPr>
              <w:t>фотокоагуляцию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или рефракционные операции 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Травма глаз\головы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Сведения о перенесенных заболеваниях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Сведения о текущем приеме лекарственных препаратов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Факторы риска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глаукоматозной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оптической невропатии</w:t>
            </w:r>
          </w:p>
          <w:p w:rsidR="0084107A" w:rsidRPr="00753C0E" w:rsidRDefault="0084107A" w:rsidP="0084107A">
            <w:pPr>
              <w:jc w:val="both"/>
              <w:rPr>
                <w:rFonts w:ascii="Times New Roman" w:hAnsi="Times New Roman" w:cs="Times New Roman"/>
              </w:rPr>
            </w:pPr>
          </w:p>
          <w:p w:rsidR="0084107A" w:rsidRPr="00753C0E" w:rsidRDefault="0084107A" w:rsidP="00841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C0E">
              <w:rPr>
                <w:rFonts w:ascii="Times New Roman" w:hAnsi="Times New Roman" w:cs="Times New Roman"/>
                <w:b/>
                <w:bCs/>
              </w:rPr>
              <w:t>Лечение</w:t>
            </w:r>
          </w:p>
          <w:p w:rsidR="0084107A" w:rsidRPr="00753C0E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Современная тактика лечения первичной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открытоугольн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глаукомы ограничивается медиц</w:t>
            </w:r>
            <w:r w:rsidRPr="00753C0E">
              <w:rPr>
                <w:rFonts w:ascii="Times New Roman" w:hAnsi="Times New Roman" w:cs="Times New Roman"/>
              </w:rPr>
              <w:t xml:space="preserve">инскими процедурами, направленными на понижение внутриглазного давления.  Рациональный подход в выборе препаратов для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антиглаукоматозной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терапии должен минимизировать количество применяемых препаратов и снизить вероятность возникновения побочных эффектов.</w:t>
            </w:r>
          </w:p>
          <w:p w:rsidR="0084107A" w:rsidRPr="00753C0E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>В случае если одному препарату не удается снизить давление, следует выбрать еще один препарат с другим механизмом действия, чтобы эти два препарата дополняли друг друга.</w:t>
            </w:r>
          </w:p>
          <w:p w:rsidR="0084107A" w:rsidRPr="00753C0E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4107A" w:rsidRPr="00753C0E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  <w:i/>
                <w:iCs/>
              </w:rPr>
              <w:t>Фармакотерапия</w:t>
            </w:r>
          </w:p>
          <w:p w:rsidR="0084107A" w:rsidRPr="00753C0E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Для лечения первичной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открытоугольной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глаукомы применяются следующие препараты: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Бета-адреноблокаторы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C0E">
              <w:rPr>
                <w:rFonts w:ascii="Times New Roman" w:hAnsi="Times New Roman" w:cs="Times New Roman"/>
              </w:rPr>
              <w:t>Адреномиметики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Неселективные симпатомиметики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Ингибиторы карбоангидразы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Комбинация из бета-блокаторов и ингибиторов карбоангидразы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Аналоги простагландинов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Миотики</w:t>
            </w:r>
            <w:proofErr w:type="spellEnd"/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Гиперосмотические препараты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Комбинация из бета-блокаторов и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адреномиметиков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</w:t>
            </w:r>
          </w:p>
          <w:p w:rsidR="0084107A" w:rsidRPr="00753C0E" w:rsidRDefault="0084107A" w:rsidP="008410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84107A" w:rsidRPr="00753C0E" w:rsidRDefault="0084107A" w:rsidP="0084107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53C0E">
              <w:rPr>
                <w:rFonts w:ascii="Times New Roman" w:hAnsi="Times New Roman" w:cs="Times New Roman"/>
                <w:i/>
                <w:iCs/>
              </w:rPr>
              <w:t>Хирургический подход</w:t>
            </w:r>
          </w:p>
          <w:p w:rsidR="0084107A" w:rsidRPr="00753C0E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Хирургическую операцию при открытой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открытоугольной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глаукоме назначают, когда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глаукоматозная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оптическая невропатия ухудшается (или есть такая вероятность) при любых значениях внутриглазного давления, а пациент находится на стадии максимально переносимого медикаментозного лечения.</w:t>
            </w:r>
          </w:p>
          <w:p w:rsidR="0084107A" w:rsidRPr="00753C0E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Существует несколько хирургических вариантов для лечения первичной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открытоугольной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глаукомы: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Аргоновая лазерная </w:t>
            </w:r>
            <w:proofErr w:type="spellStart"/>
            <w:r w:rsidRPr="00753C0E">
              <w:rPr>
                <w:rFonts w:ascii="Times New Roman" w:hAnsi="Times New Roman" w:cs="Times New Roman"/>
              </w:rPr>
              <w:t>трабекулоп</w:t>
            </w:r>
            <w:r>
              <w:rPr>
                <w:rFonts w:ascii="Times New Roman" w:hAnsi="Times New Roman" w:cs="Times New Roman"/>
              </w:rPr>
              <w:t>ластика</w:t>
            </w:r>
            <w:proofErr w:type="spellEnd"/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>Селект</w:t>
            </w:r>
            <w:r>
              <w:rPr>
                <w:rFonts w:ascii="Times New Roman" w:hAnsi="Times New Roman" w:cs="Times New Roman"/>
              </w:rPr>
              <w:t xml:space="preserve">ивная лазерная </w:t>
            </w:r>
            <w:proofErr w:type="spellStart"/>
            <w:r>
              <w:rPr>
                <w:rFonts w:ascii="Times New Roman" w:hAnsi="Times New Roman" w:cs="Times New Roman"/>
              </w:rPr>
              <w:t>трабекулопластика</w:t>
            </w:r>
            <w:proofErr w:type="spellEnd"/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C0E">
              <w:rPr>
                <w:rFonts w:ascii="Times New Roman" w:hAnsi="Times New Roman" w:cs="Times New Roman"/>
              </w:rPr>
              <w:t>Трабекулэктомия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>Введение дренажных имплантатов (</w:t>
            </w:r>
            <w:r>
              <w:rPr>
                <w:rFonts w:ascii="Times New Roman" w:hAnsi="Times New Roman" w:cs="Times New Roman"/>
              </w:rPr>
              <w:t>лигатура</w:t>
            </w:r>
            <w:r w:rsidRPr="00753C0E">
              <w:rPr>
                <w:rFonts w:ascii="Times New Roman" w:hAnsi="Times New Roman" w:cs="Times New Roman"/>
              </w:rPr>
              <w:t xml:space="preserve">, трубка, шунт) </w:t>
            </w:r>
          </w:p>
          <w:p w:rsidR="0084107A" w:rsidRPr="00753C0E" w:rsidRDefault="0084107A" w:rsidP="008410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Деструкция цилиарного тела </w:t>
            </w:r>
          </w:p>
          <w:p w:rsidR="0084107A" w:rsidRPr="00753C0E" w:rsidRDefault="0084107A" w:rsidP="0084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C0E">
              <w:rPr>
                <w:rFonts w:ascii="Times New Roman" w:hAnsi="Times New Roman" w:cs="Times New Roman"/>
              </w:rPr>
              <w:t xml:space="preserve">Сейчас есть ряд операций, способных потенциально заменить </w:t>
            </w:r>
            <w:proofErr w:type="gramStart"/>
            <w:r w:rsidRPr="00753C0E">
              <w:rPr>
                <w:rFonts w:ascii="Times New Roman" w:hAnsi="Times New Roman" w:cs="Times New Roman"/>
              </w:rPr>
              <w:t>вышеуказанные</w:t>
            </w:r>
            <w:proofErr w:type="gramEnd"/>
            <w:r w:rsidRPr="00753C0E">
              <w:rPr>
                <w:rFonts w:ascii="Times New Roman" w:hAnsi="Times New Roman" w:cs="Times New Roman"/>
              </w:rPr>
              <w:t>:</w:t>
            </w:r>
          </w:p>
          <w:p w:rsidR="0084107A" w:rsidRDefault="0084107A" w:rsidP="0084107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3C0E">
              <w:rPr>
                <w:rFonts w:ascii="Times New Roman" w:hAnsi="Times New Roman" w:cs="Times New Roman"/>
              </w:rPr>
              <w:t>Глубокая</w:t>
            </w:r>
            <w:proofErr w:type="gramEnd"/>
            <w:r w:rsidRPr="0075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C0E">
              <w:rPr>
                <w:rFonts w:ascii="Times New Roman" w:hAnsi="Times New Roman" w:cs="Times New Roman"/>
              </w:rPr>
              <w:t>склерэктомия</w:t>
            </w:r>
            <w:proofErr w:type="spellEnd"/>
            <w:r w:rsidRPr="00753C0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53C0E">
              <w:rPr>
                <w:rFonts w:ascii="Times New Roman" w:hAnsi="Times New Roman" w:cs="Times New Roman"/>
              </w:rPr>
              <w:t>вискоканало</w:t>
            </w:r>
            <w:r>
              <w:rPr>
                <w:rFonts w:ascii="Times New Roman" w:hAnsi="Times New Roman" w:cs="Times New Roman"/>
              </w:rPr>
              <w:t>стомия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с/без введения коллагенового имплантата</w:t>
            </w:r>
          </w:p>
          <w:p w:rsidR="0084107A" w:rsidRPr="00F31110" w:rsidRDefault="0084107A" w:rsidP="0084107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31110">
              <w:rPr>
                <w:rFonts w:ascii="Times New Roman" w:hAnsi="Times New Roman" w:cs="Times New Roman"/>
              </w:rPr>
              <w:t xml:space="preserve">руговая сшивающая </w:t>
            </w:r>
            <w:proofErr w:type="spellStart"/>
            <w:r w:rsidRPr="00F31110">
              <w:rPr>
                <w:rFonts w:ascii="Times New Roman" w:hAnsi="Times New Roman" w:cs="Times New Roman"/>
              </w:rPr>
              <w:t>каналопластика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07A" w:rsidRDefault="0084107A" w:rsidP="00753C0E">
            <w:pPr>
              <w:jc w:val="both"/>
              <w:rPr>
                <w:rFonts w:ascii="Times New Roman" w:hAnsi="Times New Roman" w:cs="Times New Roman"/>
                <w:b/>
                <w:color w:val="343434"/>
              </w:rPr>
            </w:pPr>
          </w:p>
        </w:tc>
      </w:tr>
    </w:tbl>
    <w:p w:rsidR="00970628" w:rsidRPr="00F31110" w:rsidRDefault="00970628" w:rsidP="0084107A">
      <w:pPr>
        <w:jc w:val="both"/>
        <w:rPr>
          <w:rFonts w:ascii="Times New Roman" w:hAnsi="Times New Roman" w:cs="Times New Roman"/>
        </w:rPr>
      </w:pPr>
    </w:p>
    <w:sectPr w:rsidR="00970628" w:rsidRPr="00F31110" w:rsidSect="00D025BF">
      <w:pgSz w:w="11900" w:h="16840"/>
      <w:pgMar w:top="720" w:right="720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8CBC83A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40B"/>
    <w:rsid w:val="001F1BA0"/>
    <w:rsid w:val="0024051C"/>
    <w:rsid w:val="002A6D32"/>
    <w:rsid w:val="002D7E6E"/>
    <w:rsid w:val="00545611"/>
    <w:rsid w:val="005920C0"/>
    <w:rsid w:val="00753C0E"/>
    <w:rsid w:val="0084107A"/>
    <w:rsid w:val="0092240B"/>
    <w:rsid w:val="00970628"/>
    <w:rsid w:val="009D4F3D"/>
    <w:rsid w:val="00A237BF"/>
    <w:rsid w:val="00B13B4C"/>
    <w:rsid w:val="00C32ACA"/>
    <w:rsid w:val="00CA644A"/>
    <w:rsid w:val="00D025BF"/>
    <w:rsid w:val="00E92BA5"/>
    <w:rsid w:val="00F31110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0E"/>
    <w:pPr>
      <w:ind w:left="720"/>
      <w:contextualSpacing/>
    </w:pPr>
  </w:style>
  <w:style w:type="table" w:styleId="a4">
    <w:name w:val="Table Grid"/>
    <w:basedOn w:val="a1"/>
    <w:uiPriority w:val="59"/>
    <w:rsid w:val="0084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Mushtuk</dc:creator>
  <cp:lastModifiedBy>Богдан</cp:lastModifiedBy>
  <cp:revision>3</cp:revision>
  <dcterms:created xsi:type="dcterms:W3CDTF">2016-12-14T12:21:00Z</dcterms:created>
  <dcterms:modified xsi:type="dcterms:W3CDTF">2016-12-14T12:44:00Z</dcterms:modified>
</cp:coreProperties>
</file>