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4D0B3A8B">
      <w:pPr>
        <w:pStyle w:val="2"/>
        <w:bidi w:val="0"/>
        <w:rPr>
          <w:rFonts w:hint="default"/>
          <w:color w:val="44546A" w:themeColor="text2"/>
          <w14:textFill>
            <w14:solidFill>
              <w14:schemeClr w14:val="tx2"/>
            </w14:solidFill>
          </w14:textFill>
        </w:rPr>
      </w:pPr>
      <w:r>
        <w:rPr>
          <w:rFonts w:hint="default"/>
          <w:color w:val="44546A" w:themeColor="text2"/>
          <w14:textFill>
            <w14:solidFill>
              <w14:schemeClr w14:val="tx2"/>
            </w14:solidFill>
          </w14:textFill>
        </w:rPr>
        <w:t>Ґрунтовка акрилатна Mitol Parketolit PR15 5</w:t>
      </w:r>
      <w:r>
        <w:rPr>
          <w:rFonts w:hint="default"/>
          <w:color w:val="44546A" w:themeColor="text2"/>
          <w:lang w:val="uk-UA"/>
          <w14:textFill>
            <w14:solidFill>
              <w14:schemeClr w14:val="tx2"/>
            </w14:solidFill>
          </w14:textFill>
        </w:rPr>
        <w:t>-</w:t>
      </w:r>
      <w:r>
        <w:rPr>
          <w:rFonts w:hint="default"/>
          <w:color w:val="44546A" w:themeColor="text2"/>
          <w14:textFill>
            <w14:solidFill>
              <w14:schemeClr w14:val="tx2"/>
            </w14:solidFill>
          </w14:textFill>
        </w:rPr>
        <w:t>кг (Універсальний дисперсійний праймер)</w:t>
      </w:r>
    </w:p>
    <w:p w14:paraId="4B3B9BB5">
      <w:pPr>
        <w:rPr>
          <w:rFonts w:hint="default"/>
        </w:rPr>
      </w:pPr>
      <w:r>
        <w:rPr>
          <w:rFonts w:hint="default"/>
          <w:b/>
          <w:bCs/>
        </w:rPr>
        <w:t>Mitol</w:t>
      </w:r>
      <w:r>
        <w:rPr>
          <w:rFonts w:hint="default"/>
          <w:b/>
          <w:bCs/>
          <w:lang w:val="uk-UA"/>
        </w:rPr>
        <w:t xml:space="preserve"> </w:t>
      </w:r>
      <w:r>
        <w:rPr>
          <w:rFonts w:hint="default"/>
          <w:b/>
          <w:bCs/>
        </w:rPr>
        <w:t xml:space="preserve">Parketolit PR15 </w:t>
      </w:r>
      <w:r>
        <w:rPr>
          <w:rFonts w:hint="default"/>
        </w:rPr>
        <w:t>— ґрунтовка на основі акрилатної дисперсії, яка не містить розчинників та готова до використання. Засіб зміцнює та знепилює поверхню, нормалізує пористість</w:t>
      </w:r>
      <w:r>
        <w:rPr>
          <w:rFonts w:hint="default"/>
          <w:lang w:val="uk-UA"/>
        </w:rPr>
        <w:t>,</w:t>
      </w:r>
      <w:r>
        <w:rPr>
          <w:rFonts w:hint="default"/>
        </w:rPr>
        <w:t xml:space="preserve"> запобігає надмірному всмоктуванню вологи. Завдяки глибокому проникненню в основу забезпечує максимальну адгезію клею та довговічність покриття.</w:t>
      </w:r>
    </w:p>
    <w:p w14:paraId="27F3C59D">
      <w:pPr>
        <w:pStyle w:val="4"/>
        <w:bidi w:val="0"/>
        <w:rPr>
          <w:rFonts w:hint="default"/>
          <w:color w:val="44546A" w:themeColor="text2"/>
          <w:lang w:val="uk-UA"/>
          <w14:textFill>
            <w14:solidFill>
              <w14:schemeClr w14:val="tx2"/>
            </w14:solidFill>
          </w14:textFill>
        </w:rPr>
      </w:pPr>
      <w:r>
        <w:rPr>
          <w:rFonts w:hint="default"/>
          <w:color w:val="44546A" w:themeColor="text2"/>
          <w14:textFill>
            <w14:solidFill>
              <w14:schemeClr w14:val="tx2"/>
            </w14:solidFill>
          </w14:textFill>
        </w:rPr>
        <w:t>Особливості застосування</w:t>
      </w:r>
      <w:r>
        <w:rPr>
          <w:rFonts w:hint="default"/>
          <w:color w:val="44546A" w:themeColor="text2"/>
          <w:lang w:val="uk-UA"/>
          <w14:textFill>
            <w14:solidFill>
              <w14:schemeClr w14:val="tx2"/>
            </w14:solidFill>
          </w14:textFill>
        </w:rPr>
        <w:t>:</w:t>
      </w:r>
    </w:p>
    <w:p w14:paraId="4DCFCE48">
      <w:pPr>
        <w:numPr>
          <w:ilvl w:val="0"/>
          <w:numId w:val="11"/>
        </w:numPr>
        <w:ind w:left="420" w:leftChars="0" w:hanging="420" w:firstLineChars="0"/>
        <w:rPr>
          <w:rFonts w:hint="default"/>
        </w:rPr>
      </w:pPr>
      <w:r>
        <w:rPr>
          <w:rFonts w:hint="default"/>
        </w:rPr>
        <w:t>підходить для підготовки основи перед нанесенням усіх видів клеїв;</w:t>
      </w:r>
    </w:p>
    <w:p w14:paraId="068430A1">
      <w:pPr>
        <w:numPr>
          <w:ilvl w:val="0"/>
          <w:numId w:val="11"/>
        </w:numPr>
        <w:ind w:left="420" w:leftChars="0" w:hanging="420" w:firstLineChars="0"/>
        <w:rPr>
          <w:rFonts w:hint="default"/>
          <w:lang w:val="uk-UA"/>
        </w:rPr>
      </w:pPr>
      <w:r>
        <w:rPr>
          <w:rFonts w:hint="default"/>
        </w:rPr>
        <w:t>рекомендовано для паркет</w:t>
      </w:r>
      <w:r>
        <w:rPr>
          <w:rFonts w:hint="default"/>
          <w:lang w:val="uk-UA"/>
        </w:rPr>
        <w:t xml:space="preserve">них, текстильних </w:t>
      </w:r>
      <w:r>
        <w:rPr>
          <w:rFonts w:hint="default"/>
        </w:rPr>
        <w:t>покриттів</w:t>
      </w:r>
      <w:r>
        <w:rPr>
          <w:rFonts w:hint="default"/>
          <w:lang w:val="uk-UA"/>
        </w:rPr>
        <w:t>, лінолеуму</w:t>
      </w:r>
      <w:r>
        <w:rPr>
          <w:rFonts w:hint="default"/>
        </w:rPr>
        <w:t>;</w:t>
      </w:r>
    </w:p>
    <w:p w14:paraId="52E17B78">
      <w:pPr>
        <w:numPr>
          <w:ilvl w:val="0"/>
          <w:numId w:val="11"/>
        </w:numPr>
        <w:ind w:left="420" w:leftChars="0" w:hanging="420" w:firstLineChars="0"/>
        <w:rPr>
          <w:rFonts w:hint="default"/>
        </w:rPr>
      </w:pPr>
      <w:r>
        <w:rPr>
          <w:rFonts w:hint="default"/>
          <w:lang w:val="uk-UA"/>
        </w:rPr>
        <w:t>в</w:t>
      </w:r>
      <w:r>
        <w:rPr>
          <w:rFonts w:hint="default"/>
        </w:rPr>
        <w:t>итрата</w:t>
      </w:r>
      <w:r>
        <w:rPr>
          <w:rFonts w:hint="default"/>
          <w:lang w:val="uk-UA"/>
        </w:rPr>
        <w:t xml:space="preserve"> засобу залежить від виду й пористості поверхні</w:t>
      </w:r>
      <w:r>
        <w:rPr>
          <w:rFonts w:hint="default"/>
        </w:rPr>
        <w:t>: 100–300 г/м²</w:t>
      </w:r>
      <w:r>
        <w:rPr>
          <w:rFonts w:hint="default"/>
          <w:lang w:val="uk-UA"/>
        </w:rPr>
        <w:t>;</w:t>
      </w:r>
    </w:p>
    <w:p w14:paraId="0DDF8675">
      <w:pPr>
        <w:numPr>
          <w:ilvl w:val="0"/>
          <w:numId w:val="11"/>
        </w:numPr>
        <w:ind w:left="420" w:leftChars="0" w:hanging="420" w:firstLineChars="0"/>
        <w:rPr>
          <w:rFonts w:hint="default"/>
          <w:lang w:val="uk-UA"/>
        </w:rPr>
      </w:pPr>
      <w:r>
        <w:rPr>
          <w:rFonts w:hint="default"/>
        </w:rPr>
        <w:t>час висихання</w:t>
      </w:r>
      <w:r>
        <w:rPr>
          <w:rFonts w:hint="default"/>
          <w:lang w:val="uk-UA"/>
        </w:rPr>
        <w:t xml:space="preserve"> </w:t>
      </w:r>
      <w:r>
        <w:rPr>
          <w:rFonts w:hint="default"/>
        </w:rPr>
        <w:t>при температурі +20°C і вологості 50–65%</w:t>
      </w:r>
      <w:r>
        <w:rPr>
          <w:rFonts w:hint="default"/>
          <w:lang w:val="uk-UA"/>
        </w:rPr>
        <w:t xml:space="preserve"> — </w:t>
      </w:r>
      <w:r>
        <w:rPr>
          <w:rFonts w:hint="default"/>
        </w:rPr>
        <w:t>3–8 годин;</w:t>
      </w:r>
    </w:p>
    <w:p w14:paraId="701A0342">
      <w:pPr>
        <w:numPr>
          <w:ilvl w:val="0"/>
          <w:numId w:val="11"/>
        </w:numPr>
        <w:ind w:left="420" w:leftChars="0" w:hanging="420" w:firstLineChars="0"/>
        <w:rPr>
          <w:rFonts w:hint="default"/>
          <w:lang w:val="uk-UA"/>
        </w:rPr>
      </w:pPr>
      <w:r>
        <w:rPr>
          <w:rFonts w:hint="default"/>
        </w:rPr>
        <w:t>не застосовується на непористих поверхнях з клеями</w:t>
      </w:r>
      <w:r>
        <w:rPr>
          <w:rFonts w:hint="default"/>
          <w:lang w:val="uk-UA"/>
        </w:rPr>
        <w:t xml:space="preserve"> на основі води.</w:t>
      </w:r>
    </w:p>
    <w:p w14:paraId="62DE37F4">
      <w:pPr>
        <w:rPr>
          <w:rFonts w:hint="default"/>
          <w:lang w:val="uk-UA"/>
        </w:rPr>
      </w:pPr>
      <w:r>
        <w:rPr>
          <w:rFonts w:hint="default"/>
          <w:b/>
          <w:bCs/>
          <w:lang w:val="uk-UA"/>
        </w:rPr>
        <w:t xml:space="preserve">Зауважимо: </w:t>
      </w:r>
      <w:r>
        <w:rPr>
          <w:rFonts w:hint="default"/>
          <w:lang w:val="uk-UA"/>
        </w:rPr>
        <w:t xml:space="preserve">продукт у вигляді рідини розчиняється водою та має світло-блакитний колір, який дає змогу контролювати рівномірність обробки поверхні. Низький вміст </w:t>
      </w:r>
      <w:r>
        <w:rPr>
          <w:rFonts w:hint="default"/>
          <w:lang w:val="en-US"/>
        </w:rPr>
        <w:t>VOC</w:t>
      </w:r>
      <w:r>
        <w:rPr>
          <w:rFonts w:hint="default"/>
          <w:lang w:val="uk-UA"/>
        </w:rPr>
        <w:t xml:space="preserve">, який дорівнює нулю, вказує на екологічну безпечність у застосуванні. Враховуючи практичний досвід майстрів, дана </w:t>
      </w:r>
      <w:r>
        <w:rPr>
          <w:rFonts w:hint="default"/>
        </w:rPr>
        <w:t>ґ</w:t>
      </w:r>
      <w:r>
        <w:rPr>
          <w:rFonts w:hint="default"/>
          <w:lang w:val="uk-UA"/>
        </w:rPr>
        <w:t>рунтовка не потребує додаткового тестування.</w:t>
      </w:r>
    </w:p>
    <w:p w14:paraId="3CBE77C4">
      <w:pPr>
        <w:pStyle w:val="3"/>
        <w:bidi w:val="0"/>
        <w:rPr>
          <w:rFonts w:hint="default"/>
          <w:color w:val="44546A" w:themeColor="text2"/>
          <w:lang w:val="uk-UA"/>
          <w14:textFill>
            <w14:solidFill>
              <w14:schemeClr w14:val="tx2"/>
            </w14:solidFill>
          </w14:textFill>
        </w:rPr>
      </w:pPr>
      <w:r>
        <w:rPr>
          <w:rFonts w:hint="default"/>
          <w:color w:val="44546A" w:themeColor="text2"/>
          <w:lang w:val="uk-UA"/>
          <w14:textFill>
            <w14:solidFill>
              <w14:schemeClr w14:val="tx2"/>
            </w14:solidFill>
          </w14:textFill>
        </w:rPr>
        <w:t xml:space="preserve">Технологія використання — нанесення та підготовка основи </w:t>
      </w:r>
    </w:p>
    <w:p w14:paraId="35487DEA">
      <w:pPr>
        <w:rPr>
          <w:rFonts w:hint="default"/>
          <w:lang w:val="uk-UA"/>
        </w:rPr>
      </w:pPr>
      <w:r>
        <w:rPr>
          <w:rFonts w:hint="default"/>
          <w:lang w:val="uk-UA"/>
        </w:rPr>
        <w:t xml:space="preserve">Водорозчинна </w:t>
      </w:r>
      <w:r>
        <w:rPr>
          <w:rFonts w:hint="default"/>
        </w:rPr>
        <w:t>ґрунтовка</w:t>
      </w:r>
      <w:r>
        <w:rPr>
          <w:rFonts w:hint="default"/>
          <w:lang w:val="uk-UA"/>
        </w:rPr>
        <w:t xml:space="preserve"> призначена для зміцнення та покращення адгезії пористих та цементних основ перед укладанням паркету, пробки, текстилю або лінолеуму. Суспензію наносять пензлем або валиком, після відповідного розведення водою. Зазначимо: час висихання залежить від температури, вологості, вентиляції приміщення.</w:t>
      </w:r>
    </w:p>
    <w:p w14:paraId="31C7ACCA">
      <w:pPr>
        <w:pStyle w:val="4"/>
        <w:bidi w:val="0"/>
        <w:rPr>
          <w:rFonts w:hint="default"/>
          <w:color w:val="44546A" w:themeColor="text2"/>
          <w:lang w:val="uk-UA"/>
          <w14:textFill>
            <w14:solidFill>
              <w14:schemeClr w14:val="tx2"/>
            </w14:solidFill>
          </w14:textFill>
        </w:rPr>
      </w:pPr>
      <w:r>
        <w:rPr>
          <w:rFonts w:hint="default"/>
          <w:color w:val="44546A" w:themeColor="text2"/>
          <w:lang w:val="uk-UA"/>
          <w14:textFill>
            <w14:solidFill>
              <w14:schemeClr w14:val="tx2"/>
            </w14:solidFill>
          </w14:textFill>
        </w:rPr>
        <w:t>Рекомендації по використанню:</w:t>
      </w:r>
    </w:p>
    <w:p w14:paraId="5B3EAA40">
      <w:pPr>
        <w:numPr>
          <w:ilvl w:val="0"/>
          <w:numId w:val="12"/>
        </w:numPr>
        <w:ind w:left="425" w:leftChars="0" w:hanging="425" w:firstLineChars="0"/>
        <w:rPr>
          <w:rFonts w:hint="default"/>
          <w:lang w:val="uk-UA"/>
        </w:rPr>
      </w:pPr>
      <w:r>
        <w:rPr>
          <w:rFonts w:hint="default"/>
          <w:lang w:val="uk-UA"/>
        </w:rPr>
        <w:t>Потрібно очистити поверхню від пилу, сміття та інших забруднень.</w:t>
      </w:r>
    </w:p>
    <w:p w14:paraId="497D29E7">
      <w:pPr>
        <w:numPr>
          <w:ilvl w:val="0"/>
          <w:numId w:val="12"/>
        </w:numPr>
        <w:ind w:left="425" w:leftChars="0" w:hanging="425" w:firstLineChars="0"/>
        <w:rPr>
          <w:rFonts w:hint="default"/>
          <w:lang w:val="uk-UA"/>
        </w:rPr>
      </w:pPr>
      <w:r>
        <w:rPr>
          <w:rFonts w:hint="default"/>
          <w:lang w:val="uk-UA"/>
        </w:rPr>
        <w:t>Розведіть засіб водою 1:1 або 1:2 залежно від пористої поверхні.</w:t>
      </w:r>
    </w:p>
    <w:p w14:paraId="01C211E4">
      <w:pPr>
        <w:numPr>
          <w:ilvl w:val="0"/>
          <w:numId w:val="12"/>
        </w:numPr>
        <w:ind w:left="425" w:leftChars="0" w:hanging="425" w:firstLineChars="0"/>
        <w:rPr>
          <w:rFonts w:hint="default"/>
        </w:rPr>
      </w:pPr>
      <w:r>
        <w:rPr>
          <w:rFonts w:hint="default"/>
          <w:lang w:val="uk-UA"/>
        </w:rPr>
        <w:t xml:space="preserve">Рівномірно нанесіть </w:t>
      </w:r>
      <w:r>
        <w:rPr>
          <w:rFonts w:hint="default"/>
        </w:rPr>
        <w:t>ґрунтовк</w:t>
      </w:r>
      <w:r>
        <w:rPr>
          <w:rFonts w:hint="default"/>
          <w:lang w:val="uk-UA"/>
        </w:rPr>
        <w:t>у на основу — 100-300 мл на 1</w:t>
      </w:r>
      <w:r>
        <w:rPr>
          <w:rFonts w:hint="default"/>
        </w:rPr>
        <w:t>/м²</w:t>
      </w:r>
      <w:r>
        <w:rPr>
          <w:rFonts w:hint="default"/>
          <w:lang w:val="uk-UA"/>
        </w:rPr>
        <w:t>.</w:t>
      </w:r>
    </w:p>
    <w:p w14:paraId="7558942B">
      <w:pPr>
        <w:numPr>
          <w:ilvl w:val="0"/>
          <w:numId w:val="12"/>
        </w:numPr>
        <w:ind w:left="425" w:leftChars="0" w:hanging="425" w:firstLineChars="0"/>
        <w:rPr>
          <w:rFonts w:hint="default"/>
        </w:rPr>
      </w:pPr>
      <w:r>
        <w:rPr>
          <w:rFonts w:hint="default"/>
          <w:lang w:val="uk-UA"/>
        </w:rPr>
        <w:t xml:space="preserve">Заборонено наносити </w:t>
      </w:r>
      <w:r>
        <w:rPr>
          <w:rFonts w:hint="default"/>
        </w:rPr>
        <w:t>ґрунтовк</w:t>
      </w:r>
      <w:r>
        <w:rPr>
          <w:rFonts w:hint="default"/>
          <w:lang w:val="uk-UA"/>
        </w:rPr>
        <w:t>у кілька разів на одну поверхню.</w:t>
      </w:r>
    </w:p>
    <w:p w14:paraId="051804CE">
      <w:pPr>
        <w:numPr>
          <w:ilvl w:val="0"/>
          <w:numId w:val="12"/>
        </w:numPr>
        <w:ind w:left="425" w:leftChars="0" w:hanging="425" w:firstLineChars="0"/>
        <w:rPr>
          <w:rFonts w:hint="default"/>
        </w:rPr>
      </w:pPr>
      <w:r>
        <w:rPr>
          <w:rFonts w:hint="default"/>
          <w:lang w:val="uk-UA"/>
        </w:rPr>
        <w:t>Після висихання засобу можна приступати до укладання покриття.</w:t>
      </w:r>
    </w:p>
    <w:p w14:paraId="2FE6D809">
      <w:pPr>
        <w:rPr>
          <w:rFonts w:hint="default"/>
          <w:lang w:val="uk-UA"/>
        </w:rPr>
      </w:pPr>
      <w:r>
        <w:rPr>
          <w:rFonts w:hint="default"/>
          <w:b/>
          <w:bCs/>
          <w:lang w:val="uk-UA"/>
        </w:rPr>
        <w:t>Варто знати:</w:t>
      </w:r>
      <w:r>
        <w:rPr>
          <w:rFonts w:hint="default"/>
          <w:lang w:val="uk-UA"/>
        </w:rPr>
        <w:t xml:space="preserve"> п</w:t>
      </w:r>
      <w:r>
        <w:rPr>
          <w:rFonts w:hint="default"/>
        </w:rPr>
        <w:t>ри використанні двокомпонентних реактивних клеїв слід забезпечити повне висихання ґрунтовки</w:t>
      </w:r>
      <w:r>
        <w:rPr>
          <w:rFonts w:hint="default"/>
          <w:lang w:val="uk-UA"/>
        </w:rPr>
        <w:t xml:space="preserve">, що гарантує максимальний результат по зміцненню й нормалізації пористості основи. </w:t>
      </w:r>
      <w:r>
        <w:rPr>
          <w:rFonts w:hint="default"/>
          <w:lang w:val="en-US"/>
        </w:rPr>
        <w:t>Зберіга</w:t>
      </w:r>
      <w:r>
        <w:rPr>
          <w:rFonts w:hint="default"/>
          <w:lang w:val="uk-UA"/>
        </w:rPr>
        <w:t>ти</w:t>
      </w:r>
      <w:r>
        <w:rPr>
          <w:rFonts w:hint="default"/>
          <w:lang w:val="en-US"/>
        </w:rPr>
        <w:t xml:space="preserve"> продукт</w:t>
      </w:r>
      <w:r>
        <w:rPr>
          <w:rFonts w:hint="default"/>
          <w:lang w:val="uk-UA"/>
        </w:rPr>
        <w:t xml:space="preserve"> потрібно</w:t>
      </w:r>
      <w:r>
        <w:rPr>
          <w:rFonts w:hint="default"/>
          <w:lang w:val="en-US"/>
        </w:rPr>
        <w:t xml:space="preserve"> в оригінальній </w:t>
      </w:r>
      <w:r>
        <w:rPr>
          <w:rFonts w:hint="default"/>
          <w:lang w:val="uk-UA"/>
        </w:rPr>
        <w:t>щільно закритій місткості</w:t>
      </w:r>
      <w:r>
        <w:rPr>
          <w:rFonts w:hint="default"/>
          <w:lang w:val="en-US"/>
        </w:rPr>
        <w:t xml:space="preserve">, в сухому </w:t>
      </w:r>
      <w:r>
        <w:rPr>
          <w:rFonts w:hint="default"/>
          <w:lang w:val="uk-UA"/>
        </w:rPr>
        <w:t>приміщення</w:t>
      </w:r>
      <w:r>
        <w:rPr>
          <w:rFonts w:hint="default"/>
          <w:lang w:val="en-US"/>
        </w:rPr>
        <w:t xml:space="preserve"> при температурі від +</w:t>
      </w:r>
      <w:r>
        <w:rPr>
          <w:rFonts w:hint="default"/>
          <w:lang w:val="uk-UA"/>
        </w:rPr>
        <w:t xml:space="preserve"> </w:t>
      </w:r>
      <w:r>
        <w:rPr>
          <w:rFonts w:hint="default"/>
          <w:lang w:val="en-US"/>
        </w:rPr>
        <w:t>5°C до + 25°C</w:t>
      </w:r>
      <w:r>
        <w:rPr>
          <w:rFonts w:hint="default"/>
          <w:lang w:val="uk-UA"/>
        </w:rPr>
        <w:t xml:space="preserve">. </w:t>
      </w:r>
    </w:p>
    <w:p w14:paraId="64E7D825">
      <w:r>
        <w:drawing>
          <wp:inline distT="0" distB="0" distL="114300" distR="114300">
            <wp:extent cx="5266690" cy="2392045"/>
            <wp:effectExtent l="0" t="0" r="6350" b="635"/>
            <wp:docPr id="1" name="Изображение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392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36B33F">
      <w:pPr>
        <w:pStyle w:val="2"/>
        <w:bidi w:val="0"/>
        <w:rPr>
          <w:rFonts w:hint="default"/>
        </w:rPr>
      </w:pPr>
      <w:r>
        <w:rPr>
          <w:rFonts w:hint="default"/>
          <w:color w:val="44546A" w:themeColor="text2"/>
          <w14:textFill>
            <w14:solidFill>
              <w14:schemeClr w14:val="tx2"/>
            </w14:solidFill>
          </w14:textFill>
        </w:rPr>
        <w:t>Грунтовка акрилатная Mitol Parketolit PR15 5 кг (Универсальный дисперсионный праймер)</w:t>
      </w:r>
    </w:p>
    <w:p w14:paraId="719CBB3D">
      <w:pPr>
        <w:rPr>
          <w:rFonts w:hint="default"/>
        </w:rPr>
      </w:pPr>
      <w:r>
        <w:rPr>
          <w:rFonts w:hint="default"/>
          <w:b/>
          <w:bCs/>
        </w:rPr>
        <w:t>Mitol Parketolit PR15</w:t>
      </w:r>
      <w:r>
        <w:rPr>
          <w:rFonts w:hint="default"/>
        </w:rPr>
        <w:t xml:space="preserve"> — грунтовка на основе акрилатной дисперсии, готова к использованию. Средство укрепляет</w:t>
      </w:r>
      <w:r>
        <w:rPr>
          <w:rFonts w:hint="default"/>
          <w:lang w:val="uk-UA"/>
        </w:rPr>
        <w:t xml:space="preserve"> </w:t>
      </w:r>
      <w:r>
        <w:rPr>
          <w:rFonts w:hint="default"/>
        </w:rPr>
        <w:t>поверхность, нормализует пористость, предотвращает чрезмерное впитывание влаги. Благодаря глубокому проникновению в основание обеспечивает максимальную адгезию клея</w:t>
      </w:r>
      <w:r>
        <w:rPr>
          <w:rFonts w:hint="default"/>
          <w:lang w:val="uk-UA"/>
        </w:rPr>
        <w:t>,</w:t>
      </w:r>
      <w:r>
        <w:rPr>
          <w:rFonts w:hint="default"/>
        </w:rPr>
        <w:t xml:space="preserve"> долговечность покрытия.</w:t>
      </w:r>
    </w:p>
    <w:p w14:paraId="4AA0224C">
      <w:pPr>
        <w:pStyle w:val="4"/>
        <w:bidi w:val="0"/>
        <w:rPr>
          <w:rFonts w:hint="default"/>
        </w:rPr>
      </w:pPr>
      <w:r>
        <w:rPr>
          <w:rFonts w:hint="default"/>
          <w:color w:val="44546A" w:themeColor="text2"/>
          <w14:textFill>
            <w14:solidFill>
              <w14:schemeClr w14:val="tx2"/>
            </w14:solidFill>
          </w14:textFill>
        </w:rPr>
        <w:t>Особенности применения:</w:t>
      </w:r>
    </w:p>
    <w:p w14:paraId="68DD3FC7">
      <w:pPr>
        <w:numPr>
          <w:ilvl w:val="0"/>
          <w:numId w:val="13"/>
        </w:numPr>
        <w:ind w:left="420" w:leftChars="0" w:hanging="420" w:firstLineChars="0"/>
        <w:rPr>
          <w:rFonts w:hint="default"/>
        </w:rPr>
      </w:pPr>
      <w:r>
        <w:rPr>
          <w:rFonts w:hint="default"/>
        </w:rPr>
        <w:t>подходит для подготовки основания перед нанесением всех видов клеев;</w:t>
      </w:r>
    </w:p>
    <w:p w14:paraId="63BCDFFC">
      <w:pPr>
        <w:numPr>
          <w:ilvl w:val="0"/>
          <w:numId w:val="13"/>
        </w:numPr>
        <w:ind w:left="420" w:leftChars="0" w:hanging="420" w:firstLineChars="0"/>
        <w:rPr>
          <w:rFonts w:hint="default"/>
        </w:rPr>
      </w:pPr>
      <w:r>
        <w:rPr>
          <w:rFonts w:hint="default"/>
        </w:rPr>
        <w:t>рекомендуется для паркетных, текстильных покрытий, линолеума;</w:t>
      </w:r>
    </w:p>
    <w:p w14:paraId="0D755781">
      <w:pPr>
        <w:numPr>
          <w:ilvl w:val="0"/>
          <w:numId w:val="13"/>
        </w:numPr>
        <w:ind w:left="420" w:leftChars="0" w:hanging="420" w:firstLineChars="0"/>
        <w:rPr>
          <w:rFonts w:hint="default"/>
        </w:rPr>
      </w:pPr>
      <w:r>
        <w:rPr>
          <w:rFonts w:hint="default"/>
        </w:rPr>
        <w:t>расход средства зависит от вида и пористости поверхности: 100–300 г/м²;</w:t>
      </w:r>
    </w:p>
    <w:p w14:paraId="4D5B0E24">
      <w:pPr>
        <w:numPr>
          <w:ilvl w:val="0"/>
          <w:numId w:val="13"/>
        </w:numPr>
        <w:ind w:left="420" w:leftChars="0" w:hanging="420" w:firstLineChars="0"/>
        <w:rPr>
          <w:rFonts w:hint="default"/>
        </w:rPr>
      </w:pPr>
      <w:r>
        <w:rPr>
          <w:rFonts w:hint="default"/>
        </w:rPr>
        <w:t xml:space="preserve">время высыхания при температуре +20°C </w:t>
      </w:r>
      <w:r>
        <w:rPr>
          <w:rFonts w:hint="default"/>
          <w:lang w:val="uk-UA"/>
        </w:rPr>
        <w:t xml:space="preserve"> и</w:t>
      </w:r>
      <w:r>
        <w:rPr>
          <w:rFonts w:hint="default"/>
        </w:rPr>
        <w:t xml:space="preserve"> влажности 50–65% — 3–8 часов;</w:t>
      </w:r>
    </w:p>
    <w:p w14:paraId="4976A04C">
      <w:pPr>
        <w:numPr>
          <w:ilvl w:val="0"/>
          <w:numId w:val="13"/>
        </w:numPr>
        <w:ind w:left="420" w:leftChars="0" w:hanging="420" w:firstLineChars="0"/>
        <w:rPr>
          <w:rFonts w:hint="default"/>
        </w:rPr>
      </w:pPr>
      <w:r>
        <w:rPr>
          <w:rFonts w:hint="default"/>
        </w:rPr>
        <w:t>не применяется на непористых поверхностях с клеями на водной основе.</w:t>
      </w:r>
    </w:p>
    <w:p w14:paraId="78A90164">
      <w:pPr>
        <w:rPr>
          <w:rFonts w:hint="default"/>
        </w:rPr>
      </w:pPr>
      <w:r>
        <w:rPr>
          <w:rFonts w:hint="default"/>
          <w:b/>
          <w:bCs/>
        </w:rPr>
        <w:t>Примечание:</w:t>
      </w:r>
      <w:r>
        <w:rPr>
          <w:rFonts w:hint="default"/>
        </w:rPr>
        <w:t xml:space="preserve"> продукт растворяется водой</w:t>
      </w:r>
      <w:r>
        <w:rPr>
          <w:rFonts w:hint="default"/>
          <w:lang w:val="uk-UA"/>
        </w:rPr>
        <w:t>,</w:t>
      </w:r>
      <w:r>
        <w:rPr>
          <w:rFonts w:hint="default"/>
        </w:rPr>
        <w:t xml:space="preserve"> имеет светло-голубой цвет, который позволяет контролировать равномерность обработки</w:t>
      </w:r>
      <w:r>
        <w:rPr>
          <w:rFonts w:hint="default"/>
          <w:lang w:val="uk-UA"/>
        </w:rPr>
        <w:t>.</w:t>
      </w:r>
      <w:r>
        <w:rPr>
          <w:rFonts w:hint="default"/>
        </w:rPr>
        <w:t xml:space="preserve"> Низкое содержание </w:t>
      </w:r>
      <w:r>
        <w:rPr>
          <w:rFonts w:hint="default"/>
          <w:b/>
          <w:bCs/>
        </w:rPr>
        <w:t>VOC</w:t>
      </w:r>
      <w:r>
        <w:rPr>
          <w:rFonts w:hint="default"/>
        </w:rPr>
        <w:t>, равное нулю, указывает на экологическую безопасность применения. Учитывая практический опыт мастеров, данная грунтовка не требует дополнительного тестирования.</w:t>
      </w:r>
    </w:p>
    <w:p w14:paraId="18DAD3E7">
      <w:pPr>
        <w:pStyle w:val="3"/>
        <w:bidi w:val="0"/>
        <w:rPr>
          <w:rFonts w:hint="default"/>
          <w:color w:val="44546A" w:themeColor="text2"/>
          <w14:textFill>
            <w14:solidFill>
              <w14:schemeClr w14:val="tx2"/>
            </w14:solidFill>
          </w14:textFill>
        </w:rPr>
      </w:pPr>
      <w:r>
        <w:rPr>
          <w:rFonts w:hint="default"/>
          <w:color w:val="44546A" w:themeColor="text2"/>
          <w14:textFill>
            <w14:solidFill>
              <w14:schemeClr w14:val="tx2"/>
            </w14:solidFill>
          </w14:textFill>
        </w:rPr>
        <w:t>Технология использования — нанесение и подготовка основания</w:t>
      </w:r>
    </w:p>
    <w:p w14:paraId="392C5510">
      <w:pPr>
        <w:rPr>
          <w:rFonts w:hint="default"/>
        </w:rPr>
      </w:pPr>
      <w:r>
        <w:rPr>
          <w:rFonts w:hint="default"/>
        </w:rPr>
        <w:t>Водорастворимая грунтовка предназначена для укрепления</w:t>
      </w:r>
      <w:r>
        <w:rPr>
          <w:rFonts w:hint="default"/>
          <w:lang w:val="uk-UA"/>
        </w:rPr>
        <w:t>,</w:t>
      </w:r>
      <w:r>
        <w:rPr>
          <w:rFonts w:hint="default"/>
        </w:rPr>
        <w:t xml:space="preserve"> улучшения адгезии пористых</w:t>
      </w:r>
      <w:r>
        <w:rPr>
          <w:rFonts w:hint="default"/>
          <w:lang w:val="uk-UA"/>
        </w:rPr>
        <w:t>,</w:t>
      </w:r>
      <w:r>
        <w:rPr>
          <w:rFonts w:hint="default"/>
        </w:rPr>
        <w:t xml:space="preserve"> цементных оснований перед укладкой паркета, пробки, текстиля или линолеума. Суспензию наносят кистью или валиком после соответствующего разведения водой. </w:t>
      </w:r>
      <w:r>
        <w:rPr>
          <w:rFonts w:hint="default"/>
          <w:lang w:val="uk-UA"/>
        </w:rPr>
        <w:t>В</w:t>
      </w:r>
      <w:r>
        <w:rPr>
          <w:rFonts w:hint="default"/>
        </w:rPr>
        <w:t>ремя высыхания зависит от температуры, влажности</w:t>
      </w:r>
      <w:r>
        <w:rPr>
          <w:rFonts w:hint="default"/>
          <w:lang w:val="uk-UA"/>
        </w:rPr>
        <w:t>,</w:t>
      </w:r>
      <w:r>
        <w:rPr>
          <w:rFonts w:hint="default"/>
        </w:rPr>
        <w:t xml:space="preserve"> вентиляции.</w:t>
      </w:r>
    </w:p>
    <w:p w14:paraId="45ADCAB0">
      <w:pPr>
        <w:pStyle w:val="4"/>
        <w:bidi w:val="0"/>
        <w:rPr>
          <w:rFonts w:hint="default"/>
        </w:rPr>
      </w:pPr>
      <w:r>
        <w:rPr>
          <w:rFonts w:hint="default"/>
          <w:color w:val="44546A" w:themeColor="text2"/>
          <w14:textFill>
            <w14:solidFill>
              <w14:schemeClr w14:val="tx2"/>
            </w14:solidFill>
          </w14:textFill>
        </w:rPr>
        <w:t>Рекомендации по использованию:</w:t>
      </w:r>
    </w:p>
    <w:p w14:paraId="26A848A3">
      <w:pPr>
        <w:numPr>
          <w:ilvl w:val="0"/>
          <w:numId w:val="14"/>
        </w:numPr>
        <w:ind w:left="425" w:leftChars="0" w:hanging="425" w:firstLineChars="0"/>
        <w:rPr>
          <w:rFonts w:hint="default"/>
        </w:rPr>
      </w:pPr>
      <w:r>
        <w:rPr>
          <w:rFonts w:hint="default"/>
          <w:lang w:val="uk-UA"/>
        </w:rPr>
        <w:t>Необходимо о</w:t>
      </w:r>
      <w:r>
        <w:rPr>
          <w:rFonts w:hint="default"/>
        </w:rPr>
        <w:t>чистить поверхность от пыли, мусора и других загрязнений.</w:t>
      </w:r>
    </w:p>
    <w:p w14:paraId="44074972">
      <w:pPr>
        <w:numPr>
          <w:ilvl w:val="0"/>
          <w:numId w:val="14"/>
        </w:numPr>
        <w:ind w:left="425" w:leftChars="0" w:hanging="425" w:firstLineChars="0"/>
        <w:rPr>
          <w:rFonts w:hint="default"/>
        </w:rPr>
      </w:pPr>
      <w:r>
        <w:rPr>
          <w:rFonts w:hint="default"/>
        </w:rPr>
        <w:t>Развести средство водой 1:1 или 1:2 зависимо</w:t>
      </w:r>
      <w:r>
        <w:rPr>
          <w:rFonts w:hint="default"/>
          <w:lang w:val="uk-UA"/>
        </w:rPr>
        <w:t xml:space="preserve"> </w:t>
      </w:r>
      <w:r>
        <w:rPr>
          <w:rFonts w:hint="default"/>
        </w:rPr>
        <w:t>от пористости поверхности.</w:t>
      </w:r>
    </w:p>
    <w:p w14:paraId="4277DB57">
      <w:pPr>
        <w:numPr>
          <w:ilvl w:val="0"/>
          <w:numId w:val="14"/>
        </w:numPr>
        <w:ind w:left="425" w:leftChars="0" w:hanging="425" w:firstLineChars="0"/>
        <w:rPr>
          <w:rFonts w:hint="default"/>
        </w:rPr>
      </w:pPr>
      <w:r>
        <w:rPr>
          <w:rFonts w:hint="default"/>
        </w:rPr>
        <w:t>Равномерно нанести грунтовку на основание — 100–300 мл на 1/м².</w:t>
      </w:r>
    </w:p>
    <w:p w14:paraId="752F4D3A">
      <w:pPr>
        <w:numPr>
          <w:ilvl w:val="0"/>
          <w:numId w:val="14"/>
        </w:numPr>
        <w:ind w:left="425" w:leftChars="0" w:hanging="425" w:firstLineChars="0"/>
        <w:rPr>
          <w:rFonts w:hint="default"/>
        </w:rPr>
      </w:pPr>
      <w:r>
        <w:rPr>
          <w:rFonts w:hint="default"/>
        </w:rPr>
        <w:t>Запрещается наносить грунтовку несколько раз на одну поверхность.</w:t>
      </w:r>
    </w:p>
    <w:p w14:paraId="17B67443">
      <w:pPr>
        <w:numPr>
          <w:ilvl w:val="0"/>
          <w:numId w:val="14"/>
        </w:numPr>
        <w:ind w:left="425" w:leftChars="0" w:hanging="425" w:firstLineChars="0"/>
        <w:rPr>
          <w:rFonts w:hint="default"/>
        </w:rPr>
      </w:pPr>
      <w:r>
        <w:rPr>
          <w:rFonts w:hint="default"/>
        </w:rPr>
        <w:t>После высыхания средства можно приступать к укладке покрытия.</w:t>
      </w:r>
    </w:p>
    <w:p w14:paraId="079298D4">
      <w:r>
        <w:rPr>
          <w:rFonts w:hint="default"/>
          <w:b/>
          <w:bCs/>
        </w:rPr>
        <w:t xml:space="preserve">Важно: </w:t>
      </w:r>
      <w:r>
        <w:rPr>
          <w:rFonts w:hint="default"/>
        </w:rPr>
        <w:t>при использовании двухкомпонентных реактивных клеев необходимо обеспечить полное высыхание грунтовки, что гарантирует максимальный результат по укреплению</w:t>
      </w:r>
      <w:r>
        <w:rPr>
          <w:rFonts w:hint="default"/>
          <w:lang w:val="uk-UA"/>
        </w:rPr>
        <w:t>,</w:t>
      </w:r>
      <w:r>
        <w:rPr>
          <w:rFonts w:hint="default"/>
        </w:rPr>
        <w:t xml:space="preserve"> нормализации пористости основания. Хранить продукт следует в оригинальной закрытой таре, в сухом помещении при температуре от +5°C до +25°C.</w:t>
      </w:r>
    </w:p>
    <w:p w14:paraId="7AE5F64A">
      <w:pPr>
        <w:rPr>
          <w:lang w:val="en-US"/>
        </w:rPr>
      </w:pPr>
      <w:r>
        <w:drawing>
          <wp:inline distT="0" distB="0" distL="114300" distR="114300">
            <wp:extent cx="5268595" cy="2367915"/>
            <wp:effectExtent l="0" t="0" r="4445" b="9525"/>
            <wp:docPr id="2" name="Изображение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367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6B6CDCC"/>
    <w:multiLevelType w:val="singleLevel"/>
    <w:tmpl w:val="C6B6CDCC"/>
    <w:lvl w:ilvl="0" w:tentative="0">
      <w:start w:val="1"/>
      <w:numFmt w:val="bullet"/>
      <w:lvlText w:val=""/>
      <w:lvlJc w:val="left"/>
      <w:pPr>
        <w:tabs>
          <w:tab w:val="left" w:pos="420"/>
        </w:tabs>
        <w:ind w:left="420" w:leftChars="0" w:hanging="420" w:firstLineChars="0"/>
      </w:pPr>
      <w:rPr>
        <w:rFonts w:hint="default" w:ascii="Wingdings" w:hAnsi="Wingdings"/>
      </w:rPr>
    </w:lvl>
  </w:abstractNum>
  <w:abstractNum w:abstractNumId="1">
    <w:nsid w:val="FFFFFF7C"/>
    <w:multiLevelType w:val="singleLevel"/>
    <w:tmpl w:val="FFFFFF7C"/>
    <w:lvl w:ilvl="0" w:tentative="0">
      <w:start w:val="1"/>
      <w:numFmt w:val="decimal"/>
      <w:pStyle w:val="34"/>
      <w:lvlText w:val="%1."/>
      <w:lvlJc w:val="left"/>
      <w:pPr>
        <w:tabs>
          <w:tab w:val="left" w:pos="2040"/>
        </w:tabs>
        <w:ind w:left="2040" w:hanging="360"/>
      </w:pPr>
    </w:lvl>
  </w:abstractNum>
  <w:abstractNum w:abstractNumId="2">
    <w:nsid w:val="FFFFFF7D"/>
    <w:multiLevelType w:val="singleLevel"/>
    <w:tmpl w:val="FFFFFF7D"/>
    <w:lvl w:ilvl="0" w:tentative="0">
      <w:start w:val="1"/>
      <w:numFmt w:val="decimal"/>
      <w:pStyle w:val="63"/>
      <w:lvlText w:val="%1."/>
      <w:lvlJc w:val="left"/>
      <w:pPr>
        <w:tabs>
          <w:tab w:val="left" w:pos="1620"/>
        </w:tabs>
        <w:ind w:left="1620" w:hanging="360"/>
      </w:pPr>
    </w:lvl>
  </w:abstractNum>
  <w:abstractNum w:abstractNumId="3">
    <w:nsid w:val="FFFFFF7E"/>
    <w:multiLevelType w:val="singleLevel"/>
    <w:tmpl w:val="FFFFFF7E"/>
    <w:lvl w:ilvl="0" w:tentative="0">
      <w:start w:val="1"/>
      <w:numFmt w:val="decimal"/>
      <w:pStyle w:val="49"/>
      <w:lvlText w:val="%1."/>
      <w:lvlJc w:val="left"/>
      <w:pPr>
        <w:tabs>
          <w:tab w:val="left" w:pos="1200"/>
        </w:tabs>
        <w:ind w:left="1200" w:hanging="360"/>
      </w:pPr>
    </w:lvl>
  </w:abstractNum>
  <w:abstractNum w:abstractNumId="4">
    <w:nsid w:val="FFFFFF7F"/>
    <w:multiLevelType w:val="singleLevel"/>
    <w:tmpl w:val="FFFFFF7F"/>
    <w:lvl w:ilvl="0" w:tentative="0">
      <w:start w:val="1"/>
      <w:numFmt w:val="decimal"/>
      <w:pStyle w:val="88"/>
      <w:lvlText w:val="%1."/>
      <w:lvlJc w:val="left"/>
      <w:pPr>
        <w:tabs>
          <w:tab w:val="left" w:pos="780"/>
        </w:tabs>
        <w:ind w:left="780" w:hanging="360"/>
      </w:pPr>
    </w:lvl>
  </w:abstractNum>
  <w:abstractNum w:abstractNumId="5">
    <w:nsid w:val="FFFFFF80"/>
    <w:multiLevelType w:val="singleLevel"/>
    <w:tmpl w:val="FFFFFF80"/>
    <w:lvl w:ilvl="0" w:tentative="0">
      <w:start w:val="1"/>
      <w:numFmt w:val="bullet"/>
      <w:pStyle w:val="77"/>
      <w:lvlText w:val=""/>
      <w:lvlJc w:val="left"/>
      <w:pPr>
        <w:tabs>
          <w:tab w:val="left" w:pos="2040"/>
        </w:tabs>
        <w:ind w:left="2040" w:hanging="360"/>
      </w:pPr>
      <w:rPr>
        <w:rFonts w:hint="default" w:ascii="Wingdings" w:hAnsi="Wingdings"/>
      </w:rPr>
    </w:lvl>
  </w:abstractNum>
  <w:abstractNum w:abstractNumId="6">
    <w:nsid w:val="FFFFFF81"/>
    <w:multiLevelType w:val="singleLevel"/>
    <w:tmpl w:val="FFFFFF81"/>
    <w:lvl w:ilvl="0" w:tentative="0">
      <w:start w:val="1"/>
      <w:numFmt w:val="bullet"/>
      <w:pStyle w:val="81"/>
      <w:lvlText w:val=""/>
      <w:lvlJc w:val="left"/>
      <w:pPr>
        <w:tabs>
          <w:tab w:val="left" w:pos="1620"/>
        </w:tabs>
        <w:ind w:left="1620" w:hanging="360"/>
      </w:pPr>
      <w:rPr>
        <w:rFonts w:hint="default" w:ascii="Wingdings" w:hAnsi="Wingdings"/>
      </w:rPr>
    </w:lvl>
  </w:abstractNum>
  <w:abstractNum w:abstractNumId="7">
    <w:nsid w:val="FFFFFF82"/>
    <w:multiLevelType w:val="singleLevel"/>
    <w:tmpl w:val="FFFFFF82"/>
    <w:lvl w:ilvl="0" w:tentative="0">
      <w:start w:val="1"/>
      <w:numFmt w:val="bullet"/>
      <w:pStyle w:val="84"/>
      <w:lvlText w:val=""/>
      <w:lvlJc w:val="left"/>
      <w:pPr>
        <w:tabs>
          <w:tab w:val="left" w:pos="1200"/>
        </w:tabs>
        <w:ind w:left="1200" w:hanging="360"/>
      </w:pPr>
      <w:rPr>
        <w:rFonts w:hint="default" w:ascii="Wingdings" w:hAnsi="Wingdings"/>
      </w:rPr>
    </w:lvl>
  </w:abstractNum>
  <w:abstractNum w:abstractNumId="8">
    <w:nsid w:val="FFFFFF83"/>
    <w:multiLevelType w:val="singleLevel"/>
    <w:tmpl w:val="FFFFFF83"/>
    <w:lvl w:ilvl="0" w:tentative="0">
      <w:start w:val="1"/>
      <w:numFmt w:val="bullet"/>
      <w:pStyle w:val="83"/>
      <w:lvlText w:val=""/>
      <w:lvlJc w:val="left"/>
      <w:pPr>
        <w:tabs>
          <w:tab w:val="left" w:pos="780"/>
        </w:tabs>
        <w:ind w:left="780" w:hanging="360"/>
      </w:pPr>
      <w:rPr>
        <w:rFonts w:hint="default" w:ascii="Wingdings" w:hAnsi="Wingdings"/>
      </w:rPr>
    </w:lvl>
  </w:abstractNum>
  <w:abstractNum w:abstractNumId="9">
    <w:nsid w:val="FFFFFF88"/>
    <w:multiLevelType w:val="singleLevel"/>
    <w:tmpl w:val="FFFFFF88"/>
    <w:lvl w:ilvl="0" w:tentative="0">
      <w:start w:val="1"/>
      <w:numFmt w:val="decimal"/>
      <w:pStyle w:val="87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10">
    <w:nsid w:val="FFFFFF89"/>
    <w:multiLevelType w:val="singleLevel"/>
    <w:tmpl w:val="FFFFFF89"/>
    <w:lvl w:ilvl="0" w:tentative="0">
      <w:start w:val="1"/>
      <w:numFmt w:val="bullet"/>
      <w:pStyle w:val="82"/>
      <w:lvlText w:val=""/>
      <w:lvlJc w:val="left"/>
      <w:pPr>
        <w:tabs>
          <w:tab w:val="left" w:pos="360"/>
        </w:tabs>
        <w:ind w:left="360" w:hanging="360"/>
      </w:pPr>
      <w:rPr>
        <w:rFonts w:hint="default" w:ascii="Wingdings" w:hAnsi="Wingdings"/>
      </w:rPr>
    </w:lvl>
  </w:abstractNum>
  <w:abstractNum w:abstractNumId="11">
    <w:nsid w:val="4BA1CAA3"/>
    <w:multiLevelType w:val="singleLevel"/>
    <w:tmpl w:val="4BA1CAA3"/>
    <w:lvl w:ilvl="0" w:tentative="0">
      <w:start w:val="1"/>
      <w:numFmt w:val="bullet"/>
      <w:lvlText w:val=""/>
      <w:lvlJc w:val="left"/>
      <w:pPr>
        <w:tabs>
          <w:tab w:val="left" w:pos="420"/>
        </w:tabs>
        <w:ind w:left="420" w:leftChars="0" w:hanging="420" w:firstLineChars="0"/>
      </w:pPr>
      <w:rPr>
        <w:rFonts w:hint="default" w:ascii="Wingdings" w:hAnsi="Wingdings"/>
      </w:rPr>
    </w:lvl>
  </w:abstractNum>
  <w:abstractNum w:abstractNumId="12">
    <w:nsid w:val="6AE24CD1"/>
    <w:multiLevelType w:val="singleLevel"/>
    <w:tmpl w:val="6AE24CD1"/>
    <w:lvl w:ilvl="0" w:tentative="0">
      <w:start w:val="1"/>
      <w:numFmt w:val="decimal"/>
      <w:lvlText w:val="%1.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abstractNum w:abstractNumId="13">
    <w:nsid w:val="6BE26885"/>
    <w:multiLevelType w:val="singleLevel"/>
    <w:tmpl w:val="6BE26885"/>
    <w:lvl w:ilvl="0" w:tentative="0">
      <w:start w:val="1"/>
      <w:numFmt w:val="decimal"/>
      <w:lvlText w:val="%1.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5"/>
  </w:num>
  <w:num w:numId="5">
    <w:abstractNumId w:val="6"/>
  </w:num>
  <w:num w:numId="6">
    <w:abstractNumId w:val="10"/>
  </w:num>
  <w:num w:numId="7">
    <w:abstractNumId w:val="8"/>
  </w:num>
  <w:num w:numId="8">
    <w:abstractNumId w:val="7"/>
  </w:num>
  <w:num w:numId="9">
    <w:abstractNumId w:val="9"/>
  </w:num>
  <w:num w:numId="10">
    <w:abstractNumId w:val="4"/>
  </w:num>
  <w:num w:numId="11">
    <w:abstractNumId w:val="0"/>
  </w:num>
  <w:num w:numId="12">
    <w:abstractNumId w:val="13"/>
  </w:num>
  <w:num w:numId="13">
    <w:abstractNumId w:val="11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embedSystemFonts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08"/>
  <w:hyphenationZone w:val="360"/>
  <w:drawingGridVerticalSpacing w:val="156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footnoteLayoutLikeWW8/>
    <w:forgetLastTabAlignment/>
    <w:adjustLineHeightInTable/>
    <w:layoutRawTableWidth/>
    <w:layoutTableRowsApart/>
    <w:doNotBreakWrappedTables/>
    <w:doNotSnapToGridInCell/>
    <w:selectFldWithFirstOrLastChar/>
    <w:doNotWrapTextWithPunct/>
    <w:doNotUseEastAsianBreakRules/>
    <w:useWord2002TableStyleRules/>
    <w:growAutofit/>
    <w:useNormalStyleForList/>
    <w:useAltKinsokuLineBreakRules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24E0928"/>
    <w:rsid w:val="00050A31"/>
    <w:rsid w:val="000657E6"/>
    <w:rsid w:val="000716D2"/>
    <w:rsid w:val="00071AAB"/>
    <w:rsid w:val="00082D67"/>
    <w:rsid w:val="000A4F11"/>
    <w:rsid w:val="000B76C4"/>
    <w:rsid w:val="000C5610"/>
    <w:rsid w:val="000E6552"/>
    <w:rsid w:val="000F3A4F"/>
    <w:rsid w:val="000F59AC"/>
    <w:rsid w:val="001364FE"/>
    <w:rsid w:val="001368DD"/>
    <w:rsid w:val="00147DB3"/>
    <w:rsid w:val="001518A5"/>
    <w:rsid w:val="00170095"/>
    <w:rsid w:val="00170E4F"/>
    <w:rsid w:val="001743F4"/>
    <w:rsid w:val="00187C33"/>
    <w:rsid w:val="001936B7"/>
    <w:rsid w:val="00196AB1"/>
    <w:rsid w:val="00201333"/>
    <w:rsid w:val="00210FA7"/>
    <w:rsid w:val="00216417"/>
    <w:rsid w:val="0026631D"/>
    <w:rsid w:val="002B7F6D"/>
    <w:rsid w:val="002C2F53"/>
    <w:rsid w:val="0033518C"/>
    <w:rsid w:val="003437C2"/>
    <w:rsid w:val="00377186"/>
    <w:rsid w:val="003A1C03"/>
    <w:rsid w:val="00414627"/>
    <w:rsid w:val="00425D63"/>
    <w:rsid w:val="004643D8"/>
    <w:rsid w:val="00497C24"/>
    <w:rsid w:val="004C7BA5"/>
    <w:rsid w:val="004E7628"/>
    <w:rsid w:val="004F48F2"/>
    <w:rsid w:val="005149B1"/>
    <w:rsid w:val="005647F2"/>
    <w:rsid w:val="005662D1"/>
    <w:rsid w:val="00573A09"/>
    <w:rsid w:val="005A4526"/>
    <w:rsid w:val="005C1B16"/>
    <w:rsid w:val="005E53D0"/>
    <w:rsid w:val="006002EB"/>
    <w:rsid w:val="006128EF"/>
    <w:rsid w:val="006264B4"/>
    <w:rsid w:val="00643033"/>
    <w:rsid w:val="00644CC3"/>
    <w:rsid w:val="00661468"/>
    <w:rsid w:val="00663836"/>
    <w:rsid w:val="006649F0"/>
    <w:rsid w:val="006712FB"/>
    <w:rsid w:val="0067245D"/>
    <w:rsid w:val="0068470E"/>
    <w:rsid w:val="00695DCD"/>
    <w:rsid w:val="006A05CC"/>
    <w:rsid w:val="006A35A7"/>
    <w:rsid w:val="007152D7"/>
    <w:rsid w:val="00746C14"/>
    <w:rsid w:val="007C2C59"/>
    <w:rsid w:val="00801F23"/>
    <w:rsid w:val="00837632"/>
    <w:rsid w:val="0085640F"/>
    <w:rsid w:val="008567AA"/>
    <w:rsid w:val="00892712"/>
    <w:rsid w:val="008A680A"/>
    <w:rsid w:val="008B0BB0"/>
    <w:rsid w:val="008E6C4B"/>
    <w:rsid w:val="008F18C0"/>
    <w:rsid w:val="00907648"/>
    <w:rsid w:val="00930FDE"/>
    <w:rsid w:val="00984C93"/>
    <w:rsid w:val="00987CE1"/>
    <w:rsid w:val="0099405C"/>
    <w:rsid w:val="009C600F"/>
    <w:rsid w:val="009D3723"/>
    <w:rsid w:val="009E04F2"/>
    <w:rsid w:val="00A03B7B"/>
    <w:rsid w:val="00A200C9"/>
    <w:rsid w:val="00A250D5"/>
    <w:rsid w:val="00A32F56"/>
    <w:rsid w:val="00A36028"/>
    <w:rsid w:val="00A37A78"/>
    <w:rsid w:val="00A91424"/>
    <w:rsid w:val="00AA2C77"/>
    <w:rsid w:val="00AC3FB9"/>
    <w:rsid w:val="00AC702A"/>
    <w:rsid w:val="00AD226F"/>
    <w:rsid w:val="00B13A52"/>
    <w:rsid w:val="00B224CB"/>
    <w:rsid w:val="00B24CF4"/>
    <w:rsid w:val="00B26993"/>
    <w:rsid w:val="00B42EB3"/>
    <w:rsid w:val="00B4570C"/>
    <w:rsid w:val="00B5208C"/>
    <w:rsid w:val="00B74876"/>
    <w:rsid w:val="00BB7C2B"/>
    <w:rsid w:val="00BC1664"/>
    <w:rsid w:val="00BC2546"/>
    <w:rsid w:val="00C05085"/>
    <w:rsid w:val="00C1593D"/>
    <w:rsid w:val="00C56C7E"/>
    <w:rsid w:val="00C7335B"/>
    <w:rsid w:val="00C776A4"/>
    <w:rsid w:val="00CA2C6C"/>
    <w:rsid w:val="00CC0600"/>
    <w:rsid w:val="00CC78AC"/>
    <w:rsid w:val="00CD5C4A"/>
    <w:rsid w:val="00CF7953"/>
    <w:rsid w:val="00D07232"/>
    <w:rsid w:val="00D10245"/>
    <w:rsid w:val="00D11E83"/>
    <w:rsid w:val="00D21BDD"/>
    <w:rsid w:val="00D37AAE"/>
    <w:rsid w:val="00D65F07"/>
    <w:rsid w:val="00D92BB7"/>
    <w:rsid w:val="00DC76D2"/>
    <w:rsid w:val="00DD30ED"/>
    <w:rsid w:val="00E64C21"/>
    <w:rsid w:val="00EC24C6"/>
    <w:rsid w:val="00EF2933"/>
    <w:rsid w:val="00F05146"/>
    <w:rsid w:val="00F1115D"/>
    <w:rsid w:val="00F3513C"/>
    <w:rsid w:val="00F465C5"/>
    <w:rsid w:val="00F5180D"/>
    <w:rsid w:val="00F51B21"/>
    <w:rsid w:val="00F51D87"/>
    <w:rsid w:val="00F8455C"/>
    <w:rsid w:val="124E0928"/>
    <w:rsid w:val="2E195DDB"/>
    <w:rsid w:val="334D4607"/>
    <w:rsid w:val="341C738A"/>
    <w:rsid w:val="3D2C7F69"/>
    <w:rsid w:val="3D2E204C"/>
    <w:rsid w:val="3EEE7736"/>
    <w:rsid w:val="5F774D66"/>
    <w:rsid w:val="689E786F"/>
    <w:rsid w:val="6E752768"/>
    <w:rsid w:val="7B7D7C0C"/>
    <w:rsid w:val="7C2D3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qFormat="1"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qFormat="1"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qFormat="1"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qFormat="1"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qFormat="1" w:unhideWhenUsed="0" w:uiPriority="0" w:semiHidden="0" w:name="Table Columns 3"/>
    <w:lsdException w:qFormat="1" w:unhideWhenUsed="0" w:uiPriority="0" w:semiHidden="0" w:name="Table Columns 4"/>
    <w:lsdException w:unhideWhenUsed="0" w:uiPriority="0" w:semiHidden="0" w:name="Table Columns 5"/>
    <w:lsdException w:qFormat="1" w:unhideWhenUsed="0" w:uiPriority="0" w:semiHidden="0" w:name="Table Grid 1"/>
    <w:lsdException w:qFormat="1"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qFormat="1"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qFormat="1"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qFormat="1" w:unhideWhenUsed="0" w:uiPriority="0" w:semiHidden="0" w:name="Table Web 2"/>
    <w:lsdException w:qFormat="1"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qFormat="1" w:unhideWhenUsed="0" w:uiPriority="0" w:semiHidden="0" w:name="Table Theme"/>
  </w:latentStyles>
  <w:style w:type="paragraph" w:default="1" w:styleId="1">
    <w:name w:val="Normal"/>
    <w:qFormat/>
    <w:uiPriority w:val="0"/>
    <w:pPr>
      <w:spacing w:after="100" w:afterLines="100" w:line="276" w:lineRule="auto"/>
      <w:jc w:val="both"/>
    </w:pPr>
    <w:rPr>
      <w:rFonts w:ascii="Calibri" w:hAnsi="Calibri" w:eastAsiaTheme="minorEastAsia" w:cstheme="minorBidi"/>
      <w:sz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widowControl/>
      <w:spacing w:before="240" w:after="60"/>
      <w:jc w:val="both"/>
      <w:outlineLvl w:val="0"/>
    </w:pPr>
    <w:rPr>
      <w:rFonts w:cs="Arial"/>
      <w:b/>
      <w:bCs/>
      <w:kern w:val="32"/>
      <w:sz w:val="28"/>
      <w:szCs w:val="32"/>
    </w:rPr>
  </w:style>
  <w:style w:type="paragraph" w:styleId="3">
    <w:name w:val="heading 2"/>
    <w:basedOn w:val="1"/>
    <w:next w:val="1"/>
    <w:unhideWhenUsed/>
    <w:qFormat/>
    <w:uiPriority w:val="0"/>
    <w:pPr>
      <w:keepNext/>
      <w:widowControl/>
      <w:spacing w:before="240" w:after="60"/>
      <w:jc w:val="both"/>
      <w:outlineLvl w:val="1"/>
    </w:pPr>
    <w:rPr>
      <w:rFonts w:cs="Arial"/>
      <w:b/>
      <w:bCs/>
      <w:iCs/>
      <w:sz w:val="26"/>
      <w:szCs w:val="28"/>
    </w:rPr>
  </w:style>
  <w:style w:type="paragraph" w:styleId="4">
    <w:name w:val="heading 3"/>
    <w:basedOn w:val="1"/>
    <w:next w:val="1"/>
    <w:unhideWhenUsed/>
    <w:qFormat/>
    <w:uiPriority w:val="0"/>
    <w:pPr>
      <w:keepNext/>
      <w:widowControl/>
      <w:spacing w:before="240" w:after="60"/>
      <w:jc w:val="both"/>
      <w:outlineLvl w:val="2"/>
    </w:pPr>
    <w:rPr>
      <w:rFonts w:cs="Arial"/>
      <w:b/>
      <w:bCs/>
      <w:sz w:val="24"/>
      <w:szCs w:val="26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widowControl/>
      <w:spacing w:before="240" w:after="60"/>
      <w:jc w:val="left"/>
      <w:outlineLvl w:val="3"/>
    </w:pPr>
    <w:rPr>
      <w:b/>
      <w:bCs/>
      <w:kern w:val="0"/>
      <w:sz w:val="28"/>
      <w:szCs w:val="28"/>
    </w:rPr>
  </w:style>
  <w:style w:type="paragraph" w:styleId="6">
    <w:name w:val="heading 5"/>
    <w:basedOn w:val="1"/>
    <w:next w:val="1"/>
    <w:semiHidden/>
    <w:unhideWhenUsed/>
    <w:qFormat/>
    <w:uiPriority w:val="0"/>
    <w:pPr>
      <w:widowControl/>
      <w:spacing w:before="240" w:after="60"/>
      <w:jc w:val="left"/>
      <w:outlineLvl w:val="4"/>
    </w:pPr>
    <w:rPr>
      <w:b/>
      <w:bCs/>
      <w:i/>
      <w:iCs/>
      <w:kern w:val="0"/>
      <w:sz w:val="26"/>
      <w:szCs w:val="26"/>
    </w:rPr>
  </w:style>
  <w:style w:type="paragraph" w:styleId="7">
    <w:name w:val="heading 6"/>
    <w:basedOn w:val="1"/>
    <w:next w:val="1"/>
    <w:semiHidden/>
    <w:unhideWhenUsed/>
    <w:qFormat/>
    <w:uiPriority w:val="0"/>
    <w:pPr>
      <w:widowControl/>
      <w:spacing w:before="240" w:after="60"/>
      <w:outlineLvl w:val="5"/>
    </w:pPr>
    <w:rPr>
      <w:b/>
      <w:bCs/>
      <w:kern w:val="0"/>
      <w:sz w:val="22"/>
      <w:szCs w:val="22"/>
    </w:rPr>
  </w:style>
  <w:style w:type="paragraph" w:styleId="8">
    <w:name w:val="heading 7"/>
    <w:basedOn w:val="1"/>
    <w:next w:val="1"/>
    <w:semiHidden/>
    <w:unhideWhenUsed/>
    <w:qFormat/>
    <w:uiPriority w:val="0"/>
    <w:pPr>
      <w:widowControl/>
      <w:spacing w:before="240" w:after="60"/>
      <w:outlineLvl w:val="6"/>
    </w:pPr>
    <w:rPr>
      <w:kern w:val="0"/>
      <w:sz w:val="24"/>
      <w:szCs w:val="24"/>
    </w:rPr>
  </w:style>
  <w:style w:type="paragraph" w:styleId="9">
    <w:name w:val="heading 8"/>
    <w:basedOn w:val="1"/>
    <w:next w:val="1"/>
    <w:semiHidden/>
    <w:unhideWhenUsed/>
    <w:qFormat/>
    <w:uiPriority w:val="0"/>
    <w:pPr>
      <w:widowControl/>
      <w:spacing w:before="240" w:after="60"/>
      <w:jc w:val="left"/>
      <w:outlineLvl w:val="7"/>
    </w:pPr>
    <w:rPr>
      <w:i/>
      <w:iCs/>
      <w:kern w:val="0"/>
      <w:sz w:val="24"/>
      <w:szCs w:val="24"/>
    </w:rPr>
  </w:style>
  <w:style w:type="paragraph" w:styleId="10">
    <w:name w:val="heading 9"/>
    <w:basedOn w:val="1"/>
    <w:next w:val="1"/>
    <w:semiHidden/>
    <w:unhideWhenUsed/>
    <w:qFormat/>
    <w:uiPriority w:val="0"/>
    <w:pPr>
      <w:widowControl/>
      <w:spacing w:before="240" w:after="60"/>
      <w:jc w:val="left"/>
      <w:outlineLvl w:val="8"/>
    </w:pPr>
    <w:rPr>
      <w:rFonts w:ascii="Arial" w:hAnsi="Arial" w:cs="Arial"/>
      <w:kern w:val="0"/>
      <w:sz w:val="22"/>
      <w:szCs w:val="22"/>
    </w:rPr>
  </w:style>
  <w:style w:type="character" w:default="1" w:styleId="11">
    <w:name w:val="Default Paragraph Font"/>
    <w:semiHidden/>
    <w:uiPriority w:val="0"/>
  </w:style>
  <w:style w:type="table" w:default="1" w:styleId="1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HTML Sample"/>
    <w:basedOn w:val="11"/>
    <w:uiPriority w:val="0"/>
    <w:rPr>
      <w:rFonts w:ascii="Courier New" w:hAnsi="Courier New" w:cs="Courier New"/>
    </w:rPr>
  </w:style>
  <w:style w:type="character" w:styleId="14">
    <w:name w:val="FollowedHyperlink"/>
    <w:basedOn w:val="11"/>
    <w:uiPriority w:val="0"/>
    <w:rPr>
      <w:color w:val="800080"/>
      <w:u w:val="single"/>
    </w:rPr>
  </w:style>
  <w:style w:type="character" w:styleId="15">
    <w:name w:val="footnote reference"/>
    <w:basedOn w:val="11"/>
    <w:uiPriority w:val="0"/>
    <w:rPr>
      <w:vertAlign w:val="superscript"/>
    </w:rPr>
  </w:style>
  <w:style w:type="character" w:styleId="16">
    <w:name w:val="annotation reference"/>
    <w:basedOn w:val="11"/>
    <w:uiPriority w:val="0"/>
    <w:rPr>
      <w:sz w:val="21"/>
      <w:szCs w:val="21"/>
    </w:rPr>
  </w:style>
  <w:style w:type="character" w:styleId="17">
    <w:name w:val="endnote reference"/>
    <w:basedOn w:val="11"/>
    <w:uiPriority w:val="0"/>
    <w:rPr>
      <w:vertAlign w:val="superscript"/>
    </w:rPr>
  </w:style>
  <w:style w:type="character" w:styleId="18">
    <w:name w:val="HTML Acronym"/>
    <w:basedOn w:val="11"/>
    <w:uiPriority w:val="0"/>
  </w:style>
  <w:style w:type="character" w:styleId="19">
    <w:name w:val="Emphasis"/>
    <w:basedOn w:val="11"/>
    <w:qFormat/>
    <w:uiPriority w:val="0"/>
    <w:rPr>
      <w:i/>
      <w:iCs/>
    </w:rPr>
  </w:style>
  <w:style w:type="character" w:styleId="20">
    <w:name w:val="Hyperlink"/>
    <w:basedOn w:val="11"/>
    <w:uiPriority w:val="0"/>
    <w:rPr>
      <w:color w:val="0000FF"/>
      <w:u w:val="single"/>
    </w:rPr>
  </w:style>
  <w:style w:type="character" w:styleId="21">
    <w:name w:val="HTML Keyboard"/>
    <w:basedOn w:val="11"/>
    <w:uiPriority w:val="0"/>
    <w:rPr>
      <w:rFonts w:ascii="Courier New" w:hAnsi="Courier New" w:cs="Courier New"/>
      <w:sz w:val="20"/>
      <w:szCs w:val="20"/>
    </w:rPr>
  </w:style>
  <w:style w:type="character" w:styleId="22">
    <w:name w:val="HTML Code"/>
    <w:basedOn w:val="11"/>
    <w:uiPriority w:val="0"/>
    <w:rPr>
      <w:rFonts w:ascii="Courier New" w:hAnsi="Courier New" w:cs="Courier New"/>
      <w:sz w:val="20"/>
      <w:szCs w:val="20"/>
    </w:rPr>
  </w:style>
  <w:style w:type="character" w:styleId="23">
    <w:name w:val="page number"/>
    <w:basedOn w:val="11"/>
    <w:uiPriority w:val="0"/>
  </w:style>
  <w:style w:type="character" w:styleId="24">
    <w:name w:val="line number"/>
    <w:basedOn w:val="11"/>
    <w:uiPriority w:val="0"/>
  </w:style>
  <w:style w:type="character" w:styleId="25">
    <w:name w:val="HTML Definition"/>
    <w:basedOn w:val="11"/>
    <w:uiPriority w:val="0"/>
    <w:rPr>
      <w:i/>
      <w:iCs/>
    </w:rPr>
  </w:style>
  <w:style w:type="character" w:styleId="26">
    <w:name w:val="HTML Variable"/>
    <w:basedOn w:val="11"/>
    <w:uiPriority w:val="0"/>
    <w:rPr>
      <w:i/>
      <w:iCs/>
    </w:rPr>
  </w:style>
  <w:style w:type="character" w:styleId="27">
    <w:name w:val="HTML Typewriter"/>
    <w:basedOn w:val="11"/>
    <w:uiPriority w:val="0"/>
    <w:rPr>
      <w:rFonts w:ascii="Courier New" w:hAnsi="Courier New" w:cs="Courier New"/>
      <w:sz w:val="20"/>
      <w:szCs w:val="20"/>
    </w:rPr>
  </w:style>
  <w:style w:type="character" w:styleId="28">
    <w:name w:val="Strong"/>
    <w:basedOn w:val="11"/>
    <w:qFormat/>
    <w:uiPriority w:val="0"/>
    <w:rPr>
      <w:b/>
      <w:bCs/>
    </w:rPr>
  </w:style>
  <w:style w:type="character" w:styleId="29">
    <w:name w:val="HTML Cite"/>
    <w:basedOn w:val="11"/>
    <w:uiPriority w:val="0"/>
    <w:rPr>
      <w:i/>
      <w:iCs/>
    </w:rPr>
  </w:style>
  <w:style w:type="paragraph" w:styleId="30">
    <w:name w:val="Balloon Text"/>
    <w:basedOn w:val="1"/>
    <w:uiPriority w:val="0"/>
    <w:rPr>
      <w:sz w:val="16"/>
      <w:szCs w:val="16"/>
    </w:rPr>
  </w:style>
  <w:style w:type="paragraph" w:styleId="31">
    <w:name w:val="List 5"/>
    <w:basedOn w:val="1"/>
    <w:uiPriority w:val="0"/>
    <w:pPr>
      <w:ind w:left="1800" w:hanging="360"/>
    </w:pPr>
  </w:style>
  <w:style w:type="paragraph" w:styleId="32">
    <w:name w:val="List Continue"/>
    <w:basedOn w:val="1"/>
    <w:uiPriority w:val="0"/>
    <w:pPr>
      <w:spacing w:after="120"/>
      <w:ind w:left="360"/>
    </w:pPr>
  </w:style>
  <w:style w:type="paragraph" w:styleId="33">
    <w:name w:val="Body Text 2"/>
    <w:basedOn w:val="1"/>
    <w:uiPriority w:val="0"/>
    <w:pPr>
      <w:spacing w:after="120" w:line="480" w:lineRule="auto"/>
    </w:pPr>
  </w:style>
  <w:style w:type="paragraph" w:styleId="34">
    <w:name w:val="List Number 5"/>
    <w:basedOn w:val="1"/>
    <w:uiPriority w:val="0"/>
    <w:pPr>
      <w:numPr>
        <w:ilvl w:val="0"/>
        <w:numId w:val="1"/>
      </w:numPr>
    </w:pPr>
  </w:style>
  <w:style w:type="paragraph" w:styleId="35">
    <w:name w:val="Closing"/>
    <w:basedOn w:val="1"/>
    <w:uiPriority w:val="0"/>
    <w:pPr>
      <w:ind w:left="4320"/>
    </w:pPr>
  </w:style>
  <w:style w:type="paragraph" w:styleId="36">
    <w:name w:val="Normal Indent"/>
    <w:basedOn w:val="1"/>
    <w:uiPriority w:val="0"/>
    <w:pPr>
      <w:ind w:left="708"/>
    </w:pPr>
  </w:style>
  <w:style w:type="paragraph" w:styleId="37">
    <w:name w:val="envelope return"/>
    <w:basedOn w:val="1"/>
    <w:uiPriority w:val="0"/>
    <w:rPr>
      <w:rFonts w:ascii="Arial" w:hAnsi="Arial" w:cs="Arial"/>
      <w:sz w:val="20"/>
    </w:rPr>
  </w:style>
  <w:style w:type="paragraph" w:styleId="38">
    <w:name w:val="Plain Text"/>
    <w:basedOn w:val="1"/>
    <w:uiPriority w:val="0"/>
    <w:rPr>
      <w:rFonts w:ascii="Courier New" w:hAnsi="Courier New" w:cs="Courier New"/>
      <w:sz w:val="20"/>
    </w:rPr>
  </w:style>
  <w:style w:type="paragraph" w:styleId="39">
    <w:name w:val="Body Text Indent 3"/>
    <w:basedOn w:val="1"/>
    <w:uiPriority w:val="0"/>
    <w:pPr>
      <w:spacing w:after="120"/>
      <w:ind w:left="360"/>
    </w:pPr>
    <w:rPr>
      <w:sz w:val="16"/>
      <w:szCs w:val="16"/>
    </w:rPr>
  </w:style>
  <w:style w:type="paragraph" w:styleId="40">
    <w:name w:val="endnote text"/>
    <w:basedOn w:val="1"/>
    <w:uiPriority w:val="0"/>
    <w:pPr>
      <w:snapToGrid w:val="0"/>
      <w:jc w:val="left"/>
    </w:pPr>
  </w:style>
  <w:style w:type="paragraph" w:styleId="41">
    <w:name w:val="caption"/>
    <w:basedOn w:val="1"/>
    <w:next w:val="1"/>
    <w:semiHidden/>
    <w:unhideWhenUsed/>
    <w:qFormat/>
    <w:uiPriority w:val="0"/>
    <w:rPr>
      <w:rFonts w:ascii="Arial" w:hAnsi="Arial" w:eastAsia="黑体" w:cs="Arial"/>
      <w:sz w:val="20"/>
    </w:rPr>
  </w:style>
  <w:style w:type="paragraph" w:styleId="42">
    <w:name w:val="annotation text"/>
    <w:basedOn w:val="1"/>
    <w:uiPriority w:val="0"/>
    <w:pPr>
      <w:jc w:val="left"/>
    </w:pPr>
  </w:style>
  <w:style w:type="paragraph" w:styleId="43">
    <w:name w:val="index 1"/>
    <w:basedOn w:val="1"/>
    <w:next w:val="1"/>
    <w:uiPriority w:val="0"/>
  </w:style>
  <w:style w:type="paragraph" w:styleId="44">
    <w:name w:val="annotation subject"/>
    <w:basedOn w:val="42"/>
    <w:next w:val="42"/>
    <w:uiPriority w:val="0"/>
    <w:rPr>
      <w:b/>
      <w:bCs/>
    </w:rPr>
  </w:style>
  <w:style w:type="paragraph" w:styleId="45">
    <w:name w:val="Document Map"/>
    <w:basedOn w:val="1"/>
    <w:uiPriority w:val="0"/>
    <w:pPr>
      <w:shd w:val="clear" w:color="auto" w:fill="000080"/>
    </w:pPr>
  </w:style>
  <w:style w:type="paragraph" w:styleId="46">
    <w:name w:val="footnote text"/>
    <w:basedOn w:val="1"/>
    <w:uiPriority w:val="0"/>
    <w:pPr>
      <w:snapToGrid w:val="0"/>
      <w:jc w:val="left"/>
    </w:pPr>
    <w:rPr>
      <w:sz w:val="18"/>
      <w:szCs w:val="18"/>
    </w:rPr>
  </w:style>
  <w:style w:type="paragraph" w:styleId="47">
    <w:name w:val="toc 8"/>
    <w:basedOn w:val="1"/>
    <w:next w:val="1"/>
    <w:uiPriority w:val="0"/>
    <w:pPr>
      <w:ind w:left="2940" w:leftChars="1400"/>
    </w:pPr>
  </w:style>
  <w:style w:type="paragraph" w:styleId="48">
    <w:name w:val="index 2"/>
    <w:basedOn w:val="1"/>
    <w:next w:val="1"/>
    <w:uiPriority w:val="0"/>
    <w:pPr>
      <w:ind w:left="200" w:leftChars="200"/>
    </w:pPr>
  </w:style>
  <w:style w:type="paragraph" w:styleId="49">
    <w:name w:val="List Number 3"/>
    <w:basedOn w:val="1"/>
    <w:uiPriority w:val="0"/>
    <w:pPr>
      <w:numPr>
        <w:ilvl w:val="0"/>
        <w:numId w:val="2"/>
      </w:numPr>
    </w:pPr>
  </w:style>
  <w:style w:type="paragraph" w:styleId="50">
    <w:name w:val="HTML Address"/>
    <w:basedOn w:val="1"/>
    <w:uiPriority w:val="0"/>
    <w:rPr>
      <w:i/>
      <w:iCs/>
    </w:rPr>
  </w:style>
  <w:style w:type="paragraph" w:styleId="51">
    <w:name w:val="index 7"/>
    <w:basedOn w:val="1"/>
    <w:next w:val="1"/>
    <w:uiPriority w:val="0"/>
    <w:pPr>
      <w:ind w:left="1200" w:leftChars="1200"/>
    </w:pPr>
  </w:style>
  <w:style w:type="paragraph" w:styleId="52">
    <w:name w:val="index 3"/>
    <w:basedOn w:val="1"/>
    <w:next w:val="1"/>
    <w:uiPriority w:val="0"/>
    <w:pPr>
      <w:ind w:left="400" w:leftChars="400"/>
    </w:pPr>
  </w:style>
  <w:style w:type="paragraph" w:styleId="53">
    <w:name w:val="index 5"/>
    <w:basedOn w:val="1"/>
    <w:next w:val="1"/>
    <w:uiPriority w:val="0"/>
    <w:pPr>
      <w:ind w:left="800" w:leftChars="800"/>
    </w:pPr>
  </w:style>
  <w:style w:type="paragraph" w:styleId="54">
    <w:name w:val="index 4"/>
    <w:basedOn w:val="1"/>
    <w:next w:val="1"/>
    <w:uiPriority w:val="0"/>
    <w:pPr>
      <w:ind w:left="600" w:leftChars="600"/>
    </w:pPr>
  </w:style>
  <w:style w:type="paragraph" w:styleId="55">
    <w:name w:val="header"/>
    <w:basedOn w:val="1"/>
    <w:uiPriority w:val="0"/>
    <w:pPr>
      <w:tabs>
        <w:tab w:val="center" w:pos="4153"/>
        <w:tab w:val="right" w:pos="8306"/>
      </w:tabs>
    </w:pPr>
  </w:style>
  <w:style w:type="paragraph" w:styleId="56">
    <w:name w:val="toc 9"/>
    <w:basedOn w:val="1"/>
    <w:next w:val="1"/>
    <w:uiPriority w:val="0"/>
    <w:pPr>
      <w:ind w:left="3360" w:leftChars="1600"/>
    </w:pPr>
  </w:style>
  <w:style w:type="paragraph" w:styleId="57">
    <w:name w:val="toc 7"/>
    <w:basedOn w:val="1"/>
    <w:next w:val="1"/>
    <w:uiPriority w:val="0"/>
    <w:pPr>
      <w:ind w:left="2520" w:leftChars="1200"/>
    </w:pPr>
  </w:style>
  <w:style w:type="paragraph" w:styleId="58">
    <w:name w:val="index 6"/>
    <w:basedOn w:val="1"/>
    <w:next w:val="1"/>
    <w:uiPriority w:val="0"/>
    <w:pPr>
      <w:ind w:left="1000" w:leftChars="1000"/>
    </w:pPr>
  </w:style>
  <w:style w:type="paragraph" w:styleId="59">
    <w:name w:val="envelope address"/>
    <w:basedOn w:val="1"/>
    <w:uiPriority w:val="0"/>
    <w:pPr>
      <w:framePr w:w="7920" w:h="1980" w:hRule="exact" w:hSpace="180" w:wrap="around" w:vAnchor="margin" w:hAnchor="page" w:xAlign="center" w:yAlign="bottom"/>
      <w:ind w:left="2880"/>
    </w:pPr>
    <w:rPr>
      <w:rFonts w:ascii="Arial" w:hAnsi="Arial" w:cs="Arial"/>
      <w:sz w:val="24"/>
      <w:szCs w:val="24"/>
    </w:rPr>
  </w:style>
  <w:style w:type="paragraph" w:styleId="60">
    <w:name w:val="index 8"/>
    <w:basedOn w:val="1"/>
    <w:next w:val="1"/>
    <w:uiPriority w:val="0"/>
    <w:pPr>
      <w:ind w:left="1400" w:leftChars="1400"/>
    </w:pPr>
  </w:style>
  <w:style w:type="paragraph" w:styleId="61">
    <w:name w:val="Body Text"/>
    <w:basedOn w:val="1"/>
    <w:uiPriority w:val="0"/>
    <w:pPr>
      <w:spacing w:after="120"/>
    </w:pPr>
  </w:style>
  <w:style w:type="paragraph" w:styleId="62">
    <w:name w:val="index 9"/>
    <w:basedOn w:val="1"/>
    <w:next w:val="1"/>
    <w:uiPriority w:val="0"/>
    <w:pPr>
      <w:ind w:left="1600" w:leftChars="1600"/>
    </w:pPr>
  </w:style>
  <w:style w:type="paragraph" w:styleId="63">
    <w:name w:val="List Number 4"/>
    <w:basedOn w:val="1"/>
    <w:uiPriority w:val="0"/>
    <w:pPr>
      <w:numPr>
        <w:ilvl w:val="0"/>
        <w:numId w:val="3"/>
      </w:numPr>
    </w:pPr>
  </w:style>
  <w:style w:type="paragraph" w:styleId="64">
    <w:name w:val="toa heading"/>
    <w:basedOn w:val="1"/>
    <w:next w:val="1"/>
    <w:uiPriority w:val="0"/>
    <w:pPr>
      <w:spacing w:before="120"/>
    </w:pPr>
    <w:rPr>
      <w:rFonts w:ascii="Arial" w:hAnsi="Arial" w:cs="Arial"/>
      <w:sz w:val="24"/>
      <w:szCs w:val="24"/>
    </w:rPr>
  </w:style>
  <w:style w:type="paragraph" w:styleId="65">
    <w:name w:val="index heading"/>
    <w:basedOn w:val="1"/>
    <w:next w:val="43"/>
    <w:uiPriority w:val="0"/>
    <w:rPr>
      <w:rFonts w:ascii="Arial" w:hAnsi="Arial" w:cs="Arial"/>
      <w:b/>
      <w:bCs/>
    </w:rPr>
  </w:style>
  <w:style w:type="paragraph" w:styleId="66">
    <w:name w:val="toc 1"/>
    <w:basedOn w:val="1"/>
    <w:next w:val="1"/>
    <w:uiPriority w:val="0"/>
  </w:style>
  <w:style w:type="paragraph" w:styleId="67">
    <w:name w:val="table of authorities"/>
    <w:basedOn w:val="1"/>
    <w:next w:val="1"/>
    <w:uiPriority w:val="0"/>
    <w:pPr>
      <w:ind w:left="420" w:leftChars="200"/>
    </w:pPr>
  </w:style>
  <w:style w:type="paragraph" w:styleId="68">
    <w:name w:val="macro"/>
    <w:uiPriority w:val="0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 w:eastAsiaTheme="minorEastAsia"/>
      <w:kern w:val="2"/>
      <w:sz w:val="24"/>
      <w:szCs w:val="24"/>
      <w:lang w:val="en-US" w:eastAsia="zh-CN" w:bidi="ar-SA"/>
    </w:rPr>
  </w:style>
  <w:style w:type="paragraph" w:styleId="69">
    <w:name w:val="toc 6"/>
    <w:basedOn w:val="1"/>
    <w:next w:val="1"/>
    <w:uiPriority w:val="0"/>
    <w:pPr>
      <w:ind w:left="2100" w:leftChars="1000"/>
    </w:pPr>
  </w:style>
  <w:style w:type="paragraph" w:styleId="70">
    <w:name w:val="table of figures"/>
    <w:basedOn w:val="1"/>
    <w:next w:val="1"/>
    <w:uiPriority w:val="0"/>
    <w:pPr>
      <w:ind w:leftChars="200" w:hanging="200" w:hangingChars="200"/>
    </w:pPr>
  </w:style>
  <w:style w:type="paragraph" w:styleId="71">
    <w:name w:val="toc 3"/>
    <w:basedOn w:val="1"/>
    <w:next w:val="1"/>
    <w:uiPriority w:val="0"/>
    <w:pPr>
      <w:ind w:left="840" w:leftChars="400"/>
    </w:pPr>
  </w:style>
  <w:style w:type="paragraph" w:styleId="72">
    <w:name w:val="toc 2"/>
    <w:basedOn w:val="1"/>
    <w:next w:val="1"/>
    <w:uiPriority w:val="0"/>
    <w:pPr>
      <w:ind w:left="420" w:leftChars="200"/>
    </w:pPr>
  </w:style>
  <w:style w:type="paragraph" w:styleId="73">
    <w:name w:val="toc 4"/>
    <w:basedOn w:val="1"/>
    <w:next w:val="1"/>
    <w:uiPriority w:val="0"/>
    <w:pPr>
      <w:ind w:left="1260" w:leftChars="600"/>
    </w:pPr>
  </w:style>
  <w:style w:type="paragraph" w:styleId="74">
    <w:name w:val="toc 5"/>
    <w:basedOn w:val="1"/>
    <w:next w:val="1"/>
    <w:uiPriority w:val="0"/>
    <w:pPr>
      <w:ind w:left="1680" w:leftChars="800"/>
    </w:pPr>
  </w:style>
  <w:style w:type="paragraph" w:styleId="75">
    <w:name w:val="Note Heading"/>
    <w:basedOn w:val="1"/>
    <w:next w:val="1"/>
    <w:uiPriority w:val="0"/>
  </w:style>
  <w:style w:type="paragraph" w:styleId="76">
    <w:name w:val="Date"/>
    <w:basedOn w:val="1"/>
    <w:next w:val="1"/>
    <w:uiPriority w:val="0"/>
  </w:style>
  <w:style w:type="paragraph" w:styleId="77">
    <w:name w:val="List Bullet 5"/>
    <w:basedOn w:val="1"/>
    <w:uiPriority w:val="0"/>
    <w:pPr>
      <w:numPr>
        <w:ilvl w:val="0"/>
        <w:numId w:val="4"/>
      </w:numPr>
    </w:pPr>
  </w:style>
  <w:style w:type="paragraph" w:styleId="78">
    <w:name w:val="Body Text First Indent"/>
    <w:basedOn w:val="61"/>
    <w:uiPriority w:val="0"/>
    <w:pPr>
      <w:ind w:firstLine="210"/>
    </w:pPr>
  </w:style>
  <w:style w:type="paragraph" w:styleId="79">
    <w:name w:val="Body Text First Indent 2"/>
    <w:basedOn w:val="80"/>
    <w:uiPriority w:val="0"/>
    <w:pPr>
      <w:ind w:firstLine="210"/>
    </w:pPr>
  </w:style>
  <w:style w:type="paragraph" w:styleId="80">
    <w:name w:val="Body Text Indent"/>
    <w:basedOn w:val="1"/>
    <w:uiPriority w:val="0"/>
    <w:pPr>
      <w:spacing w:after="120"/>
      <w:ind w:left="360"/>
    </w:pPr>
  </w:style>
  <w:style w:type="paragraph" w:styleId="81">
    <w:name w:val="List Bullet 4"/>
    <w:basedOn w:val="1"/>
    <w:uiPriority w:val="0"/>
    <w:pPr>
      <w:numPr>
        <w:ilvl w:val="0"/>
        <w:numId w:val="5"/>
      </w:numPr>
    </w:pPr>
  </w:style>
  <w:style w:type="paragraph" w:styleId="82">
    <w:name w:val="List Bullet"/>
    <w:basedOn w:val="1"/>
    <w:uiPriority w:val="0"/>
    <w:pPr>
      <w:numPr>
        <w:ilvl w:val="0"/>
        <w:numId w:val="6"/>
      </w:numPr>
    </w:pPr>
  </w:style>
  <w:style w:type="paragraph" w:styleId="83">
    <w:name w:val="List Bullet 2"/>
    <w:basedOn w:val="1"/>
    <w:uiPriority w:val="0"/>
    <w:pPr>
      <w:numPr>
        <w:ilvl w:val="0"/>
        <w:numId w:val="7"/>
      </w:numPr>
    </w:pPr>
  </w:style>
  <w:style w:type="paragraph" w:styleId="84">
    <w:name w:val="List Bullet 3"/>
    <w:basedOn w:val="1"/>
    <w:uiPriority w:val="0"/>
    <w:pPr>
      <w:numPr>
        <w:ilvl w:val="0"/>
        <w:numId w:val="8"/>
      </w:numPr>
    </w:pPr>
  </w:style>
  <w:style w:type="paragraph" w:styleId="85">
    <w:name w:val="Title"/>
    <w:basedOn w:val="1"/>
    <w:qFormat/>
    <w:uiPriority w:val="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86">
    <w:name w:val="footer"/>
    <w:basedOn w:val="1"/>
    <w:uiPriority w:val="0"/>
    <w:pPr>
      <w:tabs>
        <w:tab w:val="center" w:pos="4153"/>
        <w:tab w:val="right" w:pos="8306"/>
      </w:tabs>
    </w:pPr>
  </w:style>
  <w:style w:type="paragraph" w:styleId="87">
    <w:name w:val="List Number"/>
    <w:basedOn w:val="1"/>
    <w:uiPriority w:val="0"/>
    <w:pPr>
      <w:numPr>
        <w:ilvl w:val="0"/>
        <w:numId w:val="9"/>
      </w:numPr>
    </w:pPr>
  </w:style>
  <w:style w:type="paragraph" w:styleId="88">
    <w:name w:val="List Number 2"/>
    <w:basedOn w:val="1"/>
    <w:uiPriority w:val="0"/>
    <w:pPr>
      <w:numPr>
        <w:ilvl w:val="0"/>
        <w:numId w:val="10"/>
      </w:numPr>
    </w:pPr>
  </w:style>
  <w:style w:type="paragraph" w:styleId="89">
    <w:name w:val="List"/>
    <w:basedOn w:val="1"/>
    <w:uiPriority w:val="0"/>
    <w:pPr>
      <w:ind w:left="360" w:hanging="360"/>
    </w:pPr>
  </w:style>
  <w:style w:type="paragraph" w:styleId="90">
    <w:name w:val="Normal (Web)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szCs w:val="24"/>
      <w:lang w:val="en-US" w:eastAsia="zh-CN" w:bidi="ar"/>
    </w:rPr>
  </w:style>
  <w:style w:type="paragraph" w:styleId="91">
    <w:name w:val="Body Text 3"/>
    <w:basedOn w:val="1"/>
    <w:uiPriority w:val="0"/>
    <w:pPr>
      <w:spacing w:after="120"/>
    </w:pPr>
    <w:rPr>
      <w:sz w:val="16"/>
      <w:szCs w:val="16"/>
    </w:rPr>
  </w:style>
  <w:style w:type="paragraph" w:styleId="92">
    <w:name w:val="Body Text Indent 2"/>
    <w:basedOn w:val="1"/>
    <w:uiPriority w:val="0"/>
    <w:pPr>
      <w:spacing w:after="120" w:line="480" w:lineRule="auto"/>
      <w:ind w:left="360"/>
    </w:pPr>
  </w:style>
  <w:style w:type="paragraph" w:styleId="93">
    <w:name w:val="Subtitle"/>
    <w:basedOn w:val="1"/>
    <w:qFormat/>
    <w:uiPriority w:val="0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paragraph" w:styleId="94">
    <w:name w:val="Signature"/>
    <w:basedOn w:val="1"/>
    <w:uiPriority w:val="0"/>
    <w:pPr>
      <w:ind w:left="4320"/>
    </w:pPr>
  </w:style>
  <w:style w:type="paragraph" w:styleId="95">
    <w:name w:val="Salutation"/>
    <w:basedOn w:val="1"/>
    <w:next w:val="1"/>
    <w:uiPriority w:val="0"/>
  </w:style>
  <w:style w:type="paragraph" w:styleId="96">
    <w:name w:val="List Continue 2"/>
    <w:basedOn w:val="1"/>
    <w:uiPriority w:val="0"/>
    <w:pPr>
      <w:spacing w:after="120"/>
      <w:ind w:left="720"/>
    </w:pPr>
  </w:style>
  <w:style w:type="paragraph" w:styleId="97">
    <w:name w:val="List Continue 3"/>
    <w:basedOn w:val="1"/>
    <w:uiPriority w:val="0"/>
    <w:pPr>
      <w:spacing w:after="120"/>
      <w:ind w:left="1080"/>
    </w:pPr>
  </w:style>
  <w:style w:type="paragraph" w:styleId="98">
    <w:name w:val="List Continue 4"/>
    <w:basedOn w:val="1"/>
    <w:uiPriority w:val="0"/>
    <w:pPr>
      <w:spacing w:after="120"/>
      <w:ind w:left="1440"/>
    </w:pPr>
  </w:style>
  <w:style w:type="paragraph" w:styleId="99">
    <w:name w:val="List Continue 5"/>
    <w:basedOn w:val="1"/>
    <w:uiPriority w:val="0"/>
    <w:pPr>
      <w:spacing w:after="120"/>
      <w:ind w:left="1800"/>
    </w:pPr>
  </w:style>
  <w:style w:type="paragraph" w:styleId="100">
    <w:name w:val="List 2"/>
    <w:basedOn w:val="1"/>
    <w:uiPriority w:val="0"/>
    <w:pPr>
      <w:ind w:left="720" w:hanging="360"/>
    </w:pPr>
  </w:style>
  <w:style w:type="paragraph" w:styleId="101">
    <w:name w:val="List 3"/>
    <w:basedOn w:val="1"/>
    <w:uiPriority w:val="0"/>
    <w:pPr>
      <w:ind w:left="1080" w:hanging="360"/>
    </w:pPr>
  </w:style>
  <w:style w:type="paragraph" w:styleId="102">
    <w:name w:val="List 4"/>
    <w:basedOn w:val="1"/>
    <w:qFormat/>
    <w:uiPriority w:val="0"/>
    <w:pPr>
      <w:ind w:left="1440" w:hanging="360"/>
    </w:pPr>
  </w:style>
  <w:style w:type="paragraph" w:styleId="103">
    <w:name w:val="HTML Preformatted"/>
    <w:basedOn w:val="1"/>
    <w:uiPriority w:val="0"/>
    <w:rPr>
      <w:rFonts w:ascii="Courier New" w:hAnsi="Courier New" w:cs="Courier New"/>
      <w:sz w:val="20"/>
    </w:rPr>
  </w:style>
  <w:style w:type="paragraph" w:styleId="104">
    <w:name w:val="Block Text"/>
    <w:basedOn w:val="1"/>
    <w:qFormat/>
    <w:uiPriority w:val="0"/>
    <w:pPr>
      <w:spacing w:after="120"/>
      <w:ind w:left="1440" w:right="1440"/>
    </w:pPr>
  </w:style>
  <w:style w:type="paragraph" w:styleId="105">
    <w:name w:val="Message Header"/>
    <w:basedOn w:val="1"/>
    <w:qFormat/>
    <w:uiPriority w:val="0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080" w:hanging="1080"/>
    </w:pPr>
    <w:rPr>
      <w:rFonts w:ascii="Arial" w:hAnsi="Arial" w:cs="Arial"/>
      <w:sz w:val="24"/>
      <w:szCs w:val="24"/>
    </w:rPr>
  </w:style>
  <w:style w:type="paragraph" w:styleId="106">
    <w:name w:val="E-mail Signature"/>
    <w:basedOn w:val="1"/>
    <w:uiPriority w:val="0"/>
  </w:style>
  <w:style w:type="table" w:styleId="107">
    <w:name w:val="Table Colorful 2"/>
    <w:basedOn w:val="12"/>
    <w:qFormat/>
    <w:uiPriority w:val="0"/>
    <w:pPr>
      <w:widowControl w:val="0"/>
      <w:jc w:val="both"/>
    </w:pPr>
    <w:tblPr>
      <w:tblBorders>
        <w:bottom w:val="single" w:color="000000" w:sz="12" w:space="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8">
    <w:name w:val="Table Grid 2"/>
    <w:basedOn w:val="12"/>
    <w:qFormat/>
    <w:uiPriority w:val="0"/>
    <w:pPr>
      <w:widowControl w:val="0"/>
      <w:jc w:val="both"/>
    </w:pPr>
    <w:tblPr>
      <w:tblBorders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9">
    <w:name w:val="Table Subtle 1"/>
    <w:basedOn w:val="12"/>
    <w:qFormat/>
    <w:uiPriority w:val="0"/>
    <w:pPr>
      <w:widowControl w:val="0"/>
      <w:jc w:val="both"/>
    </w:pPr>
    <w:tblPr>
      <w:tblStyleRowBandSize w:val="1"/>
    </w:tblPr>
    <w:tblStylePr w:type="firstRow">
      <w:tblPr/>
      <w:tcPr>
        <w:tcBorders>
          <w:top w:val="single" w:color="000000" w:sz="6" w:space="0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800080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color="000000" w:sz="12" w:space="0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0">
    <w:name w:val="Table Theme"/>
    <w:basedOn w:val="1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11">
    <w:name w:val="Table Web 3"/>
    <w:basedOn w:val="12"/>
    <w:qFormat/>
    <w:uiPriority w:val="0"/>
    <w:pPr>
      <w:widowControl w:val="0"/>
      <w:jc w:val="both"/>
    </w:pPr>
    <w:tblPr>
      <w:tblCellSpacing w:w="20" w:type="dxa"/>
      <w:tblBorders>
        <w:top w:val="outset" w:color="auto" w:sz="24" w:space="0"/>
        <w:left w:val="outset" w:color="auto" w:sz="24" w:space="0"/>
        <w:bottom w:val="outset" w:color="auto" w:sz="24" w:space="0"/>
        <w:right w:val="outset" w:color="auto" w:sz="24" w:space="0"/>
        <w:insideH w:val="outset" w:color="auto" w:sz="6" w:space="0"/>
        <w:insideV w:val="out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2">
    <w:name w:val="Table Grid 6"/>
    <w:basedOn w:val="12"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13">
    <w:name w:val="Table Simple 1"/>
    <w:basedOn w:val="12"/>
    <w:uiPriority w:val="0"/>
    <w:pPr>
      <w:widowControl w:val="0"/>
      <w:jc w:val="both"/>
    </w:pPr>
    <w:tblPr>
      <w:tblBorders>
        <w:top w:val="single" w:color="008000" w:sz="12" w:space="0"/>
        <w:bottom w:val="single" w:color="008000" w:sz="12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8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8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4">
    <w:name w:val="Table Grid 1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5">
    <w:name w:val="Table 3D effects 2"/>
    <w:basedOn w:val="12"/>
    <w:qFormat/>
    <w:uiPriority w:val="0"/>
    <w:pPr>
      <w:widowControl w:val="0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color="FFFFFF" w:sz="6" w:space="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6">
    <w:name w:val="Table List 5"/>
    <w:basedOn w:val="12"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7">
    <w:name w:val="Table Classic 4"/>
    <w:basedOn w:val="12"/>
    <w:uiPriority w:val="0"/>
    <w:pPr>
      <w:widowControl w:val="0"/>
      <w:jc w:val="both"/>
    </w:pPr>
    <w:tblPr>
      <w:tblBorders>
        <w:top w:val="single" w:color="000000" w:sz="12" w:space="0"/>
        <w:left w:val="single" w:color="000000" w:sz="6" w:space="0"/>
        <w:bottom w:val="single" w:color="000000" w:sz="12" w:space="0"/>
        <w:right w:val="single" w:color="000000" w:sz="6" w:space="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8">
    <w:name w:val="Table Grid"/>
    <w:basedOn w:val="1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19">
    <w:name w:val="Table Classic 1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6" w:space="0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  <w:i w:val="0"/>
        <w:i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0">
    <w:name w:val="Table Grid 5"/>
    <w:basedOn w:val="12"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21">
    <w:name w:val="Table 3D effects 3"/>
    <w:basedOn w:val="12"/>
    <w:uiPriority w:val="0"/>
    <w:pPr>
      <w:widowControl w:val="0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color="FFFFFF" w:sz="6" w:space="0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2">
    <w:name w:val="Table Columns 3"/>
    <w:basedOn w:val="12"/>
    <w:qFormat/>
    <w:uiPriority w:val="0"/>
    <w:pPr>
      <w:widowControl w:val="0"/>
      <w:jc w:val="both"/>
    </w:pPr>
    <w:rPr>
      <w:b/>
      <w:bCs/>
    </w:r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V w:val="single" w:color="000080" w:sz="6" w:space="0"/>
      </w:tblBorders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color="00008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3">
    <w:name w:val="Table Columns 4"/>
    <w:basedOn w:val="12"/>
    <w:qFormat/>
    <w:uiPriority w:val="0"/>
    <w:pPr>
      <w:widowControl w:val="0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124">
    <w:name w:val="Table Classic 3"/>
    <w:basedOn w:val="12"/>
    <w:uiPriority w:val="0"/>
    <w:pPr>
      <w:widowControl w:val="0"/>
      <w:jc w:val="both"/>
    </w:pPr>
    <w:rPr>
      <w:color w:val="000080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5">
    <w:name w:val="Table Professional"/>
    <w:basedOn w:val="12"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26">
    <w:name w:val="Table Elegant"/>
    <w:basedOn w:val="12"/>
    <w:uiPriority w:val="0"/>
    <w:pPr>
      <w:widowControl w:val="0"/>
      <w:jc w:val="both"/>
    </w:p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7">
    <w:name w:val="Table Colorful 1"/>
    <w:basedOn w:val="12"/>
    <w:uiPriority w:val="0"/>
    <w:pPr>
      <w:widowControl w:val="0"/>
      <w:jc w:val="both"/>
    </w:pPr>
    <w:rPr>
      <w:color w:val="FFFFFF"/>
    </w:rPr>
    <w:tblPr>
      <w:tblBorders>
        <w:top w:val="single" w:color="008080" w:sz="12" w:space="0"/>
        <w:left w:val="single" w:color="008080" w:sz="12" w:space="0"/>
        <w:bottom w:val="single" w:color="008080" w:sz="12" w:space="0"/>
        <w:right w:val="single" w:color="008080" w:sz="12" w:space="0"/>
        <w:insideH w:val="single" w:color="00FFFF" w:sz="6" w:space="0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8">
    <w:name w:val="Table List 3"/>
    <w:basedOn w:val="12"/>
    <w:uiPriority w:val="0"/>
    <w:pPr>
      <w:widowControl w:val="0"/>
      <w:jc w:val="both"/>
    </w:pPr>
    <w:tblPr>
      <w:tblBorders>
        <w:top w:val="single" w:color="000000" w:sz="12" w:space="0"/>
        <w:bottom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i/>
        <w:iCs/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9">
    <w:name w:val="Table Web 2"/>
    <w:basedOn w:val="12"/>
    <w:qFormat/>
    <w:uiPriority w:val="0"/>
    <w:pPr>
      <w:widowControl w:val="0"/>
      <w:jc w:val="both"/>
    </w:pPr>
    <w:tblPr>
      <w:tblCellSpacing w:w="20" w:type="dxa"/>
      <w:tblBorders>
        <w:top w:val="inset" w:color="auto" w:sz="6" w:space="0"/>
        <w:left w:val="inset" w:color="auto" w:sz="6" w:space="0"/>
        <w:bottom w:val="inset" w:color="auto" w:sz="6" w:space="0"/>
        <w:right w:val="inset" w:color="auto" w:sz="6" w:space="0"/>
        <w:insideH w:val="inset" w:color="auto" w:sz="6" w:space="0"/>
        <w:insideV w:val="in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0">
    <w:name w:val="Table List 7"/>
    <w:basedOn w:val="12"/>
    <w:uiPriority w:val="0"/>
    <w:pPr>
      <w:widowControl w:val="0"/>
      <w:jc w:val="both"/>
    </w:p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</w:tblPr>
    <w:tblStylePr w:type="firstRow">
      <w:rPr>
        <w:b/>
        <w:bCs/>
      </w:rPr>
      <w:tblPr/>
      <w:tcPr>
        <w:tcBorders>
          <w:top w:val="nil"/>
          <w:left w:val="single" w:color="008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color="008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</w:style>
  <w:style w:type="table" w:styleId="131">
    <w:name w:val="Table Contemporary"/>
    <w:basedOn w:val="12"/>
    <w:uiPriority w:val="0"/>
    <w:pPr>
      <w:widowControl w:val="0"/>
      <w:jc w:val="both"/>
    </w:pPr>
    <w:tblPr>
      <w:tblBorders>
        <w:insideH w:val="single" w:color="FFFFFF" w:sz="18" w:space="0"/>
        <w:insideV w:val="single" w:color="FFFFFF" w:sz="18" w:space="0"/>
      </w:tblBorders>
    </w:tblPr>
    <w:tblStylePr w:type="fir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</w:style>
  <w:style w:type="table" w:styleId="132">
    <w:name w:val="Table List 6"/>
    <w:basedOn w:val="12"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000000" w:fill="FFFFFF"/>
      </w:tcPr>
    </w:tblStylePr>
  </w:style>
  <w:style w:type="table" w:styleId="133">
    <w:name w:val="Table Grid 4"/>
    <w:basedOn w:val="12"/>
    <w:uiPriority w:val="0"/>
    <w:pPr>
      <w:widowControl w:val="0"/>
      <w:jc w:val="both"/>
    </w:pPr>
    <w:tblPr>
      <w:tblBorders>
        <w:left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4">
    <w:name w:val="Table Columns 1"/>
    <w:basedOn w:val="12"/>
    <w:uiPriority w:val="0"/>
    <w:pPr>
      <w:widowControl w:val="0"/>
      <w:jc w:val="both"/>
    </w:pPr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blStylePr w:type="firstRow">
      <w:rPr>
        <w:b w:val="0"/>
        <w:bCs w:val="0"/>
      </w:rPr>
      <w:tblPr/>
      <w:tcPr>
        <w:tcBorders>
          <w:top w:val="nil"/>
          <w:left w:val="doub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5">
    <w:name w:val="Table List 8"/>
    <w:basedOn w:val="12"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V w:val="single" w:color="000000" w:sz="6" w:space="0"/>
      </w:tblBorders>
    </w:tblPr>
    <w:tblStylePr w:type="firstRow">
      <w:rPr>
        <w:b/>
        <w:bCs/>
        <w:i/>
        <w:i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0" w:color="FF0000" w:fill="FFFFFF"/>
      </w:tcPr>
    </w:tblStylePr>
  </w:style>
  <w:style w:type="table" w:styleId="136">
    <w:name w:val="Table Grid 3"/>
    <w:basedOn w:val="12"/>
    <w:uiPriority w:val="0"/>
    <w:pPr>
      <w:widowControl w:val="0"/>
      <w:jc w:val="both"/>
    </w:pPr>
    <w:tblPr>
      <w:tblBorders>
        <w:top w:val="single" w:color="000000" w:sz="6" w:space="0"/>
        <w:left w:val="single" w:color="000000" w:sz="12" w:space="0"/>
        <w:bottom w:val="single" w:color="000000" w:sz="6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7">
    <w:name w:val="Table Subtle 2"/>
    <w:basedOn w:val="12"/>
    <w:uiPriority w:val="0"/>
    <w:pPr>
      <w:widowControl w:val="0"/>
      <w:jc w:val="both"/>
    </w:pPr>
    <w:tblPr>
      <w:tblBorders>
        <w:left w:val="single" w:color="000000" w:sz="6" w:space="0"/>
        <w:right w:val="single" w:color="000000" w:sz="6" w:space="0"/>
      </w:tblBorders>
    </w:tblPr>
    <w:tblStylePr w:type="firstRow"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  <w:shd w:val="pct25" w:color="008000" w:fill="FFFFFF"/>
      </w:tcPr>
    </w:tblStylePr>
    <w:tblStylePr w:type="lastCol">
      <w:tblPr/>
      <w:tcPr>
        <w:tcBorders>
          <w:top w:val="nil"/>
          <w:left w:val="nil"/>
          <w:bottom w:val="single" w:color="000000" w:sz="12" w:space="0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8">
    <w:name w:val="Table List 4"/>
    <w:basedOn w:val="12"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8080" w:fill="FFFFFF"/>
      </w:tcPr>
    </w:tblStylePr>
  </w:style>
  <w:style w:type="table" w:styleId="139">
    <w:name w:val="Table List 1"/>
    <w:basedOn w:val="12"/>
    <w:uiPriority w:val="0"/>
    <w:pPr>
      <w:widowControl w:val="0"/>
      <w:jc w:val="both"/>
    </w:pPr>
    <w:tblPr>
      <w:tblBorders>
        <w:top w:val="single" w:color="008080" w:sz="12" w:space="0"/>
        <w:left w:val="single" w:color="008080" w:sz="6" w:space="0"/>
        <w:bottom w:val="single" w:color="008080" w:sz="12" w:space="0"/>
        <w:right w:val="single" w:color="008080" w:sz="6" w:space="0"/>
      </w:tblBorders>
    </w:tblPr>
    <w:tblStylePr w:type="firstRow">
      <w:rPr>
        <w:b/>
        <w:bCs/>
        <w:i/>
        <w:iCs/>
        <w:color w:val="800000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0">
    <w:name w:val="Table Web 1"/>
    <w:basedOn w:val="12"/>
    <w:uiPriority w:val="0"/>
    <w:pPr>
      <w:widowControl w:val="0"/>
      <w:jc w:val="both"/>
    </w:pPr>
    <w:tblPr>
      <w:tblCellSpacing w:w="20" w:type="dxa"/>
      <w:tblBorders>
        <w:top w:val="outset" w:color="auto" w:sz="6" w:space="0"/>
        <w:left w:val="outset" w:color="auto" w:sz="6" w:space="0"/>
        <w:bottom w:val="outset" w:color="auto" w:sz="6" w:space="0"/>
        <w:right w:val="outset" w:color="auto" w:sz="6" w:space="0"/>
        <w:insideH w:val="outset" w:color="auto" w:sz="6" w:space="0"/>
        <w:insideV w:val="out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1">
    <w:name w:val="Table Colorful 3"/>
    <w:basedOn w:val="12"/>
    <w:uiPriority w:val="0"/>
    <w:pPr>
      <w:widowControl w:val="0"/>
      <w:jc w:val="both"/>
    </w:pPr>
    <w:tblPr>
      <w:tblBorders>
        <w:top w:val="single" w:color="000000" w:sz="18" w:space="0"/>
        <w:left w:val="single" w:color="000000" w:sz="18" w:space="0"/>
        <w:bottom w:val="single" w:color="000000" w:sz="18" w:space="0"/>
        <w:right w:val="single" w:color="000000" w:sz="18" w:space="0"/>
        <w:insideH w:val="single" w:color="C0C0C0" w:sz="6" w:space="0"/>
      </w:tblBorders>
    </w:tblPr>
    <w:tcPr>
      <w:shd w:val="pct25" w:color="008080" w:fill="FFFFFF"/>
    </w:tcPr>
    <w:tblStylePr w:type="firstRow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firstCol">
      <w:tblPr/>
      <w:tcPr>
        <w:tcBorders>
          <w:top w:val="nil"/>
          <w:left w:val="nil"/>
          <w:bottom w:val="single" w:color="000000" w:sz="36" w:space="0"/>
          <w:right w:val="single" w:color="000000" w:sz="6" w:space="0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42">
    <w:name w:val="Table Columns 5"/>
    <w:basedOn w:val="12"/>
    <w:uiPriority w:val="0"/>
    <w:pPr>
      <w:widowControl w:val="0"/>
      <w:jc w:val="both"/>
    </w:pPr>
    <w:tblPr>
      <w:tblBorders>
        <w:top w:val="single" w:color="808080" w:sz="12" w:space="0"/>
        <w:left w:val="single" w:color="808080" w:sz="12" w:space="0"/>
        <w:bottom w:val="single" w:color="808080" w:sz="12" w:space="0"/>
        <w:right w:val="single" w:color="808080" w:sz="12" w:space="0"/>
        <w:insideV w:val="single" w:color="C0C0C0" w:sz="6" w:space="0"/>
      </w:tblBorders>
    </w:tblPr>
    <w:tblStylePr w:type="firstRow">
      <w:rPr>
        <w:b/>
        <w:bCs/>
        <w:i/>
        <w:iCs/>
      </w:rPr>
      <w:tblPr/>
      <w:tcPr>
        <w:tcBorders>
          <w:top w:val="nil"/>
          <w:left w:val="single" w:color="80808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80808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143">
    <w:name w:val="Table Classic 2"/>
    <w:basedOn w:val="12"/>
    <w:uiPriority w:val="0"/>
    <w:pPr>
      <w:widowControl w:val="0"/>
      <w:jc w:val="both"/>
    </w:pPr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4">
    <w:name w:val="Table Grid 7"/>
    <w:basedOn w:val="12"/>
    <w:uiPriority w:val="0"/>
    <w:pPr>
      <w:widowControl w:val="0"/>
      <w:jc w:val="both"/>
    </w:pPr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45">
    <w:name w:val="Table 3D effects 1"/>
    <w:basedOn w:val="12"/>
    <w:uiPriority w:val="0"/>
    <w:pPr>
      <w:widowControl w:val="0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top w:val="nil"/>
          <w:left w:val="single" w:color="80808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FFFFFF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color="FFFFFF" w:sz="6" w:space="0"/>
          <w:right w:val="nil"/>
          <w:insideH w:val="nil"/>
          <w:insideV w:val="nil"/>
          <w:tl2br w:val="nil"/>
          <w:tr2bl w:val="nil"/>
        </w:tcBorders>
      </w:tcPr>
    </w:tblStylePr>
    <w:tblStylePr w:type="n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6">
    <w:name w:val="Table Columns 2"/>
    <w:basedOn w:val="12"/>
    <w:uiPriority w:val="0"/>
    <w:pPr>
      <w:widowControl w:val="0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7">
    <w:name w:val="Table Simple 2"/>
    <w:basedOn w:val="12"/>
    <w:uiPriority w:val="0"/>
    <w:pPr>
      <w:widowControl w:val="0"/>
      <w:jc w:val="both"/>
    </w:pPr>
    <w:tblPr/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single" w:color="000000" w:sz="6" w:space="0"/>
          <w:right w:val="nil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8">
    <w:name w:val="Table Simple 3"/>
    <w:basedOn w:val="12"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49">
    <w:name w:val="Table Grid 8"/>
    <w:basedOn w:val="12"/>
    <w:uiPriority w:val="0"/>
    <w:pPr>
      <w:widowControl w:val="0"/>
      <w:jc w:val="both"/>
    </w:p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H w:val="single" w:color="000080" w:sz="6" w:space="0"/>
        <w:insideV w:val="single" w:color="000080" w:sz="6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50">
    <w:name w:val="Table List 2"/>
    <w:basedOn w:val="12"/>
    <w:uiPriority w:val="0"/>
    <w:pPr>
      <w:widowControl w:val="0"/>
      <w:jc w:val="both"/>
    </w:pPr>
    <w:tblPr>
      <w:tblBorders>
        <w:bottom w:val="single" w:color="808080" w:sz="12" w:space="0"/>
      </w:tblBorders>
    </w:tblPr>
    <w:tblStylePr w:type="firstRow">
      <w:rPr>
        <w:b/>
        <w:bCs/>
        <w:color w:val="FFFFFF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75" w:color="008080" w:fill="008000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200</TotalTime>
  <ScaleCrop>false</ScaleCrop>
  <LinksUpToDate>false</LinksUpToDate>
  <CharactersWithSpaces>0</CharactersWithSpaces>
  <Application>WPS Office_12.2.0.21936_F1E327BC-269C-435d-A152-05C5408002CA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2025-09-05T10:22:00Z</dcterms:created>
  <dc:creator>topte</dc:creator>
  <cp:lastModifiedBy>topte</cp:lastModifiedBy>
  <dcterms:modified xsi:type="dcterms:W3CDTF">2025-09-05T14:12:17Z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1049-12.2.0.21936</vt:lpwstr>
  </property>
  <property fmtid="{D5CDD505-2E9C-101B-9397-08002B2CF9AE}" pid="3" name="ICV">
    <vt:lpwstr>014EC6DAAA974C25BBC74A127C346B36_11</vt:lpwstr>
  </property>
</Properties>
</file>