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E1" w:rsidRDefault="00652C85">
      <w:pPr>
        <w:rPr>
          <w:lang w:val="en-US"/>
        </w:rPr>
      </w:pPr>
      <w:r>
        <w:rPr>
          <w:lang w:val="en-US"/>
        </w:rPr>
        <w:t xml:space="preserve">    </w:t>
      </w:r>
    </w:p>
    <w:p w:rsidR="00652C85" w:rsidRDefault="00652C85">
      <w:pPr>
        <w:rPr>
          <w:lang w:val="en-US"/>
        </w:rPr>
      </w:pPr>
      <w:r w:rsidRPr="00652C85">
        <w:rPr>
          <w:lang w:val="en-US"/>
        </w:rPr>
        <w:drawing>
          <wp:inline distT="0" distB="0" distL="0" distR="0">
            <wp:extent cx="6332855" cy="3863975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52C85" w:rsidRDefault="00652C85">
      <w:pPr>
        <w:rPr>
          <w:lang w:val="en-US"/>
        </w:rPr>
      </w:pPr>
    </w:p>
    <w:p w:rsidR="00652C85" w:rsidRDefault="00652C85">
      <w:pPr>
        <w:rPr>
          <w:lang w:val="en-US"/>
        </w:rPr>
      </w:pPr>
      <w:r w:rsidRPr="00652C85">
        <w:rPr>
          <w:lang w:val="en-US"/>
        </w:rPr>
        <w:drawing>
          <wp:inline distT="0" distB="0" distL="0" distR="0">
            <wp:extent cx="7315200" cy="3867150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2C85" w:rsidRDefault="00652C85">
      <w:pPr>
        <w:rPr>
          <w:lang w:val="en-US"/>
        </w:rPr>
      </w:pPr>
    </w:p>
    <w:p w:rsidR="00652C85" w:rsidRDefault="00652C85">
      <w:pPr>
        <w:rPr>
          <w:lang w:val="en-US"/>
        </w:rPr>
      </w:pPr>
    </w:p>
    <w:p w:rsidR="00652C85" w:rsidRDefault="00652C85">
      <w:pPr>
        <w:rPr>
          <w:lang w:val="en-US"/>
        </w:rPr>
      </w:pPr>
    </w:p>
    <w:p w:rsidR="00652C85" w:rsidRDefault="00652C85">
      <w:pPr>
        <w:rPr>
          <w:lang w:val="en-US"/>
        </w:rPr>
      </w:pPr>
    </w:p>
    <w:p w:rsidR="00652C85" w:rsidRPr="00652C85" w:rsidRDefault="00C00CA4">
      <w:pPr>
        <w:rPr>
          <w:lang w:val="en-US"/>
        </w:rPr>
      </w:pPr>
      <w:r w:rsidRPr="00C00CA4">
        <w:rPr>
          <w:lang w:val="en-US"/>
        </w:rPr>
        <w:lastRenderedPageBreak/>
        <w:drawing>
          <wp:inline distT="0" distB="0" distL="0" distR="0">
            <wp:extent cx="7077075" cy="4191000"/>
            <wp:effectExtent l="1905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52C85" w:rsidRPr="00652C85" w:rsidSect="00652C85">
      <w:pgSz w:w="11906" w:h="16838"/>
      <w:pgMar w:top="426" w:right="42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C85"/>
    <w:rsid w:val="001C57E1"/>
    <w:rsid w:val="00413A02"/>
    <w:rsid w:val="00652C85"/>
    <w:rsid w:val="00695E56"/>
    <w:rsid w:val="008458E7"/>
    <w:rsid w:val="009C25BC"/>
    <w:rsid w:val="00AE5A1E"/>
    <w:rsid w:val="00C00CA4"/>
    <w:rsid w:val="00C05BCD"/>
    <w:rsid w:val="00E8516C"/>
    <w:rsid w:val="00EA7C40"/>
    <w:rsid w:val="00FC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70;&#1083;&#1103;\&#1056;&#1072;&#1073;&#1086;&#1095;&#1080;&#1081;%20&#1089;&#1090;&#1086;&#1083;\&#1075;&#1088;&#1072;&#1092;&#1110;&#1082;&#1080;%20&#1074;&#1089;&#1077;\&#1110;&#1085;&#1074;&#1077;&#1089;&#1090;&#1080;&#1094;&#1110;&#111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70;&#1083;&#1103;\&#1056;&#1072;&#1073;&#1086;&#1095;&#1080;&#1081;%20&#1089;&#1090;&#1086;&#1083;\&#1075;&#1088;&#1072;&#1092;&#1110;&#1082;&#1080;%20&#1074;&#1089;&#1077;\&#1110;&#1085;&#1074;&#1077;&#1089;&#1090;&#1080;&#1094;&#1110;&#111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70;&#1083;&#1103;\&#1056;&#1072;&#1073;&#1086;&#1095;&#1080;&#1081;%20&#1089;&#1090;&#1086;&#1083;\&#1075;&#1088;&#1072;&#1092;&#1110;&#1082;&#1080;%20&#1074;&#1089;&#1077;\&#1090;&#1088;&#1072;&#1085;&#1089;&#1087;&#1086;&#1088;&#1090;%20&#1090;&#1072;%20&#1079;&#1074;&#1103;&#1079;&#1086;&#1082;%20&#1074;%20&#1095;&#1077;&#1088;&#1082;&#1072;&#1089;&#1072;&#1093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uk-UA"/>
              <a:t>Инвестиции</a:t>
            </a:r>
            <a:r>
              <a:rPr lang="uk-UA" baseline="0"/>
              <a:t> в основной капитал</a:t>
            </a:r>
            <a:endParaRPr lang="uk-UA"/>
          </a:p>
        </c:rich>
      </c:tx>
      <c:layout>
        <c:manualLayout>
          <c:xMode val="edge"/>
          <c:yMode val="edge"/>
          <c:x val="0.41281017803186743"/>
          <c:y val="0.95397408109524517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9607032057911101"/>
          <c:y val="6.9491525423728898E-2"/>
          <c:w val="0.50051706308169519"/>
          <c:h val="0.62881355932203387"/>
        </c:manualLayout>
      </c:layout>
      <c:areaChart>
        <c:grouping val="stacked"/>
        <c:ser>
          <c:idx val="0"/>
          <c:order val="0"/>
          <c:tx>
            <c:v>Черкасская область</c:v>
          </c:tx>
          <c:spPr>
            <a:gradFill rotWithShape="0">
              <a:gsLst>
                <a:gs pos="0">
                  <a:srgbClr val="FF8080"/>
                </a:gs>
                <a:gs pos="100000">
                  <a:srgbClr val="FF8080">
                    <a:gamma/>
                    <a:shade val="46275"/>
                    <a:invGamma/>
                  </a:srgbClr>
                </a:gs>
              </a:gsLst>
              <a:path path="rect">
                <a:fillToRect l="50000" t="50000" r="50000" b="50000"/>
              </a:path>
            </a:gradFill>
            <a:ln w="12700">
              <a:solidFill>
                <a:srgbClr val="FF99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uk-UA"/>
              </a:p>
            </c:txPr>
            <c:showVal val="1"/>
          </c:dLbls>
          <c:cat>
            <c:numLit>
              <c:formatCode>General</c:formatCode>
              <c:ptCount val="8"/>
              <c:pt idx="0">
                <c:v>2000</c:v>
              </c:pt>
              <c:pt idx="1">
                <c:v>2001</c:v>
              </c:pt>
              <c:pt idx="2">
                <c:v>2002</c:v>
              </c:pt>
              <c:pt idx="3">
                <c:v>2003</c:v>
              </c:pt>
              <c:pt idx="4">
                <c:v>2004</c:v>
              </c:pt>
              <c:pt idx="5">
                <c:v>2005</c:v>
              </c:pt>
              <c:pt idx="6">
                <c:v>2006</c:v>
              </c:pt>
              <c:pt idx="7">
                <c:v>2007</c:v>
              </c:pt>
            </c:numLit>
          </c:cat>
          <c:val>
            <c:numRef>
              <c:f>лист1!$B$6:$I$6</c:f>
              <c:numCache>
                <c:formatCode>General</c:formatCode>
                <c:ptCount val="8"/>
                <c:pt idx="0">
                  <c:v>330</c:v>
                </c:pt>
                <c:pt idx="1">
                  <c:v>431</c:v>
                </c:pt>
                <c:pt idx="2">
                  <c:v>582</c:v>
                </c:pt>
                <c:pt idx="3">
                  <c:v>967</c:v>
                </c:pt>
                <c:pt idx="4">
                  <c:v>2408</c:v>
                </c:pt>
                <c:pt idx="5">
                  <c:v>2044</c:v>
                </c:pt>
                <c:pt idx="6">
                  <c:v>3304</c:v>
                </c:pt>
                <c:pt idx="7">
                  <c:v>4236</c:v>
                </c:pt>
              </c:numCache>
            </c:numRef>
          </c:val>
        </c:ser>
        <c:ser>
          <c:idx val="1"/>
          <c:order val="1"/>
          <c:tx>
            <c:v>Ровенская область</c:v>
          </c:tx>
          <c:spPr>
            <a:solidFill>
              <a:srgbClr val="993366"/>
            </a:solidFill>
            <a:ln w="12700">
              <a:solidFill>
                <a:srgbClr val="FF99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uk-UA"/>
              </a:p>
            </c:txPr>
            <c:showVal val="1"/>
          </c:dLbls>
          <c:cat>
            <c:numLit>
              <c:formatCode>General</c:formatCode>
              <c:ptCount val="8"/>
              <c:pt idx="0">
                <c:v>2000</c:v>
              </c:pt>
              <c:pt idx="1">
                <c:v>2001</c:v>
              </c:pt>
              <c:pt idx="2">
                <c:v>2002</c:v>
              </c:pt>
              <c:pt idx="3">
                <c:v>2003</c:v>
              </c:pt>
              <c:pt idx="4">
                <c:v>2004</c:v>
              </c:pt>
              <c:pt idx="5">
                <c:v>2005</c:v>
              </c:pt>
              <c:pt idx="6">
                <c:v>2006</c:v>
              </c:pt>
              <c:pt idx="7">
                <c:v>2007</c:v>
              </c:pt>
            </c:numLit>
          </c:cat>
          <c:val>
            <c:numRef>
              <c:f>лист1!$B$7:$I$7</c:f>
              <c:numCache>
                <c:formatCode>General</c:formatCode>
                <c:ptCount val="8"/>
                <c:pt idx="0">
                  <c:v>605</c:v>
                </c:pt>
                <c:pt idx="1">
                  <c:v>851</c:v>
                </c:pt>
                <c:pt idx="2">
                  <c:v>954</c:v>
                </c:pt>
                <c:pt idx="3">
                  <c:v>1130</c:v>
                </c:pt>
                <c:pt idx="4">
                  <c:v>1589</c:v>
                </c:pt>
                <c:pt idx="5">
                  <c:v>1683</c:v>
                </c:pt>
                <c:pt idx="6">
                  <c:v>2620</c:v>
                </c:pt>
                <c:pt idx="7">
                  <c:v>4006</c:v>
                </c:pt>
              </c:numCache>
            </c:numRef>
          </c:val>
        </c:ser>
        <c:ser>
          <c:idx val="2"/>
          <c:order val="2"/>
          <c:tx>
            <c:v>Винницкая область</c:v>
          </c:tx>
          <c:spPr>
            <a:gradFill rotWithShape="0">
              <a:gsLst>
                <a:gs pos="0">
                  <a:srgbClr val="33CCCC"/>
                </a:gs>
                <a:gs pos="100000">
                  <a:srgbClr val="33CCCC">
                    <a:gamma/>
                    <a:shade val="46275"/>
                    <a:invGamma/>
                  </a:srgbClr>
                </a:gs>
              </a:gsLst>
              <a:path path="rect">
                <a:fillToRect l="50000" t="50000" r="50000" b="50000"/>
              </a:path>
            </a:gradFill>
            <a:ln w="12700">
              <a:solidFill>
                <a:srgbClr val="3366FF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uk-UA"/>
              </a:p>
            </c:txPr>
            <c:showVal val="1"/>
          </c:dLbls>
          <c:cat>
            <c:numLit>
              <c:formatCode>General</c:formatCode>
              <c:ptCount val="8"/>
              <c:pt idx="0">
                <c:v>2000</c:v>
              </c:pt>
              <c:pt idx="1">
                <c:v>2001</c:v>
              </c:pt>
              <c:pt idx="2">
                <c:v>2002</c:v>
              </c:pt>
              <c:pt idx="3">
                <c:v>2003</c:v>
              </c:pt>
              <c:pt idx="4">
                <c:v>2004</c:v>
              </c:pt>
              <c:pt idx="5">
                <c:v>2005</c:v>
              </c:pt>
              <c:pt idx="6">
                <c:v>2006</c:v>
              </c:pt>
              <c:pt idx="7">
                <c:v>2007</c:v>
              </c:pt>
            </c:numLit>
          </c:cat>
          <c:val>
            <c:numRef>
              <c:f>лист1!$B$8:$I$8</c:f>
              <c:numCache>
                <c:formatCode>General</c:formatCode>
                <c:ptCount val="8"/>
                <c:pt idx="0">
                  <c:v>365</c:v>
                </c:pt>
                <c:pt idx="1">
                  <c:v>555</c:v>
                </c:pt>
                <c:pt idx="2">
                  <c:v>635</c:v>
                </c:pt>
                <c:pt idx="3">
                  <c:v>857</c:v>
                </c:pt>
                <c:pt idx="4">
                  <c:v>1155</c:v>
                </c:pt>
                <c:pt idx="5">
                  <c:v>1693</c:v>
                </c:pt>
                <c:pt idx="6">
                  <c:v>2494</c:v>
                </c:pt>
                <c:pt idx="7">
                  <c:v>4136</c:v>
                </c:pt>
              </c:numCache>
            </c:numRef>
          </c:val>
        </c:ser>
        <c:axId val="67324160"/>
        <c:axId val="82395136"/>
      </c:areaChart>
      <c:catAx>
        <c:axId val="673241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Год</a:t>
                </a:r>
                <a:r>
                  <a:rPr lang="uk-UA" baseline="0"/>
                  <a:t> иследования</a:t>
                </a:r>
                <a:endParaRPr lang="uk-UA"/>
              </a:p>
            </c:rich>
          </c:tx>
          <c:layout>
            <c:manualLayout>
              <c:xMode val="edge"/>
              <c:yMode val="edge"/>
              <c:x val="0.47526352648213149"/>
              <c:y val="0.90841736812479357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82395136"/>
        <c:crosses val="autoZero"/>
        <c:auto val="1"/>
        <c:lblAlgn val="ctr"/>
        <c:lblOffset val="100"/>
        <c:tickMarkSkip val="1"/>
      </c:catAx>
      <c:valAx>
        <c:axId val="82395136"/>
        <c:scaling>
          <c:orientation val="minMax"/>
        </c:scaling>
        <c:axPos val="l"/>
        <c:majorGridlines>
          <c:spPr>
            <a:ln w="3175">
              <a:solidFill>
                <a:srgbClr val="9933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/>
                  <a:t>Инвестиции,млн.руб</a:t>
                </a:r>
              </a:p>
            </c:rich>
          </c:tx>
          <c:layout>
            <c:manualLayout>
              <c:xMode val="edge"/>
              <c:yMode val="edge"/>
              <c:x val="0.25706288869712007"/>
              <c:y val="0.23236356342885237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67324160"/>
        <c:crosses val="autoZero"/>
        <c:crossBetween val="midCat"/>
      </c:valAx>
      <c:dTable>
        <c:showHorzBorder val="1"/>
        <c:showVertBorder val="1"/>
        <c:showOutline val="1"/>
        <c:showKeys val="1"/>
        <c:spPr>
          <a:ln w="3175">
            <a:solidFill>
              <a:srgbClr val="993300"/>
            </a:solidFill>
            <a:prstDash val="solid"/>
          </a:ln>
        </c:spPr>
        <c:txPr>
          <a:bodyPr/>
          <a:lstStyle/>
          <a:p>
            <a:pPr rtl="0">
              <a:defRPr sz="9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</c:dTable>
      <c:spPr>
        <a:gradFill rotWithShape="0">
          <a:gsLst>
            <a:gs pos="0">
              <a:srgbClr val="CCCCFF"/>
            </a:gs>
            <a:gs pos="50000">
              <a:srgbClr val="CCCCFF">
                <a:gamma/>
                <a:shade val="46275"/>
                <a:invGamma/>
              </a:srgbClr>
            </a:gs>
            <a:gs pos="100000">
              <a:srgbClr val="CCCCFF"/>
            </a:gs>
          </a:gsLst>
          <a:lin ang="5400000" scaled="1"/>
        </a:gradFill>
        <a:ln w="12700">
          <a:solidFill>
            <a:srgbClr val="FF0000"/>
          </a:solidFill>
          <a:prstDash val="solid"/>
        </a:ln>
      </c:spPr>
    </c:plotArea>
    <c:plotVisOnly val="1"/>
    <c:dispBlanksAs val="zero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uk-UA" sz="1200">
                <a:latin typeface="Times New Roman" pitchFamily="18" charset="0"/>
                <a:cs typeface="Times New Roman" pitchFamily="18" charset="0"/>
              </a:rPr>
              <a:t>Рис.Инвестиции</a:t>
            </a:r>
            <a:r>
              <a:rPr lang="uk-UA" sz="1200" baseline="0">
                <a:latin typeface="Times New Roman" pitchFamily="18" charset="0"/>
                <a:cs typeface="Times New Roman" pitchFamily="18" charset="0"/>
              </a:rPr>
              <a:t> в основной капитал на одного человека</a:t>
            </a:r>
            <a:r>
              <a:rPr lang="uk-UA" sz="1200"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layout>
        <c:manualLayout>
          <c:xMode val="edge"/>
          <c:yMode val="edge"/>
          <c:x val="0.24240089129483816"/>
          <c:y val="0.87221157700115071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2024793388429773"/>
          <c:y val="0.10829103214890025"/>
          <c:w val="0.36466942148760351"/>
          <c:h val="0.48561759729272447"/>
        </c:manualLayout>
      </c:layout>
      <c:areaChart>
        <c:grouping val="standard"/>
        <c:ser>
          <c:idx val="0"/>
          <c:order val="0"/>
          <c:tx>
            <c:v>Черкасская область</c:v>
          </c:tx>
          <c:spPr>
            <a:gradFill rotWithShape="0">
              <a:gsLst>
                <a:gs pos="0">
                  <a:srgbClr val="00FFFF"/>
                </a:gs>
                <a:gs pos="100000">
                  <a:srgbClr val="00FFFF">
                    <a:gamma/>
                    <a:shade val="46275"/>
                    <a:invGamma/>
                  </a:srgbClr>
                </a:gs>
              </a:gsLst>
              <a:path path="rect">
                <a:fillToRect r="100000" b="100000"/>
              </a:path>
            </a:gradFill>
            <a:ln w="12700">
              <a:solidFill>
                <a:srgbClr val="00008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uk-UA"/>
              </a:p>
            </c:txPr>
            <c:showVal val="1"/>
          </c:dLbls>
          <c:cat>
            <c:numLit>
              <c:formatCode>General</c:formatCode>
              <c:ptCount val="9"/>
              <c:pt idx="0">
                <c:v>1996</c:v>
              </c:pt>
              <c:pt idx="1">
                <c:v>2000</c:v>
              </c:pt>
              <c:pt idx="2">
                <c:v>2001</c:v>
              </c:pt>
              <c:pt idx="3">
                <c:v>2002</c:v>
              </c:pt>
              <c:pt idx="4">
                <c:v>2003</c:v>
              </c:pt>
              <c:pt idx="5">
                <c:v>2004</c:v>
              </c:pt>
              <c:pt idx="6">
                <c:v>2005</c:v>
              </c:pt>
              <c:pt idx="7">
                <c:v>2006</c:v>
              </c:pt>
              <c:pt idx="8">
                <c:v>2007</c:v>
              </c:pt>
            </c:numLit>
          </c:cat>
          <c:val>
            <c:numRef>
              <c:f>лист1!$B$23:$K$23</c:f>
              <c:numCache>
                <c:formatCode>General</c:formatCode>
                <c:ptCount val="10"/>
                <c:pt idx="0">
                  <c:v>204.2</c:v>
                </c:pt>
                <c:pt idx="1">
                  <c:v>229.2</c:v>
                </c:pt>
                <c:pt idx="2">
                  <c:v>306.39999999999992</c:v>
                </c:pt>
                <c:pt idx="3">
                  <c:v>418.7</c:v>
                </c:pt>
                <c:pt idx="4">
                  <c:v>702.7</c:v>
                </c:pt>
                <c:pt idx="5">
                  <c:v>1769.3</c:v>
                </c:pt>
                <c:pt idx="6">
                  <c:v>1520.7</c:v>
                </c:pt>
                <c:pt idx="7">
                  <c:v>2481.8000000000002</c:v>
                </c:pt>
                <c:pt idx="8">
                  <c:v>3213.9</c:v>
                </c:pt>
              </c:numCache>
            </c:numRef>
          </c:val>
        </c:ser>
        <c:ser>
          <c:idx val="1"/>
          <c:order val="1"/>
          <c:tx>
            <c:v>Ровенская область</c:v>
          </c:tx>
          <c:spPr>
            <a:solidFill>
              <a:srgbClr val="993366"/>
            </a:solidFill>
            <a:ln w="12700">
              <a:solidFill>
                <a:srgbClr val="FF6600"/>
              </a:solidFill>
              <a:prstDash val="solid"/>
            </a:ln>
          </c:spPr>
          <c:cat>
            <c:numLit>
              <c:formatCode>General</c:formatCode>
              <c:ptCount val="9"/>
              <c:pt idx="0">
                <c:v>1996</c:v>
              </c:pt>
              <c:pt idx="1">
                <c:v>2000</c:v>
              </c:pt>
              <c:pt idx="2">
                <c:v>2001</c:v>
              </c:pt>
              <c:pt idx="3">
                <c:v>2002</c:v>
              </c:pt>
              <c:pt idx="4">
                <c:v>2003</c:v>
              </c:pt>
              <c:pt idx="5">
                <c:v>2004</c:v>
              </c:pt>
              <c:pt idx="6">
                <c:v>2005</c:v>
              </c:pt>
              <c:pt idx="7">
                <c:v>2006</c:v>
              </c:pt>
              <c:pt idx="8">
                <c:v>2007</c:v>
              </c:pt>
            </c:numLit>
          </c:cat>
          <c:val>
            <c:numRef>
              <c:f>лист1!$B$24:$K$24</c:f>
              <c:numCache>
                <c:formatCode>General</c:formatCode>
                <c:ptCount val="10"/>
                <c:pt idx="0">
                  <c:v>177.9</c:v>
                </c:pt>
                <c:pt idx="1">
                  <c:v>418.7</c:v>
                </c:pt>
                <c:pt idx="2">
                  <c:v>605.79999999999995</c:v>
                </c:pt>
                <c:pt idx="3">
                  <c:v>680.1</c:v>
                </c:pt>
                <c:pt idx="4">
                  <c:v>808.3</c:v>
                </c:pt>
                <c:pt idx="5">
                  <c:v>1140.5999999999999</c:v>
                </c:pt>
                <c:pt idx="6">
                  <c:v>1212.3</c:v>
                </c:pt>
                <c:pt idx="7">
                  <c:v>1892.5</c:v>
                </c:pt>
                <c:pt idx="8">
                  <c:v>2900.4</c:v>
                </c:pt>
              </c:numCache>
            </c:numRef>
          </c:val>
        </c:ser>
        <c:ser>
          <c:idx val="2"/>
          <c:order val="2"/>
          <c:tx>
            <c:v>Винницкая область</c:v>
          </c:tx>
          <c:spPr>
            <a:gradFill rotWithShape="0">
              <a:gsLst>
                <a:gs pos="0">
                  <a:srgbClr val="FF99CC"/>
                </a:gs>
                <a:gs pos="100000">
                  <a:srgbClr val="FF99CC">
                    <a:gamma/>
                    <a:shade val="46275"/>
                    <a:invGamma/>
                  </a:srgbClr>
                </a:gs>
              </a:gsLst>
              <a:path path="rect">
                <a:fillToRect l="50000" t="50000" r="50000" b="50000"/>
              </a:path>
            </a:gradFill>
            <a:ln w="12700">
              <a:solidFill>
                <a:srgbClr val="FF00FF"/>
              </a:solidFill>
              <a:prstDash val="solid"/>
            </a:ln>
          </c:spPr>
          <c:cat>
            <c:numLit>
              <c:formatCode>General</c:formatCode>
              <c:ptCount val="9"/>
              <c:pt idx="0">
                <c:v>1996</c:v>
              </c:pt>
              <c:pt idx="1">
                <c:v>2000</c:v>
              </c:pt>
              <c:pt idx="2">
                <c:v>2001</c:v>
              </c:pt>
              <c:pt idx="3">
                <c:v>2002</c:v>
              </c:pt>
              <c:pt idx="4">
                <c:v>2003</c:v>
              </c:pt>
              <c:pt idx="5">
                <c:v>2004</c:v>
              </c:pt>
              <c:pt idx="6">
                <c:v>2005</c:v>
              </c:pt>
              <c:pt idx="7">
                <c:v>2006</c:v>
              </c:pt>
              <c:pt idx="8">
                <c:v>2007</c:v>
              </c:pt>
            </c:numLit>
          </c:cat>
          <c:val>
            <c:numRef>
              <c:f>лист1!$B$25:$K$25</c:f>
              <c:numCache>
                <c:formatCode>General</c:formatCode>
                <c:ptCount val="10"/>
                <c:pt idx="0">
                  <c:v>179.8</c:v>
                </c:pt>
                <c:pt idx="1">
                  <c:v>203.5</c:v>
                </c:pt>
                <c:pt idx="2">
                  <c:v>313.5</c:v>
                </c:pt>
                <c:pt idx="3">
                  <c:v>362.3</c:v>
                </c:pt>
                <c:pt idx="4">
                  <c:v>493.1</c:v>
                </c:pt>
                <c:pt idx="5">
                  <c:v>671.3</c:v>
                </c:pt>
                <c:pt idx="6">
                  <c:v>993.8</c:v>
                </c:pt>
                <c:pt idx="7">
                  <c:v>1478.7</c:v>
                </c:pt>
                <c:pt idx="8">
                  <c:v>2473.5</c:v>
                </c:pt>
              </c:numCache>
            </c:numRef>
          </c:val>
        </c:ser>
        <c:axId val="82418688"/>
        <c:axId val="86992000"/>
      </c:areaChart>
      <c:catAx>
        <c:axId val="824186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r>
                  <a:rPr lang="uk-UA" sz="1100">
                    <a:latin typeface="Times New Roman" pitchFamily="18" charset="0"/>
                    <a:cs typeface="Times New Roman" pitchFamily="18" charset="0"/>
                  </a:rPr>
                  <a:t>Год</a:t>
                </a:r>
                <a:r>
                  <a:rPr lang="uk-UA" sz="1100" baseline="0">
                    <a:latin typeface="Times New Roman" pitchFamily="18" charset="0"/>
                    <a:cs typeface="Times New Roman" pitchFamily="18" charset="0"/>
                  </a:rPr>
                  <a:t> иследований</a:t>
                </a:r>
                <a:endParaRPr lang="uk-UA" sz="11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1200691710411202"/>
              <c:y val="0.81835951540540175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86992000"/>
        <c:crosses val="autoZero"/>
        <c:auto val="1"/>
        <c:lblAlgn val="ctr"/>
        <c:lblOffset val="100"/>
        <c:tickMarkSkip val="1"/>
      </c:catAx>
      <c:valAx>
        <c:axId val="86992000"/>
        <c:scaling>
          <c:orientation val="minMax"/>
        </c:scaling>
        <c:axPos val="l"/>
        <c:majorGridlines>
          <c:spPr>
            <a:ln w="3175">
              <a:solidFill>
                <a:srgbClr val="00808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r>
                  <a:rPr lang="uk-UA" sz="1200">
                    <a:latin typeface="Times New Roman" pitchFamily="18" charset="0"/>
                    <a:cs typeface="Times New Roman" pitchFamily="18" charset="0"/>
                  </a:rPr>
                  <a:t>Инвестиции,</a:t>
                </a:r>
                <a:r>
                  <a:rPr lang="uk-UA" sz="1200" baseline="0">
                    <a:latin typeface="Times New Roman" pitchFamily="18" charset="0"/>
                    <a:cs typeface="Times New Roman" pitchFamily="18" charset="0"/>
                  </a:rPr>
                  <a:t> руб</a:t>
                </a:r>
                <a:r>
                  <a:rPr lang="uk-UA" sz="1200">
                    <a:latin typeface="Times New Roman" pitchFamily="18" charset="0"/>
                    <a:cs typeface="Times New Roman" pitchFamily="18" charset="0"/>
                  </a:rPr>
                  <a:t>.</a:t>
                </a:r>
              </a:p>
            </c:rich>
          </c:tx>
          <c:layout>
            <c:manualLayout>
              <c:xMode val="edge"/>
              <c:yMode val="edge"/>
              <c:x val="0.22830571959755031"/>
              <c:y val="0.20494601967857468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82418688"/>
        <c:crosses val="autoZero"/>
        <c:crossBetween val="midCat"/>
      </c:valAx>
      <c:dTable>
        <c:showHorzBorder val="1"/>
        <c:showVertBorder val="1"/>
        <c:showOutline val="1"/>
        <c:showKeys val="1"/>
        <c:spPr>
          <a:ln w="3175">
            <a:solidFill>
              <a:srgbClr val="000080"/>
            </a:solidFill>
            <a:prstDash val="solid"/>
          </a:ln>
        </c:spPr>
        <c:txPr>
          <a:bodyPr/>
          <a:lstStyle/>
          <a:p>
            <a:pPr rtl="0">
              <a:defRPr sz="92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</c:dTable>
      <c:spPr>
        <a:gradFill rotWithShape="0">
          <a:gsLst>
            <a:gs pos="0">
              <a:srgbClr val="FFFFCC"/>
            </a:gs>
            <a:gs pos="100000">
              <a:srgbClr val="FFFFCC">
                <a:gamma/>
                <a:shade val="46275"/>
                <a:invGamma/>
              </a:srgbClr>
            </a:gs>
          </a:gsLst>
          <a:path path="rect">
            <a:fillToRect l="50000" t="50000" r="50000" b="50000"/>
          </a:path>
        </a:gradFill>
        <a:ln w="12700">
          <a:solidFill>
            <a:srgbClr val="008080"/>
          </a:solidFill>
          <a:prstDash val="solid"/>
        </a:ln>
      </c:spPr>
    </c:plotArea>
    <c:plotVisOnly val="1"/>
    <c:dispBlanksAs val="zero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plotArea>
      <c:layout>
        <c:manualLayout>
          <c:layoutTarget val="inner"/>
          <c:xMode val="edge"/>
          <c:yMode val="edge"/>
          <c:x val="6.9286452947259589E-2"/>
          <c:y val="3.5593220338983052E-2"/>
          <c:w val="0.9203722854188211"/>
          <c:h val="0.85084745762711955"/>
        </c:manualLayout>
      </c:layout>
      <c:barChart>
        <c:barDir val="col"/>
        <c:grouping val="percentStacked"/>
        <c:ser>
          <c:idx val="0"/>
          <c:order val="0"/>
          <c:tx>
            <c:v>Железнодорожный</c:v>
          </c:tx>
          <c:spPr>
            <a:gradFill rotWithShape="0">
              <a:gsLst>
                <a:gs pos="0">
                  <a:srgbClr val="9999FF"/>
                </a:gs>
                <a:gs pos="100000">
                  <a:srgbClr val="9999FF">
                    <a:gamma/>
                    <a:shade val="46275"/>
                    <a:invGamma/>
                  </a:srgbClr>
                </a:gs>
              </a:gsLst>
              <a:path path="rect">
                <a:fillToRect l="50000" t="50000" r="50000" b="50000"/>
              </a:path>
            </a:gradFill>
            <a:ln w="12700">
              <a:solidFill>
                <a:srgbClr val="3366FF"/>
              </a:solidFill>
              <a:prstDash val="solid"/>
            </a:ln>
          </c:spPr>
          <c:cat>
            <c:numRef>
              <c:f>Лист1!$C$5:$K$5</c:f>
              <c:numCache>
                <c:formatCode>General</c:formatCode>
                <c:ptCount val="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</c:numCache>
            </c:numRef>
          </c:cat>
          <c:val>
            <c:numRef>
              <c:f>Лист1!$C$6:$K$6</c:f>
              <c:numCache>
                <c:formatCode>General</c:formatCode>
                <c:ptCount val="9"/>
                <c:pt idx="0">
                  <c:v>3922.4</c:v>
                </c:pt>
                <c:pt idx="1">
                  <c:v>3978</c:v>
                </c:pt>
                <c:pt idx="2">
                  <c:v>3816</c:v>
                </c:pt>
                <c:pt idx="3">
                  <c:v>4630.5</c:v>
                </c:pt>
                <c:pt idx="4">
                  <c:v>3987.7</c:v>
                </c:pt>
                <c:pt idx="5">
                  <c:v>4766.2</c:v>
                </c:pt>
                <c:pt idx="6">
                  <c:v>5367.2</c:v>
                </c:pt>
                <c:pt idx="7">
                  <c:v>5015.2</c:v>
                </c:pt>
                <c:pt idx="8">
                  <c:v>4776.6000000000004</c:v>
                </c:pt>
              </c:numCache>
            </c:numRef>
          </c:val>
        </c:ser>
        <c:ser>
          <c:idx val="1"/>
          <c:order val="1"/>
          <c:tx>
            <c:v>Автомобильный</c:v>
          </c:tx>
          <c:spPr>
            <a:gradFill rotWithShape="0">
              <a:gsLst>
                <a:gs pos="0">
                  <a:srgbClr val="800080"/>
                </a:gs>
                <a:gs pos="100000">
                  <a:srgbClr val="800080">
                    <a:gamma/>
                    <a:shade val="46275"/>
                    <a:invGamma/>
                  </a:srgbClr>
                </a:gs>
              </a:gsLst>
              <a:path path="rect">
                <a:fillToRect r="100000" b="100000"/>
              </a:path>
            </a:gradFill>
            <a:ln w="12700">
              <a:solidFill>
                <a:srgbClr val="FF00FF"/>
              </a:solidFill>
              <a:prstDash val="solid"/>
            </a:ln>
          </c:spPr>
          <c:val>
            <c:numRef>
              <c:f>Лист1!$C$10:$K$10</c:f>
              <c:numCache>
                <c:formatCode>General</c:formatCode>
                <c:ptCount val="9"/>
                <c:pt idx="0">
                  <c:v>61166.8</c:v>
                </c:pt>
                <c:pt idx="1">
                  <c:v>61387.4</c:v>
                </c:pt>
                <c:pt idx="2">
                  <c:v>68222.5</c:v>
                </c:pt>
                <c:pt idx="3">
                  <c:v>96992.2</c:v>
                </c:pt>
                <c:pt idx="4">
                  <c:v>155632.79999999999</c:v>
                </c:pt>
                <c:pt idx="5">
                  <c:v>116148.6</c:v>
                </c:pt>
                <c:pt idx="6">
                  <c:v>113886.2</c:v>
                </c:pt>
                <c:pt idx="7">
                  <c:v>102815.9</c:v>
                </c:pt>
                <c:pt idx="8">
                  <c:v>95764.9</c:v>
                </c:pt>
              </c:numCache>
            </c:numRef>
          </c:val>
        </c:ser>
        <c:ser>
          <c:idx val="2"/>
          <c:order val="2"/>
          <c:tx>
            <c:v>Тролейбусный</c:v>
          </c:tx>
          <c:spPr>
            <a:gradFill rotWithShape="0">
              <a:gsLst>
                <a:gs pos="0">
                  <a:srgbClr val="FFFFCC"/>
                </a:gs>
                <a:gs pos="50000">
                  <a:srgbClr val="FFFFCC">
                    <a:gamma/>
                    <a:shade val="46275"/>
                    <a:invGamma/>
                  </a:srgbClr>
                </a:gs>
                <a:gs pos="100000">
                  <a:srgbClr val="FFFFCC"/>
                </a:gs>
              </a:gsLst>
              <a:lin ang="5400000" scaled="1"/>
            </a:gradFill>
            <a:ln w="12700">
              <a:solidFill>
                <a:srgbClr val="333399"/>
              </a:solidFill>
              <a:prstDash val="solid"/>
            </a:ln>
          </c:spPr>
          <c:val>
            <c:numRef>
              <c:f>Лист1!$C$14:$K$14</c:f>
              <c:numCache>
                <c:formatCode>General</c:formatCode>
                <c:ptCount val="9"/>
                <c:pt idx="0">
                  <c:v>38889.5</c:v>
                </c:pt>
                <c:pt idx="1">
                  <c:v>45462.8</c:v>
                </c:pt>
                <c:pt idx="2">
                  <c:v>39103.5</c:v>
                </c:pt>
                <c:pt idx="3">
                  <c:v>28910.2</c:v>
                </c:pt>
                <c:pt idx="4">
                  <c:v>23902.2</c:v>
                </c:pt>
                <c:pt idx="5">
                  <c:v>29597.9</c:v>
                </c:pt>
                <c:pt idx="6">
                  <c:v>23214.9</c:v>
                </c:pt>
                <c:pt idx="7">
                  <c:v>21741.200000000001</c:v>
                </c:pt>
                <c:pt idx="8">
                  <c:v>30929</c:v>
                </c:pt>
              </c:numCache>
            </c:numRef>
          </c:val>
        </c:ser>
        <c:overlap val="100"/>
        <c:serLines>
          <c:spPr>
            <a:ln w="3175">
              <a:solidFill>
                <a:srgbClr val="FF8080"/>
              </a:solidFill>
              <a:prstDash val="solid"/>
            </a:ln>
          </c:spPr>
        </c:serLines>
        <c:axId val="93073792"/>
        <c:axId val="93075328"/>
      </c:barChart>
      <c:catAx>
        <c:axId val="930737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93075328"/>
        <c:crosses val="autoZero"/>
        <c:auto val="1"/>
        <c:lblAlgn val="ctr"/>
        <c:lblOffset val="100"/>
        <c:tickLblSkip val="1"/>
        <c:tickMarkSkip val="1"/>
      </c:catAx>
      <c:valAx>
        <c:axId val="93075328"/>
        <c:scaling>
          <c:orientation val="minMax"/>
        </c:scaling>
        <c:axPos val="l"/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930737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96794208893487"/>
          <c:y val="0.94087282271534245"/>
          <c:w val="0.40296449500172377"/>
          <c:h val="3.898162729658791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uk-UA"/>
        </a:p>
      </c:txPr>
    </c:legend>
    <c:plotVisOnly val="1"/>
    <c:dispBlanksAs val="gap"/>
  </c:chart>
  <c:spPr>
    <a:solidFill>
      <a:srgbClr val="000080"/>
    </a:solidFill>
    <a:ln w="9525"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!!!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2015-04-20T14:37:00Z</dcterms:created>
  <dcterms:modified xsi:type="dcterms:W3CDTF">2015-04-20T14:57:00Z</dcterms:modified>
</cp:coreProperties>
</file>