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00336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5368925</wp:posOffset>
            </wp:positionH>
            <wp:positionV relativeFrom="paragraph">
              <wp:posOffset>-495934</wp:posOffset>
            </wp:positionV>
            <wp:extent cx="733425" cy="708660"/>
            <wp:effectExtent b="0" l="0" r="0" t="0"/>
            <wp:wrapNone/>
            <wp:docPr descr="Описание: Описание: Описание: Описание: cid:image004.jpg@01CCFC43.AEE67910" id="1" name="image1.jpg"/>
            <a:graphic>
              <a:graphicData uri="http://schemas.openxmlformats.org/drawingml/2006/picture">
                <pic:pic>
                  <pic:nvPicPr>
                    <pic:cNvPr descr="Описание: Описание: Описание: Описание: cid:image004.jpg@01CCFC43.AEE67910" id="0" name="image1.jpg"/>
                    <pic:cNvPicPr preferRelativeResize="0"/>
                  </pic:nvPicPr>
                  <pic:blipFill>
                    <a:blip r:embed="rId6"/>
                    <a:srcRect b="0" l="0" r="0" t="0"/>
                    <a:stretch>
                      <a:fillRect/>
                    </a:stretch>
                  </pic:blipFill>
                  <pic:spPr>
                    <a:xfrm>
                      <a:off x="0" y="0"/>
                      <a:ext cx="733425" cy="708660"/>
                    </a:xfrm>
                    <a:prstGeom prst="rect"/>
                    <a:ln/>
                  </pic:spPr>
                </pic:pic>
              </a:graphicData>
            </a:graphic>
          </wp:anchor>
        </w:drawing>
      </w:r>
    </w:p>
    <w:p w:rsidR="00000000" w:rsidDel="00000000" w:rsidP="00000000" w:rsidRDefault="00000000" w:rsidRPr="00000000" w14:paraId="00000002">
      <w:pPr>
        <w:rPr>
          <w:b w:val="1"/>
          <w:i w:val="1"/>
        </w:rPr>
      </w:pPr>
      <w:r w:rsidDel="00000000" w:rsidR="00000000" w:rsidRPr="00000000">
        <w:rPr>
          <w:b w:val="1"/>
          <w:i w:val="1"/>
          <w:rtl w:val="0"/>
        </w:rPr>
        <w:t xml:space="preserve">Переводческий тест.</w:t>
      </w:r>
    </w:p>
    <w:p w:rsidR="00000000" w:rsidDel="00000000" w:rsidP="00000000" w:rsidRDefault="00000000" w:rsidRPr="00000000" w14:paraId="00000003">
      <w:pPr>
        <w:rPr>
          <w:b w:val="1"/>
          <w:i w:val="1"/>
        </w:rPr>
      </w:pPr>
      <w:r w:rsidDel="00000000" w:rsidR="00000000" w:rsidRPr="00000000">
        <w:rPr>
          <w:b w:val="1"/>
          <w:i w:val="1"/>
          <w:rtl w:val="0"/>
        </w:rPr>
        <w:t xml:space="preserve">Язык: с русского на английский</w:t>
      </w:r>
    </w:p>
    <w:p w:rsidR="00000000" w:rsidDel="00000000" w:rsidP="00000000" w:rsidRDefault="00000000" w:rsidRPr="00000000" w14:paraId="00000004">
      <w:pPr>
        <w:rPr>
          <w:b w:val="1"/>
          <w:i w:val="1"/>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Уважаемый соискатель!</w:t>
      </w:r>
    </w:p>
    <w:p w:rsidR="00000000" w:rsidDel="00000000" w:rsidP="00000000" w:rsidRDefault="00000000" w:rsidRPr="00000000" w14:paraId="00000006">
      <w:pPr>
        <w:rPr/>
      </w:pPr>
      <w:r w:rsidDel="00000000" w:rsidR="00000000" w:rsidRPr="00000000">
        <w:rPr>
          <w:rtl w:val="0"/>
        </w:rPr>
        <w:t xml:space="preserve">Необходимо сделать перевод приведенного ниже фрагмента текста.</w:t>
      </w:r>
    </w:p>
    <w:p w:rsidR="00000000" w:rsidDel="00000000" w:rsidP="00000000" w:rsidRDefault="00000000" w:rsidRPr="00000000" w14:paraId="00000007">
      <w:pPr>
        <w:rPr/>
      </w:pPr>
      <w:r w:rsidDel="00000000" w:rsidR="00000000" w:rsidRPr="00000000">
        <w:rPr>
          <w:rtl w:val="0"/>
        </w:rPr>
        <w:t xml:space="preserve">Перед выполнением задания просим обратить внимание на следующее:</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необходимо обязательно указывать Ваше имя и фамилию;</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оригинал текста нельзя удалять;</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разрешается применение словарей и Интернета;</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что мы больше всего обращаем внимание при проверке: соответствие смысла оригиналу; грамматика и стиль, не допускается калька; отсутствие орфографических ошибок, двойных пробелов.</w:t>
      </w:r>
    </w:p>
    <w:p w:rsidR="00000000" w:rsidDel="00000000" w:rsidP="00000000" w:rsidRDefault="00000000" w:rsidRPr="00000000" w14:paraId="0000000C">
      <w:pPr>
        <w:rPr>
          <w:i w:val="1"/>
          <w:color w:val="323e4f"/>
          <w:sz w:val="20"/>
          <w:szCs w:val="20"/>
        </w:rPr>
      </w:pP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Удачи!</w:t>
      </w:r>
    </w:p>
    <w:p w:rsidR="00000000" w:rsidDel="00000000" w:rsidP="00000000" w:rsidRDefault="00000000" w:rsidRPr="00000000" w14:paraId="0000000E">
      <w:pPr>
        <w:rPr>
          <w:b w:val="1"/>
        </w:rPr>
      </w:pPr>
      <w:r w:rsidDel="00000000" w:rsidR="00000000" w:rsidRPr="00000000">
        <w:rPr>
          <w:b w:val="1"/>
          <w:rtl w:val="0"/>
        </w:rPr>
        <w:t xml:space="preserve">Ф.И.О. соискателя: Любченко Андрей</w:t>
      </w:r>
    </w:p>
    <w:p w:rsidR="00000000" w:rsidDel="00000000" w:rsidP="00000000" w:rsidRDefault="00000000" w:rsidRPr="00000000" w14:paraId="0000000F">
      <w:pPr>
        <w:jc w:val="center"/>
        <w:rPr>
          <w:b w:val="1"/>
          <w:sz w:val="28"/>
          <w:szCs w:val="28"/>
        </w:rPr>
      </w:pPr>
      <w:r w:rsidDel="00000000" w:rsidR="00000000" w:rsidRPr="00000000">
        <w:rPr>
          <w:rtl w:val="0"/>
        </w:rPr>
      </w:r>
    </w:p>
    <w:p w:rsidR="00000000" w:rsidDel="00000000" w:rsidP="00000000" w:rsidRDefault="00000000" w:rsidRPr="00000000" w14:paraId="00000010">
      <w:pPr>
        <w:jc w:val="center"/>
        <w:rPr>
          <w:b w:val="1"/>
          <w:sz w:val="28"/>
          <w:szCs w:val="28"/>
        </w:rPr>
      </w:pPr>
      <w:r w:rsidDel="00000000" w:rsidR="00000000" w:rsidRPr="00000000">
        <w:rPr>
          <w:rtl w:val="0"/>
        </w:rPr>
      </w:r>
    </w:p>
    <w:tbl>
      <w:tblPr>
        <w:tblStyle w:val="Table1"/>
        <w:tblW w:w="989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7"/>
        <w:gridCol w:w="4678"/>
        <w:tblGridChange w:id="0">
          <w:tblGrid>
            <w:gridCol w:w="5217"/>
            <w:gridCol w:w="4678"/>
          </w:tblGrid>
        </w:tblGridChange>
      </w:tblGrid>
      <w:tr>
        <w:tc>
          <w:tcPr>
            <w:vAlign w:val="center"/>
          </w:tcPr>
          <w:p w:rsidR="00000000" w:rsidDel="00000000" w:rsidP="00000000" w:rsidRDefault="00000000" w:rsidRPr="00000000" w14:paraId="00000011">
            <w:pPr>
              <w:spacing w:line="270" w:lineRule="auto"/>
              <w:ind w:firstLine="31"/>
              <w:jc w:val="center"/>
              <w:rPr>
                <w:b w:val="1"/>
                <w:sz w:val="22"/>
                <w:szCs w:val="22"/>
              </w:rPr>
            </w:pPr>
            <w:r w:rsidDel="00000000" w:rsidR="00000000" w:rsidRPr="00000000">
              <w:rPr>
                <w:b w:val="1"/>
                <w:sz w:val="22"/>
                <w:szCs w:val="22"/>
                <w:rtl w:val="0"/>
              </w:rPr>
              <w:t xml:space="preserve">ОРИГИНАЛ</w:t>
            </w:r>
          </w:p>
        </w:tc>
        <w:tc>
          <w:tcPr>
            <w:vAlign w:val="center"/>
          </w:tcPr>
          <w:p w:rsidR="00000000" w:rsidDel="00000000" w:rsidP="00000000" w:rsidRDefault="00000000" w:rsidRPr="00000000" w14:paraId="00000012">
            <w:pPr>
              <w:spacing w:line="270" w:lineRule="auto"/>
              <w:ind w:firstLine="31"/>
              <w:jc w:val="center"/>
              <w:rPr>
                <w:b w:val="1"/>
                <w:sz w:val="22"/>
                <w:szCs w:val="22"/>
              </w:rPr>
            </w:pPr>
            <w:r w:rsidDel="00000000" w:rsidR="00000000" w:rsidRPr="00000000">
              <w:rPr>
                <w:b w:val="1"/>
                <w:sz w:val="22"/>
                <w:szCs w:val="22"/>
                <w:rtl w:val="0"/>
              </w:rPr>
              <w:t xml:space="preserve">ПЕРЕВОД</w:t>
            </w:r>
          </w:p>
        </w:tc>
      </w:tr>
      <w:tr>
        <w:tc>
          <w:tcPr/>
          <w:p w:rsidR="00000000" w:rsidDel="00000000" w:rsidP="00000000" w:rsidRDefault="00000000" w:rsidRPr="00000000" w14:paraId="00000013">
            <w:pPr>
              <w:rPr>
                <w:b w:val="1"/>
                <w:sz w:val="22"/>
                <w:szCs w:val="22"/>
              </w:rPr>
            </w:pPr>
            <w:r w:rsidDel="00000000" w:rsidR="00000000" w:rsidRPr="00000000">
              <w:rPr>
                <w:b w:val="1"/>
                <w:sz w:val="22"/>
                <w:szCs w:val="22"/>
                <w:rtl w:val="0"/>
              </w:rPr>
              <w:t xml:space="preserve">Должностная инструкция</w:t>
            </w:r>
          </w:p>
        </w:tc>
        <w:tc>
          <w:tcPr/>
          <w:p w:rsidR="00000000" w:rsidDel="00000000" w:rsidP="00000000" w:rsidRDefault="00000000" w:rsidRPr="00000000" w14:paraId="00000014">
            <w:pPr>
              <w:spacing w:before="75" w:lineRule="auto"/>
              <w:rPr>
                <w:b w:val="1"/>
              </w:rPr>
            </w:pPr>
            <w:r w:rsidDel="00000000" w:rsidR="00000000" w:rsidRPr="00000000">
              <w:rPr>
                <w:b w:val="1"/>
                <w:rtl w:val="0"/>
              </w:rPr>
              <w:t xml:space="preserve">Post description</w:t>
            </w:r>
          </w:p>
        </w:tc>
      </w:tr>
      <w:tr>
        <w:tc>
          <w:tcPr/>
          <w:p w:rsidR="00000000" w:rsidDel="00000000" w:rsidP="00000000" w:rsidRDefault="00000000" w:rsidRPr="00000000" w14:paraId="00000015">
            <w:pPr>
              <w:jc w:val="both"/>
              <w:rPr>
                <w:sz w:val="22"/>
                <w:szCs w:val="22"/>
              </w:rPr>
            </w:pPr>
            <w:r w:rsidDel="00000000" w:rsidR="00000000" w:rsidRPr="00000000">
              <w:rPr>
                <w:sz w:val="22"/>
                <w:szCs w:val="22"/>
                <w:rtl w:val="0"/>
              </w:rPr>
              <w:t xml:space="preserve">Сферой деятельности инженера по комплектации оборудования является бесперебойное обеспечение материалами, оборудованием и спецтехникой процесса строительства технологических блоков.</w:t>
            </w:r>
          </w:p>
          <w:p w:rsidR="00000000" w:rsidDel="00000000" w:rsidP="00000000" w:rsidRDefault="00000000" w:rsidRPr="00000000" w14:paraId="00000016">
            <w:pPr>
              <w:jc w:val="both"/>
              <w:rPr>
                <w:sz w:val="22"/>
                <w:szCs w:val="22"/>
              </w:rPr>
            </w:pPr>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sz w:val="22"/>
                <w:szCs w:val="22"/>
                <w:rtl w:val="0"/>
              </w:rPr>
              <w:t xml:space="preserve">На должность инженера по комплектации оборудования назначается специалист с высшим образованием, с опытом работы на добычном руднике способом ПСВ не менее 3 лет. Должен знать или приобрести знания по схеме обвязки блоков, технологических трубопроводов, электроснабжения, проектных решений ТУЗ-ов, правил техники безопасности, пожарной безопасности и охране окружающей среды, порядку обоснования потребностей материалов и составления заявок с приложением технической спецификаций. Он должен иметь представления об улучшении процесса и условий работы сотрудников.</w:t>
            </w:r>
          </w:p>
          <w:p w:rsidR="00000000" w:rsidDel="00000000" w:rsidP="00000000" w:rsidRDefault="00000000" w:rsidRPr="00000000" w14:paraId="00000018">
            <w:pPr>
              <w:jc w:val="both"/>
              <w:rPr>
                <w:sz w:val="22"/>
                <w:szCs w:val="22"/>
              </w:rPr>
            </w:pPr>
            <w:r w:rsidDel="00000000" w:rsidR="00000000" w:rsidRPr="00000000">
              <w:rPr>
                <w:rtl w:val="0"/>
              </w:rPr>
            </w:r>
          </w:p>
          <w:p w:rsidR="00000000" w:rsidDel="00000000" w:rsidP="00000000" w:rsidRDefault="00000000" w:rsidRPr="00000000" w14:paraId="00000019">
            <w:pPr>
              <w:jc w:val="both"/>
              <w:rPr>
                <w:sz w:val="22"/>
                <w:szCs w:val="22"/>
              </w:rPr>
            </w:pPr>
            <w:bookmarkStart w:colFirst="0" w:colLast="0" w:name="_gjdgxs" w:id="0"/>
            <w:bookmarkEnd w:id="0"/>
            <w:r w:rsidDel="00000000" w:rsidR="00000000" w:rsidRPr="00000000">
              <w:rPr>
                <w:sz w:val="22"/>
                <w:szCs w:val="22"/>
                <w:rtl w:val="0"/>
              </w:rPr>
              <w:t xml:space="preserve">Инженер по комплектации оборудования обеспечивает службу инфраструктуры полигонов необходимыми материальными ресурсами для выполнения производственного плана по строительству технологических блоков, обеспечивает необходимой документацией (составление заявок, технических спецификаций, инструкции по проведению работ, документаций по вводу в эксплуатацию объектов и т.д.).</w:t>
            </w:r>
          </w:p>
          <w:p w:rsidR="00000000" w:rsidDel="00000000" w:rsidP="00000000" w:rsidRDefault="00000000" w:rsidRPr="00000000" w14:paraId="0000001A">
            <w:pPr>
              <w:jc w:val="both"/>
              <w:rPr>
                <w:sz w:val="22"/>
                <w:szCs w:val="22"/>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Scope of equipment engineer`s activity is the uninterrupted supply of materials and special equipment of the technological units construction process.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 tertiary education technician with at least 3 years of UDL mining experience is appointed to the position of equipment engineer. This technician must have or acquire knowledge of the block tying scheme, process pipelines, design solutions of the technological acidification hubs, safety regulations, fire safety, environmental protection and required materials justification, as well as the preparation of the technically specified applications. He must have an idea of how to improve employees working process and conditions.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Equipment engineer provides the polygon infrastructure service with the necessary material resources to satisfy the production plan for the process units construction and provides needed documentation (applications drafting, technical specifications, work instructions, facilities commissioning documentations, etc)</w:t>
            </w:r>
          </w:p>
        </w:tc>
      </w:tr>
      <w:t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343"/>
              </w:tabs>
              <w:spacing w:after="0" w:before="0" w:line="240" w:lineRule="auto"/>
              <w:ind w:left="0" w:right="0" w:hanging="283"/>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Описание плоского фильтра</w:t>
            </w:r>
          </w:p>
        </w:tc>
        <w:tc>
          <w:tcPr/>
          <w:p w:rsidR="00000000" w:rsidDel="00000000" w:rsidP="00000000" w:rsidRDefault="00000000" w:rsidRPr="00000000" w14:paraId="00000022">
            <w:pPr>
              <w:spacing w:before="75" w:lineRule="auto"/>
              <w:rPr>
                <w:b w:val="1"/>
              </w:rPr>
            </w:pPr>
            <w:r w:rsidDel="00000000" w:rsidR="00000000" w:rsidRPr="00000000">
              <w:rPr>
                <w:b w:val="1"/>
                <w:rtl w:val="0"/>
              </w:rPr>
              <w:t xml:space="preserve">Flat filter description</w:t>
            </w:r>
            <w:r w:rsidDel="00000000" w:rsidR="00000000" w:rsidRPr="00000000">
              <w:rPr>
                <w:rtl w:val="0"/>
              </w:rPr>
            </w:r>
          </w:p>
        </w:tc>
      </w:tr>
      <w:t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343"/>
              </w:tabs>
              <w:spacing w:after="0" w:before="0" w:line="240" w:lineRule="auto"/>
              <w:ind w:left="0"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Фильтр плоский устанавливается внутри бункера. Бункер устанавливается под виброгрохотом (S220). Количество раствора, пропускаемого через фильтр плоский, составляет 30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/час. Сорбент, прошедший через виброгрохот, поступает в бункер вместе с раствором, затем раствор проходит через фильтр плоский и отправляется на бассейны, а сорбент опускается непосредственно в промежуточную колонну (R300).</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343"/>
              </w:tabs>
              <w:spacing w:after="0" w:before="0" w:line="240" w:lineRule="auto"/>
              <w:ind w:left="0"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jc w:val="both"/>
              <w:rPr>
                <w:b w:val="1"/>
                <w:sz w:val="22"/>
                <w:szCs w:val="22"/>
              </w:rPr>
            </w:pPr>
            <w:r w:rsidDel="00000000" w:rsidR="00000000" w:rsidRPr="00000000">
              <w:rPr>
                <w:sz w:val="22"/>
                <w:szCs w:val="22"/>
                <w:rtl w:val="0"/>
              </w:rPr>
              <w:t xml:space="preserve">Материал: </w:t>
            </w:r>
            <w:r w:rsidDel="00000000" w:rsidR="00000000" w:rsidRPr="00000000">
              <w:rPr>
                <w:b w:val="1"/>
                <w:sz w:val="22"/>
                <w:szCs w:val="22"/>
                <w:rtl w:val="0"/>
              </w:rPr>
              <w:t xml:space="preserve">AISI 316L</w:t>
            </w:r>
          </w:p>
          <w:p w:rsidR="00000000" w:rsidDel="00000000" w:rsidP="00000000" w:rsidRDefault="00000000" w:rsidRPr="00000000" w14:paraId="00000026">
            <w:pPr>
              <w:jc w:val="both"/>
              <w:rPr>
                <w:b w:val="1"/>
                <w:sz w:val="22"/>
                <w:szCs w:val="22"/>
              </w:rPr>
            </w:pPr>
            <w:r w:rsidDel="00000000" w:rsidR="00000000" w:rsidRPr="00000000">
              <w:rPr>
                <w:sz w:val="22"/>
                <w:szCs w:val="22"/>
                <w:rtl w:val="0"/>
              </w:rPr>
              <w:t xml:space="preserve">Размер щели: </w:t>
            </w:r>
            <w:r w:rsidDel="00000000" w:rsidR="00000000" w:rsidRPr="00000000">
              <w:rPr>
                <w:b w:val="1"/>
                <w:sz w:val="22"/>
                <w:szCs w:val="22"/>
                <w:rtl w:val="0"/>
              </w:rPr>
              <w:t xml:space="preserve">500мкм±20мкм</w:t>
            </w:r>
          </w:p>
          <w:p w:rsidR="00000000" w:rsidDel="00000000" w:rsidP="00000000" w:rsidRDefault="00000000" w:rsidRPr="00000000" w14:paraId="00000027">
            <w:pPr>
              <w:jc w:val="both"/>
              <w:rPr>
                <w:b w:val="1"/>
                <w:sz w:val="22"/>
                <w:szCs w:val="22"/>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Профиль проволоки должен быть изготовлен по технологии Vee-Wire, обеспечивающей устойчивость к коррозии, воздействию абразивных веществ.</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Профиль проволоки должен обеспечивать самоочистку фильтрующей поверхности.</w:t>
            </w:r>
          </w:p>
        </w:tc>
        <w:tc>
          <w:tcPr/>
          <w:p w:rsidR="00000000" w:rsidDel="00000000" w:rsidP="00000000" w:rsidRDefault="00000000" w:rsidRPr="00000000" w14:paraId="0000002A">
            <w:pPr>
              <w:spacing w:before="75" w:lineRule="auto"/>
              <w:rPr/>
            </w:pPr>
            <w:r w:rsidDel="00000000" w:rsidR="00000000" w:rsidRPr="00000000">
              <w:rPr>
                <w:rtl w:val="0"/>
              </w:rPr>
              <w:t xml:space="preserve">The flat filter is installed inside of the bunker. The bunker is set under the vibrating screen (S220). The amount of solution passing through the flat filter is 30 m</w:t>
            </w:r>
            <w:r w:rsidDel="00000000" w:rsidR="00000000" w:rsidRPr="00000000">
              <w:rPr>
                <w:sz w:val="22"/>
                <w:szCs w:val="22"/>
                <w:vertAlign w:val="superscript"/>
                <w:rtl w:val="0"/>
              </w:rPr>
              <w:t xml:space="preserve">3</w:t>
            </w:r>
            <w:r w:rsidDel="00000000" w:rsidR="00000000" w:rsidRPr="00000000">
              <w:rPr>
                <w:rtl w:val="0"/>
              </w:rPr>
              <w:t xml:space="preserve">/hour. Sorbent that passed through the vibrating screen enters the bunker with the solution. After that, the solution passes through the flat filter and goes to the pools, while the sorbent gets lowered directly into the interlocutory column (R300).</w:t>
            </w:r>
          </w:p>
          <w:p w:rsidR="00000000" w:rsidDel="00000000" w:rsidP="00000000" w:rsidRDefault="00000000" w:rsidRPr="00000000" w14:paraId="0000002B">
            <w:pPr>
              <w:spacing w:before="75" w:lineRule="auto"/>
              <w:rPr>
                <w:b w:val="1"/>
              </w:rPr>
            </w:pPr>
            <w:r w:rsidDel="00000000" w:rsidR="00000000" w:rsidRPr="00000000">
              <w:rPr>
                <w:rtl w:val="0"/>
              </w:rPr>
              <w:t xml:space="preserve">Material: </w:t>
            </w:r>
            <w:r w:rsidDel="00000000" w:rsidR="00000000" w:rsidRPr="00000000">
              <w:rPr>
                <w:b w:val="1"/>
                <w:rtl w:val="0"/>
              </w:rPr>
              <w:t xml:space="preserve">AISI 316L</w:t>
            </w:r>
          </w:p>
          <w:p w:rsidR="00000000" w:rsidDel="00000000" w:rsidP="00000000" w:rsidRDefault="00000000" w:rsidRPr="00000000" w14:paraId="0000002C">
            <w:pPr>
              <w:spacing w:before="75" w:lineRule="auto"/>
              <w:rPr>
                <w:b w:val="1"/>
                <w:sz w:val="22"/>
                <w:szCs w:val="22"/>
              </w:rPr>
            </w:pPr>
            <w:r w:rsidDel="00000000" w:rsidR="00000000" w:rsidRPr="00000000">
              <w:rPr>
                <w:rtl w:val="0"/>
              </w:rPr>
              <w:t xml:space="preserve">Cleft size: </w:t>
            </w:r>
            <w:r w:rsidDel="00000000" w:rsidR="00000000" w:rsidRPr="00000000">
              <w:rPr>
                <w:b w:val="1"/>
                <w:rtl w:val="0"/>
              </w:rPr>
              <w:t xml:space="preserve">500mcm</w:t>
            </w:r>
            <w:r w:rsidDel="00000000" w:rsidR="00000000" w:rsidRPr="00000000">
              <w:rPr>
                <w:b w:val="1"/>
                <w:sz w:val="22"/>
                <w:szCs w:val="22"/>
                <w:rtl w:val="0"/>
              </w:rPr>
              <w:t xml:space="preserve">±20mcm</w:t>
            </w:r>
          </w:p>
          <w:p w:rsidR="00000000" w:rsidDel="00000000" w:rsidP="00000000" w:rsidRDefault="00000000" w:rsidRPr="00000000" w14:paraId="0000002D">
            <w:pPr>
              <w:spacing w:before="75" w:lineRule="auto"/>
              <w:rPr>
                <w:b w:val="1"/>
                <w:sz w:val="22"/>
                <w:szCs w:val="22"/>
              </w:rPr>
            </w:pPr>
            <w:r w:rsidDel="00000000" w:rsidR="00000000" w:rsidRPr="00000000">
              <w:rPr>
                <w:rtl w:val="0"/>
              </w:rPr>
            </w:r>
          </w:p>
          <w:p w:rsidR="00000000" w:rsidDel="00000000" w:rsidP="00000000" w:rsidRDefault="00000000" w:rsidRPr="00000000" w14:paraId="0000002E">
            <w:pPr>
              <w:spacing w:before="75" w:lineRule="auto"/>
              <w:rPr>
                <w:sz w:val="22"/>
                <w:szCs w:val="22"/>
              </w:rPr>
            </w:pPr>
            <w:r w:rsidDel="00000000" w:rsidR="00000000" w:rsidRPr="00000000">
              <w:rPr>
                <w:sz w:val="22"/>
                <w:szCs w:val="22"/>
                <w:rtl w:val="0"/>
              </w:rPr>
              <w:t xml:space="preserve">The wire profile must be produced using Vee-Wire technology, which resists corrosion and abrasive substances.</w:t>
            </w:r>
          </w:p>
          <w:p w:rsidR="00000000" w:rsidDel="00000000" w:rsidP="00000000" w:rsidRDefault="00000000" w:rsidRPr="00000000" w14:paraId="0000002F">
            <w:pPr>
              <w:spacing w:before="75" w:lineRule="auto"/>
              <w:rPr>
                <w:sz w:val="22"/>
                <w:szCs w:val="22"/>
              </w:rPr>
            </w:pPr>
            <w:r w:rsidDel="00000000" w:rsidR="00000000" w:rsidRPr="00000000">
              <w:rPr>
                <w:sz w:val="22"/>
                <w:szCs w:val="22"/>
                <w:rtl w:val="0"/>
              </w:rPr>
              <w:t xml:space="preserve">The wire profile must sustain self-cleaning of the filtering surface.</w:t>
            </w:r>
            <w:r w:rsidDel="00000000" w:rsidR="00000000" w:rsidRPr="00000000">
              <w:rPr>
                <w:rtl w:val="0"/>
              </w:rPr>
            </w:r>
          </w:p>
        </w:tc>
      </w:tr>
      <w:tr>
        <w:tc>
          <w:tcPr/>
          <w:p w:rsidR="00000000" w:rsidDel="00000000" w:rsidP="00000000" w:rsidRDefault="00000000" w:rsidRPr="00000000" w14:paraId="00000030">
            <w:pPr>
              <w:spacing w:before="75" w:lineRule="auto"/>
              <w:rPr>
                <w:b w:val="1"/>
                <w:sz w:val="22"/>
                <w:szCs w:val="22"/>
              </w:rPr>
            </w:pPr>
            <w:r w:rsidDel="00000000" w:rsidR="00000000" w:rsidRPr="00000000">
              <w:rPr>
                <w:b w:val="1"/>
                <w:sz w:val="22"/>
                <w:szCs w:val="22"/>
                <w:rtl w:val="0"/>
              </w:rPr>
              <w:t xml:space="preserve">Описание работ</w:t>
            </w:r>
          </w:p>
        </w:tc>
        <w:tc>
          <w:tcPr/>
          <w:p w:rsidR="00000000" w:rsidDel="00000000" w:rsidP="00000000" w:rsidRDefault="00000000" w:rsidRPr="00000000" w14:paraId="00000031">
            <w:pPr>
              <w:spacing w:before="75" w:lineRule="auto"/>
              <w:rPr>
                <w:b w:val="1"/>
              </w:rPr>
            </w:pPr>
            <w:r w:rsidDel="00000000" w:rsidR="00000000" w:rsidRPr="00000000">
              <w:rPr>
                <w:b w:val="1"/>
                <w:rtl w:val="0"/>
              </w:rPr>
              <w:t xml:space="preserve">Job description</w:t>
            </w:r>
          </w:p>
        </w:tc>
      </w:tr>
      <w:t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Демонтаж в помещении аппарата вертикального с перемешивающим устройством, со складированием для дальнейшего использования, масса 0,8тн.</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Демонтаж в помещении емкости цилиндрической из стеклопластика с плоским дном и конусной крышкой (полезный объем – 25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внутренний диаметр – 3200 мм, максимальный наружный диаметр – 3350 мм, высота цилиндра – 3130 мм, рабочая высота без патрубков – 3560 мм), с разрезкой на 80 частей размером 600 x 1000 мм (длина шва – 124,6 м) и укладкой в ТУКи для утилизации.</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Проверка и диагностика сварных швов электростатическим методом емкостей из ПНД (PE-100-RC-WK-S-8000) после монтажа. Проведение гидроиспытания в течение 24 часов и ввод в эксплуатацию.</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Обучение персонала Заказчика электростатическим методам диагностирования сварных швов емкостей из ПНД (PE-100-RC-WK-S-8000).</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31"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Обучение персонала Заказчика выполнению сварки материала ПНД (PE-100-RC-WK-S-8000).</w:t>
            </w:r>
          </w:p>
        </w:tc>
        <w:tc>
          <w:tcPr/>
          <w:p w:rsidR="00000000" w:rsidDel="00000000" w:rsidP="00000000" w:rsidRDefault="00000000" w:rsidRPr="00000000" w14:paraId="00000037">
            <w:pPr>
              <w:spacing w:before="75" w:lineRule="auto"/>
              <w:rPr/>
            </w:pPr>
            <w:r w:rsidDel="00000000" w:rsidR="00000000" w:rsidRPr="00000000">
              <w:rPr>
                <w:rtl w:val="0"/>
              </w:rPr>
              <w:t xml:space="preserve">Indoor dismantling of a vertical apparatus with a mixing device and storing it for future use.</w:t>
            </w:r>
          </w:p>
          <w:p w:rsidR="00000000" w:rsidDel="00000000" w:rsidP="00000000" w:rsidRDefault="00000000" w:rsidRPr="00000000" w14:paraId="00000038">
            <w:pPr>
              <w:spacing w:before="75" w:lineRule="auto"/>
              <w:rPr/>
            </w:pPr>
            <w:r w:rsidDel="00000000" w:rsidR="00000000" w:rsidRPr="00000000">
              <w:rPr>
                <w:rtl w:val="0"/>
              </w:rPr>
              <w:t xml:space="preserve">Indoor dismantling of cylindrical fiberglass container with flat bottom and tapered lid (net volume - 25 m, internal diameter - 3200 mm, maximum external diameter - 3350 mm, cylinder height - 3130 mm, sleeveless functional height -3560 mm), cutting into 80 600 x 1000 mm pieces (weld length - 124,6 m) and stowing it into the transport packaging for disposal. </w:t>
            </w:r>
          </w:p>
          <w:p w:rsidR="00000000" w:rsidDel="00000000" w:rsidP="00000000" w:rsidRDefault="00000000" w:rsidRPr="00000000" w14:paraId="00000039">
            <w:pPr>
              <w:spacing w:before="75" w:lineRule="auto"/>
              <w:rPr/>
            </w:pPr>
            <w:r w:rsidDel="00000000" w:rsidR="00000000" w:rsidRPr="00000000">
              <w:rPr>
                <w:rtl w:val="0"/>
              </w:rPr>
              <w:t xml:space="preserve"> Weld inspection and diagnostics using the electrostatic technique of the low-pressure polyethylene containers (PE-100-RC-WK-S-8000) after the montage.</w:t>
            </w:r>
          </w:p>
          <w:p w:rsidR="00000000" w:rsidDel="00000000" w:rsidP="00000000" w:rsidRDefault="00000000" w:rsidRPr="00000000" w14:paraId="0000003A">
            <w:pPr>
              <w:spacing w:before="75" w:lineRule="auto"/>
              <w:rPr/>
            </w:pPr>
            <w:r w:rsidDel="00000000" w:rsidR="00000000" w:rsidRPr="00000000">
              <w:rPr>
                <w:rtl w:val="0"/>
              </w:rPr>
              <w:t xml:space="preserve">Performing of the 24-hour hydrotest and commissioning.</w:t>
            </w:r>
          </w:p>
          <w:p w:rsidR="00000000" w:rsidDel="00000000" w:rsidP="00000000" w:rsidRDefault="00000000" w:rsidRPr="00000000" w14:paraId="0000003B">
            <w:pPr>
              <w:spacing w:before="75" w:lineRule="auto"/>
              <w:rPr/>
            </w:pPr>
            <w:r w:rsidDel="00000000" w:rsidR="00000000" w:rsidRPr="00000000">
              <w:rPr>
                <w:rtl w:val="0"/>
              </w:rPr>
              <w:t xml:space="preserve">Training Customer’s personnel in methods of diagnosing welds of the low-pressure polyethylene containers. (PE-100-RC-WK-S-8000).</w:t>
            </w:r>
          </w:p>
          <w:p w:rsidR="00000000" w:rsidDel="00000000" w:rsidP="00000000" w:rsidRDefault="00000000" w:rsidRPr="00000000" w14:paraId="0000003C">
            <w:pPr>
              <w:spacing w:before="75" w:lineRule="auto"/>
              <w:rPr/>
            </w:pPr>
            <w:r w:rsidDel="00000000" w:rsidR="00000000" w:rsidRPr="00000000">
              <w:rPr>
                <w:rtl w:val="0"/>
              </w:rPr>
              <w:t xml:space="preserve">Training Customer’s personnel in low-pressure polyethylene material welding (PE-100-RC-WK-S-8000).</w:t>
            </w:r>
            <w:r w:rsidDel="00000000" w:rsidR="00000000" w:rsidRPr="00000000">
              <w:rPr>
                <w:rtl w:val="0"/>
              </w:rPr>
            </w:r>
          </w:p>
        </w:tc>
      </w:tr>
      <w:tr>
        <w:tc>
          <w:tcPr/>
          <w:p w:rsidR="00000000" w:rsidDel="00000000" w:rsidP="00000000" w:rsidRDefault="00000000" w:rsidRPr="00000000" w14:paraId="0000003D">
            <w:pPr>
              <w:spacing w:before="75" w:lineRule="auto"/>
              <w:jc w:val="both"/>
              <w:rPr>
                <w:sz w:val="22"/>
                <w:szCs w:val="22"/>
              </w:rPr>
            </w:pPr>
            <w:r w:rsidDel="00000000" w:rsidR="00000000" w:rsidRPr="00000000">
              <w:rPr>
                <w:b w:val="1"/>
                <w:sz w:val="22"/>
                <w:szCs w:val="22"/>
                <w:rtl w:val="0"/>
              </w:rPr>
              <w:t xml:space="preserve">О выполнении работ по графику работ</w:t>
            </w:r>
            <w:r w:rsidDel="00000000" w:rsidR="00000000" w:rsidRPr="00000000">
              <w:rPr>
                <w:rtl w:val="0"/>
              </w:rPr>
            </w:r>
          </w:p>
        </w:tc>
        <w:tc>
          <w:tcPr/>
          <w:p w:rsidR="00000000" w:rsidDel="00000000" w:rsidP="00000000" w:rsidRDefault="00000000" w:rsidRPr="00000000" w14:paraId="0000003E">
            <w:pPr>
              <w:spacing w:before="75" w:lineRule="auto"/>
              <w:rPr>
                <w:b w:val="1"/>
              </w:rPr>
            </w:pPr>
            <w:r w:rsidDel="00000000" w:rsidR="00000000" w:rsidRPr="00000000">
              <w:rPr>
                <w:b w:val="1"/>
                <w:rtl w:val="0"/>
              </w:rPr>
              <w:t xml:space="preserve">Work execution according to the schedule</w:t>
            </w:r>
          </w:p>
        </w:tc>
      </w:tr>
      <w:tr>
        <w:tc>
          <w:tcPr/>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Согласно пункту 4 Приложения С «График работ» к Контракту, Подрядчик должен был выполнить работы в течение 17 (семнадцати) недель с Даты начала строительства. Датой начала строительства, в соответствии с письмом Компании №4700009814-С-13-LETOUT-0001 от 13 ноября 2013 года, является 13 ноября 2013 года (см. Приложение 1). Таким образом, работы должны были быть завершены 12 марта 2014 года. Акт государственной приемочной комиссии был подписан 5 июня 2014 года, т.е. отставание по срокам выполнения работ составило 85 (восемьдесят пять) календарных дней. Согласно пункту 8.2 и 8.3 Приложения Б, предусматривается наложение штрафных санкций за позднее завершение работ. Компания была намерена применить максимальные штрафные санкции в размере 10% от цены Договора, что составило бы 14 984 439,82 тенге без учета НДС.</w:t>
            </w:r>
          </w:p>
          <w:p w:rsidR="00000000" w:rsidDel="00000000" w:rsidP="00000000" w:rsidRDefault="00000000" w:rsidRPr="00000000" w14:paraId="00000040">
            <w:pPr>
              <w:jc w:val="both"/>
              <w:rPr>
                <w:sz w:val="22"/>
                <w:szCs w:val="22"/>
              </w:rPr>
            </w:pPr>
            <w:r w:rsidDel="00000000" w:rsidR="00000000" w:rsidRPr="00000000">
              <w:rPr>
                <w:rtl w:val="0"/>
              </w:rPr>
            </w:r>
          </w:p>
          <w:p w:rsidR="00000000" w:rsidDel="00000000" w:rsidP="00000000" w:rsidRDefault="00000000" w:rsidRPr="00000000" w14:paraId="00000041">
            <w:pPr>
              <w:jc w:val="both"/>
              <w:rPr>
                <w:i w:val="1"/>
                <w:sz w:val="22"/>
                <w:szCs w:val="22"/>
              </w:rPr>
            </w:pPr>
            <w:r w:rsidDel="00000000" w:rsidR="00000000" w:rsidRPr="00000000">
              <w:rPr>
                <w:i w:val="1"/>
                <w:sz w:val="22"/>
                <w:szCs w:val="22"/>
                <w:rtl w:val="0"/>
              </w:rPr>
              <w:t xml:space="preserve">См.пункт №4 данного письма о втором случае изменения суммы Договора, то есть на сегодня цена Договора уменьшилась до 167 825 726 тенге с учетом НДС.</w:t>
            </w:r>
          </w:p>
          <w:p w:rsidR="00000000" w:rsidDel="00000000" w:rsidP="00000000" w:rsidRDefault="00000000" w:rsidRPr="00000000" w14:paraId="00000042">
            <w:pPr>
              <w:spacing w:before="75" w:lineRule="auto"/>
              <w:jc w:val="both"/>
              <w:rPr>
                <w:b w:val="1"/>
                <w:sz w:val="22"/>
                <w:szCs w:val="22"/>
              </w:rPr>
            </w:pPr>
            <w:r w:rsidDel="00000000" w:rsidR="00000000" w:rsidRPr="00000000">
              <w:rPr>
                <w:b w:val="1"/>
                <w:sz w:val="22"/>
                <w:szCs w:val="22"/>
                <w:rtl w:val="0"/>
              </w:rPr>
              <w:t xml:space="preserve">В связи с многочисленными просьбами Подрядчика, Компания пошла на уступки Подрядчику о неприменении штрафных санкций за отставание по срокам выполнения работ.</w:t>
            </w:r>
          </w:p>
        </w:tc>
        <w:tc>
          <w:tcPr/>
          <w:p w:rsidR="00000000" w:rsidDel="00000000" w:rsidP="00000000" w:rsidRDefault="00000000" w:rsidRPr="00000000" w14:paraId="00000043">
            <w:pPr>
              <w:spacing w:before="75" w:lineRule="auto"/>
              <w:rPr/>
            </w:pPr>
            <w:r w:rsidDel="00000000" w:rsidR="00000000" w:rsidRPr="00000000">
              <w:rPr>
                <w:rtl w:val="0"/>
              </w:rPr>
              <w:t xml:space="preserve">In conformity with paragraph 4 of annex C “Work schedule” of the contract, the contractor was to complete the work within 17 (seventeen) weeks from the construction commencement date. According to the Company’s letter </w:t>
            </w:r>
            <w:r w:rsidDel="00000000" w:rsidR="00000000" w:rsidRPr="00000000">
              <w:rPr>
                <w:sz w:val="22"/>
                <w:szCs w:val="22"/>
                <w:rtl w:val="0"/>
              </w:rPr>
              <w:t xml:space="preserve">№4700009814-С-13-LETOUT-0001</w:t>
            </w:r>
            <w:r w:rsidDel="00000000" w:rsidR="00000000" w:rsidRPr="00000000">
              <w:rPr>
                <w:rtl w:val="0"/>
              </w:rPr>
              <w:t xml:space="preserve"> on 13 November 2013, the construction commencement date is 13 November 2013 (see annex 1). Thus, the work was to be completed on March 12, 2014. The governmental acceptance commision act was signed on June 5, 2014, that is, the backlog in work execution was 85 (eighty-five) calendar days. In accordance with annex B, paragraph 8.2 and 8.3, penalties for the later work completion are envisaged. The Company was going to apply the maximum penalty of 10% of the price of the Agreement, which would be 14 984 439,82 tenge excluding VAT. </w:t>
            </w:r>
          </w:p>
          <w:p w:rsidR="00000000" w:rsidDel="00000000" w:rsidP="00000000" w:rsidRDefault="00000000" w:rsidRPr="00000000" w14:paraId="00000044">
            <w:pPr>
              <w:spacing w:before="75" w:lineRule="auto"/>
              <w:rPr/>
            </w:pPr>
            <w:r w:rsidDel="00000000" w:rsidR="00000000" w:rsidRPr="00000000">
              <w:rPr>
                <w:rtl w:val="0"/>
              </w:rPr>
              <w:t xml:space="preserve">See paragraph №4 of this letter on the second case of Agreement price change</w:t>
            </w:r>
          </w:p>
          <w:p w:rsidR="00000000" w:rsidDel="00000000" w:rsidP="00000000" w:rsidRDefault="00000000" w:rsidRPr="00000000" w14:paraId="00000045">
            <w:pPr>
              <w:spacing w:before="75" w:lineRule="auto"/>
              <w:rPr>
                <w:i w:val="1"/>
                <w:sz w:val="22"/>
                <w:szCs w:val="22"/>
              </w:rPr>
            </w:pPr>
            <w:r w:rsidDel="00000000" w:rsidR="00000000" w:rsidRPr="00000000">
              <w:rPr>
                <w:i w:val="1"/>
                <w:sz w:val="22"/>
                <w:szCs w:val="22"/>
                <w:rtl w:val="0"/>
              </w:rPr>
              <w:t xml:space="preserve">See this letters paragraph №4 on the second case of Agreement price change. That is, the price of the Agreement has decreased to 167 825 726 tenge including VAT. </w:t>
            </w:r>
          </w:p>
          <w:p w:rsidR="00000000" w:rsidDel="00000000" w:rsidP="00000000" w:rsidRDefault="00000000" w:rsidRPr="00000000" w14:paraId="00000046">
            <w:pPr>
              <w:spacing w:before="75" w:lineRule="auto"/>
              <w:jc w:val="both"/>
              <w:rPr>
                <w:i w:val="1"/>
                <w:sz w:val="22"/>
                <w:szCs w:val="22"/>
              </w:rPr>
            </w:pPr>
            <w:r w:rsidDel="00000000" w:rsidR="00000000" w:rsidRPr="00000000">
              <w:rPr>
                <w:b w:val="1"/>
                <w:sz w:val="22"/>
                <w:szCs w:val="22"/>
                <w:rtl w:val="0"/>
              </w:rPr>
              <w:t xml:space="preserve">With regard to numerous requests from the Contractor, the Company has made concessions to the Contractor to not apply penalties for work execution delay. </w:t>
            </w: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