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A1" w:rsidRDefault="009A77D3">
      <w:pPr>
        <w:pStyle w:val="3"/>
      </w:pPr>
      <w:r>
        <w:t xml:space="preserve">ЗМІСТ </w:t>
      </w:r>
    </w:p>
    <w:sdt>
      <w:sdtPr>
        <w:rPr>
          <w:lang w:bidi="uk-UA"/>
        </w:rPr>
        <w:id w:val="-577360165"/>
        <w:docPartObj>
          <w:docPartGallery w:val="Table of Contents"/>
        </w:docPartObj>
      </w:sdtPr>
      <w:sdtEndPr/>
      <w:sdtContent>
        <w:p w:rsidR="000263A1" w:rsidRDefault="009A77D3">
          <w:pPr>
            <w:pStyle w:val="11"/>
            <w:tabs>
              <w:tab w:val="right" w:leader="dot" w:pos="9645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2009">
            <w:r>
              <w:t>ВСТУП</w:t>
            </w:r>
            <w:r>
              <w:tab/>
            </w:r>
            <w:r>
              <w:fldChar w:fldCharType="begin"/>
            </w:r>
            <w:r>
              <w:instrText>PAGEREF _Toc22009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0263A1" w:rsidRDefault="009A77D3">
          <w:pPr>
            <w:pStyle w:val="11"/>
            <w:tabs>
              <w:tab w:val="right" w:leader="dot" w:pos="9645"/>
            </w:tabs>
          </w:pPr>
          <w:hyperlink w:anchor="_Toc22010">
            <w:r>
              <w:t>РОЗДІЛ 1. ХУДОЖНІЙ ПЕРЕКЛАД ЯК ПОХІДНИЙ КОНЦЕПТУАЛЬНИЙ ВИМІР</w:t>
            </w:r>
            <w:r>
              <w:tab/>
            </w:r>
            <w:r>
              <w:fldChar w:fldCharType="begin"/>
            </w:r>
            <w:r>
              <w:instrText>PAGEREF _Toc22010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0263A1" w:rsidRDefault="009A77D3">
          <w:pPr>
            <w:pStyle w:val="21"/>
            <w:tabs>
              <w:tab w:val="right" w:leader="dot" w:pos="9645"/>
            </w:tabs>
          </w:pPr>
          <w:hyperlink w:anchor="_Toc22011">
            <w:r>
              <w:t>1.1. Художній текст як об‘єкт п</w:t>
            </w:r>
            <w:r>
              <w:t>ерекладу</w:t>
            </w:r>
            <w:r>
              <w:tab/>
            </w:r>
            <w:r>
              <w:fldChar w:fldCharType="begin"/>
            </w:r>
            <w:r>
              <w:instrText>PAGEREF _Toc22011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0263A1" w:rsidRDefault="009A77D3">
          <w:pPr>
            <w:pStyle w:val="21"/>
            <w:tabs>
              <w:tab w:val="right" w:leader="dot" w:pos="9645"/>
            </w:tabs>
          </w:pPr>
          <w:hyperlink w:anchor="_Toc22012">
            <w:r>
              <w:t>1.2. Закономірності художнього перекладу</w:t>
            </w:r>
            <w:r>
              <w:tab/>
            </w:r>
            <w:r>
              <w:fldChar w:fldCharType="begin"/>
            </w:r>
            <w:r>
              <w:instrText>PAGEREF _Toc22012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0263A1" w:rsidRDefault="009A77D3">
          <w:pPr>
            <w:pStyle w:val="11"/>
            <w:tabs>
              <w:tab w:val="right" w:leader="dot" w:pos="9645"/>
            </w:tabs>
          </w:pPr>
          <w:hyperlink w:anchor="_Toc22013">
            <w:r>
              <w:t>РОЗДІЛ 2. ЗАКОНОМ</w:t>
            </w:r>
            <w:r>
              <w:t>ІРНОСТІ АДАПТАЦІЇ ЛІРИЧНОЇ КОНЦЕПТОЛОГІЇ І. ФРАНКА В АНГЛОМОВНИХ ПЕРЕКЛАДАХ</w:t>
            </w:r>
            <w:r>
              <w:tab/>
            </w:r>
            <w:r>
              <w:fldChar w:fldCharType="begin"/>
            </w:r>
            <w:r>
              <w:instrText>PAGEREF _Toc22013 \h</w:instrText>
            </w:r>
            <w:r>
              <w:fldChar w:fldCharType="separate"/>
            </w:r>
            <w:r>
              <w:t xml:space="preserve">19 </w:t>
            </w:r>
            <w:r>
              <w:fldChar w:fldCharType="end"/>
            </w:r>
          </w:hyperlink>
        </w:p>
        <w:p w:rsidR="000263A1" w:rsidRDefault="009A77D3">
          <w:pPr>
            <w:pStyle w:val="21"/>
            <w:tabs>
              <w:tab w:val="right" w:leader="dot" w:pos="9645"/>
            </w:tabs>
          </w:pPr>
          <w:hyperlink w:anchor="_Toc22014">
            <w:r>
              <w:t>2.1. Лексико-семантичні особливості перекладу ліричних творів І. Франка</w:t>
            </w:r>
            <w:r>
              <w:tab/>
            </w:r>
            <w:r>
              <w:fldChar w:fldCharType="begin"/>
            </w:r>
            <w:r>
              <w:instrText>PAGEREF _Toc2</w:instrText>
            </w:r>
            <w:r>
              <w:instrText>2014 \h</w:instrText>
            </w:r>
            <w:r>
              <w:fldChar w:fldCharType="separate"/>
            </w:r>
            <w:r>
              <w:t xml:space="preserve">19 </w:t>
            </w:r>
            <w:r>
              <w:fldChar w:fldCharType="end"/>
            </w:r>
          </w:hyperlink>
        </w:p>
        <w:p w:rsidR="000263A1" w:rsidRDefault="009A77D3">
          <w:pPr>
            <w:pStyle w:val="21"/>
            <w:tabs>
              <w:tab w:val="right" w:leader="dot" w:pos="9645"/>
            </w:tabs>
          </w:pPr>
          <w:hyperlink w:anchor="_Toc22015">
            <w:r>
              <w:t>2.2. Структурно-граматичні закономірності передачі ліричної концептології І. Франка</w:t>
            </w:r>
            <w:r>
              <w:tab/>
            </w:r>
            <w:r>
              <w:fldChar w:fldCharType="begin"/>
            </w:r>
            <w:r>
              <w:instrText>PAGEREF _Toc22015 \h</w:instrText>
            </w:r>
            <w:r>
              <w:fldChar w:fldCharType="separate"/>
            </w:r>
            <w:r>
              <w:t xml:space="preserve">23 </w:t>
            </w:r>
            <w:r>
              <w:fldChar w:fldCharType="end"/>
            </w:r>
          </w:hyperlink>
        </w:p>
        <w:p w:rsidR="000263A1" w:rsidRDefault="009A77D3">
          <w:pPr>
            <w:pStyle w:val="11"/>
            <w:tabs>
              <w:tab w:val="right" w:leader="dot" w:pos="9645"/>
            </w:tabs>
          </w:pPr>
          <w:hyperlink w:anchor="_Toc22016">
            <w:r>
              <w:t>ВИСНОВКИ</w:t>
            </w:r>
            <w:r>
              <w:tab/>
            </w:r>
            <w:r>
              <w:fldChar w:fldCharType="begin"/>
            </w:r>
            <w:r>
              <w:instrText>PAGEREF _Toc22016 \h</w:instrText>
            </w:r>
            <w:r>
              <w:fldChar w:fldCharType="separate"/>
            </w:r>
            <w:r>
              <w:t xml:space="preserve">27 </w:t>
            </w:r>
            <w:r>
              <w:fldChar w:fldCharType="end"/>
            </w:r>
          </w:hyperlink>
        </w:p>
        <w:p w:rsidR="000263A1" w:rsidRDefault="009A77D3">
          <w:pPr>
            <w:pStyle w:val="11"/>
            <w:tabs>
              <w:tab w:val="right" w:leader="dot" w:pos="9645"/>
            </w:tabs>
          </w:pPr>
          <w:hyperlink w:anchor="_Toc22017">
            <w:r>
              <w:t>СПИСОК ВИКОРИСТАНОЇ ЛІТЕРАТУРИ</w:t>
            </w:r>
            <w:r>
              <w:tab/>
            </w:r>
            <w:r>
              <w:fldChar w:fldCharType="begin"/>
            </w:r>
            <w:r>
              <w:instrText>PAGEREF _Toc22017 \h</w:instrText>
            </w:r>
            <w:r>
              <w:fldChar w:fldCharType="separate"/>
            </w:r>
            <w:r>
              <w:t xml:space="preserve">29 </w:t>
            </w:r>
            <w:r>
              <w:fldChar w:fldCharType="end"/>
            </w:r>
          </w:hyperlink>
        </w:p>
        <w:p w:rsidR="000263A1" w:rsidRDefault="009A77D3">
          <w:r>
            <w:fldChar w:fldCharType="end"/>
          </w:r>
        </w:p>
      </w:sdtContent>
    </w:sdt>
    <w:p w:rsidR="000263A1" w:rsidRDefault="009A77D3">
      <w:pPr>
        <w:spacing w:after="26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63A1" w:rsidRDefault="009A77D3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0263A1" w:rsidRDefault="009A77D3">
      <w:pPr>
        <w:pStyle w:val="1"/>
        <w:ind w:right="3"/>
      </w:pPr>
      <w:bookmarkStart w:id="0" w:name="_Toc22009"/>
      <w:r>
        <w:lastRenderedPageBreak/>
        <w:t xml:space="preserve">ВСТУП </w:t>
      </w:r>
      <w:bookmarkEnd w:id="0"/>
    </w:p>
    <w:p w:rsidR="000263A1" w:rsidRDefault="009A77D3">
      <w:pPr>
        <w:spacing w:after="134" w:line="259" w:lineRule="auto"/>
        <w:ind w:left="708" w:firstLine="0"/>
        <w:jc w:val="left"/>
      </w:pPr>
      <w:r>
        <w:t xml:space="preserve"> </w:t>
      </w:r>
    </w:p>
    <w:p w:rsidR="000263A1" w:rsidRDefault="009A77D3">
      <w:pPr>
        <w:spacing w:after="11"/>
        <w:ind w:left="-15"/>
      </w:pPr>
      <w:r>
        <w:t>Перекладознавство, будучи процесом лінгвістичним, в той же час є і міждисциплінарною наукою, яка враховує явища і процеси, що відбуваються в соціолінгвістиці і культурології. Природно, що при конта</w:t>
      </w:r>
      <w:r>
        <w:t>кті різних культур відбувається процес обміну інформацією в усіх аспектах людської діяльності, і в першу чергу на мовному рівні. Осягнення мовних особливостей, не характерних власним соціумам, є потужним інтелектуальним механізмом, що забезпечує знайомство</w:t>
      </w:r>
      <w:r>
        <w:t xml:space="preserve"> з іншими культурами і їх світосприйняттям через призму мови. Крім утилітарного аспекту, вивчення мов, в якому переклад займає одну з лідируючих позицій, має і важливий соціокультурний компонент. </w:t>
      </w:r>
    </w:p>
    <w:p w:rsidR="000263A1" w:rsidRDefault="009A77D3">
      <w:pPr>
        <w:ind w:left="-15"/>
      </w:pPr>
      <w:r>
        <w:t>Формування соціокультурного компонента перекладацької діяль</w:t>
      </w:r>
      <w:r>
        <w:t>ності розглядається як одна з основних цілей навчання перекладу. До нього відносять інформацію, вивчення якої лежить через аналіз національно-маркованої лексики або мовних реалій. Слід зазначити, що даним лексичним одиницям приділено достатньо уваги як віт</w:t>
      </w:r>
      <w:r>
        <w:t>чизняними, так і зарубіжними дослідниками. Проблеми, що пов'язані з вивченням мовних реалій, як вони будуть передані при перекладі, лексикографічним описом чи лінгводидактичною презентацією висвітлюються в роботах дослідників – лінгвокультурологів Л.С. Бар</w:t>
      </w:r>
      <w:r>
        <w:t xml:space="preserve">хударова, А.Д. Швейцера, Г.В. Чернова, </w:t>
      </w:r>
    </w:p>
    <w:p w:rsidR="000263A1" w:rsidRDefault="009A77D3">
      <w:pPr>
        <w:spacing w:after="185" w:line="259" w:lineRule="auto"/>
        <w:ind w:left="-15" w:firstLine="0"/>
      </w:pPr>
      <w:r>
        <w:t xml:space="preserve">А.Е. Супруна.  Проблеми співвідношень мови та культури розглядаються також </w:t>
      </w:r>
    </w:p>
    <w:p w:rsidR="000263A1" w:rsidRDefault="009A77D3">
      <w:pPr>
        <w:spacing w:after="185" w:line="259" w:lineRule="auto"/>
        <w:ind w:left="-15" w:firstLine="0"/>
      </w:pPr>
      <w:r>
        <w:t xml:space="preserve">В.Г. Костомаровим та В.С. Виноградовим. У підручниках з теорії перекладу </w:t>
      </w:r>
    </w:p>
    <w:p w:rsidR="000263A1" w:rsidRDefault="009A77D3">
      <w:pPr>
        <w:ind w:left="-15" w:firstLine="0"/>
      </w:pPr>
      <w:r>
        <w:t xml:space="preserve">Л.С. Бархударова, В.Н. Комісарова, Л.К. </w:t>
      </w:r>
      <w:r>
        <w:t xml:space="preserve">Латишева, А.М. Фітермана, А.В. Федорова також представлена інформація про національно-марковані одиниці. </w:t>
      </w:r>
    </w:p>
    <w:p w:rsidR="000263A1" w:rsidRDefault="009A77D3">
      <w:pPr>
        <w:ind w:left="-15"/>
      </w:pPr>
      <w:r>
        <w:rPr>
          <w:b/>
        </w:rPr>
        <w:t>Актуальність даної теми</w:t>
      </w:r>
      <w:r>
        <w:t xml:space="preserve"> полягає в тому, що в даний час питання про природу, типи лінгвокультурних одиниць та способи їх перекладу є відкритим. У проце</w:t>
      </w:r>
      <w:r>
        <w:t>сі перекладу перекладач стикається з мовним відтворенням лінгвокультурних одиниць тієї чи іншої країни, з їх соціокультурними особливостями. Це завжди породжує певну складність, але і в той же час забезпечує стійкий інтерес до цієї теми з боку перекладача.</w:t>
      </w:r>
      <w:r>
        <w:t xml:space="preserve"> </w:t>
      </w:r>
    </w:p>
    <w:p w:rsidR="000263A1" w:rsidRDefault="009A77D3">
      <w:pPr>
        <w:ind w:left="-15"/>
      </w:pPr>
      <w:r>
        <w:rPr>
          <w:b/>
        </w:rPr>
        <w:lastRenderedPageBreak/>
        <w:t>Об'єкт дослідження –</w:t>
      </w:r>
      <w:r>
        <w:t xml:space="preserve"> художній текст та його лінгвокультурні особливості.  </w:t>
      </w:r>
    </w:p>
    <w:p w:rsidR="000263A1" w:rsidRDefault="009A77D3">
      <w:pPr>
        <w:spacing w:after="184" w:line="259" w:lineRule="auto"/>
        <w:ind w:left="708" w:firstLine="0"/>
      </w:pPr>
      <w:r>
        <w:rPr>
          <w:b/>
        </w:rPr>
        <w:t>Предмет дослідження</w:t>
      </w:r>
      <w:r>
        <w:t xml:space="preserve"> –особливості художнього перекладу поезії І. </w:t>
      </w:r>
    </w:p>
    <w:p w:rsidR="000263A1" w:rsidRDefault="009A77D3">
      <w:pPr>
        <w:spacing w:after="187" w:line="259" w:lineRule="auto"/>
        <w:ind w:left="-15" w:firstLine="0"/>
      </w:pPr>
      <w:r>
        <w:t xml:space="preserve">Франка англійською мовою. </w:t>
      </w:r>
    </w:p>
    <w:p w:rsidR="000263A1" w:rsidRDefault="009A77D3">
      <w:pPr>
        <w:ind w:left="-15"/>
      </w:pPr>
      <w:r>
        <w:rPr>
          <w:b/>
        </w:rPr>
        <w:t>Метою</w:t>
      </w:r>
      <w:r>
        <w:t xml:space="preserve"> даного дослідження є виявлення мовних особливостей і аналіз способів їх передачі </w:t>
      </w:r>
      <w:r>
        <w:t xml:space="preserve">при художньому перекладі поезії І. Франка англійською мовою.  </w:t>
      </w:r>
    </w:p>
    <w:p w:rsidR="000263A1" w:rsidRDefault="009A77D3">
      <w:pPr>
        <w:spacing w:after="186" w:line="259" w:lineRule="auto"/>
        <w:ind w:left="708" w:firstLine="0"/>
      </w:pPr>
      <w:r>
        <w:t xml:space="preserve">В ході дослідження було вирішено наступний ряд </w:t>
      </w:r>
      <w:r>
        <w:rPr>
          <w:b/>
        </w:rPr>
        <w:t>завдань:</w:t>
      </w:r>
      <w:r>
        <w:t xml:space="preserve"> </w:t>
      </w:r>
    </w:p>
    <w:p w:rsidR="000263A1" w:rsidRDefault="009A77D3">
      <w:pPr>
        <w:numPr>
          <w:ilvl w:val="0"/>
          <w:numId w:val="1"/>
        </w:numPr>
        <w:spacing w:after="193" w:line="259" w:lineRule="auto"/>
      </w:pPr>
      <w:r>
        <w:t xml:space="preserve">дослідити </w:t>
      </w:r>
      <w:r>
        <w:tab/>
        <w:t xml:space="preserve">мову </w:t>
      </w:r>
      <w:r>
        <w:tab/>
        <w:t xml:space="preserve">та </w:t>
      </w:r>
      <w:r>
        <w:tab/>
        <w:t xml:space="preserve">міжкультурну </w:t>
      </w:r>
      <w:r>
        <w:tab/>
        <w:t xml:space="preserve">комунікацію </w:t>
      </w:r>
      <w:r>
        <w:tab/>
        <w:t xml:space="preserve">в </w:t>
      </w:r>
      <w:r>
        <w:tab/>
        <w:t xml:space="preserve">системі </w:t>
      </w:r>
    </w:p>
    <w:p w:rsidR="000263A1" w:rsidRDefault="009A77D3">
      <w:pPr>
        <w:spacing w:after="185" w:line="259" w:lineRule="auto"/>
        <w:ind w:left="-15" w:firstLine="0"/>
      </w:pPr>
      <w:r>
        <w:t xml:space="preserve">антропоцентричних наук про мову; </w:t>
      </w:r>
    </w:p>
    <w:p w:rsidR="000263A1" w:rsidRDefault="009A77D3">
      <w:pPr>
        <w:numPr>
          <w:ilvl w:val="0"/>
          <w:numId w:val="1"/>
        </w:numPr>
        <w:spacing w:after="186" w:line="259" w:lineRule="auto"/>
      </w:pPr>
      <w:r>
        <w:t>розглянути лінгвокультурну адаптацію в про</w:t>
      </w:r>
      <w:r>
        <w:t xml:space="preserve">цесі перекладу тексту; </w:t>
      </w:r>
    </w:p>
    <w:p w:rsidR="000263A1" w:rsidRDefault="009A77D3">
      <w:pPr>
        <w:numPr>
          <w:ilvl w:val="0"/>
          <w:numId w:val="1"/>
        </w:numPr>
        <w:spacing w:after="184" w:line="259" w:lineRule="auto"/>
      </w:pPr>
      <w:r>
        <w:t xml:space="preserve">визначити особливості перекладу художніх творів; </w:t>
      </w:r>
    </w:p>
    <w:p w:rsidR="000263A1" w:rsidRDefault="009A77D3">
      <w:pPr>
        <w:numPr>
          <w:ilvl w:val="0"/>
          <w:numId w:val="1"/>
        </w:numPr>
      </w:pPr>
      <w:r>
        <w:t xml:space="preserve">описати лінгвокультурну адаптацію під час перекладу ліричних творів І. Франка; </w:t>
      </w:r>
    </w:p>
    <w:p w:rsidR="000263A1" w:rsidRDefault="009A77D3">
      <w:pPr>
        <w:numPr>
          <w:ilvl w:val="0"/>
          <w:numId w:val="1"/>
        </w:numPr>
      </w:pPr>
      <w:r>
        <w:t xml:space="preserve">дослідити лінгвокультурні маркери в художніх творах І. Франка та особливості їх перекладу. </w:t>
      </w:r>
    </w:p>
    <w:p w:rsidR="000263A1" w:rsidRDefault="009A77D3">
      <w:pPr>
        <w:ind w:left="-15"/>
      </w:pPr>
      <w:r>
        <w:rPr>
          <w:b/>
        </w:rPr>
        <w:t>Теоретико-</w:t>
      </w:r>
      <w:r>
        <w:rPr>
          <w:b/>
        </w:rPr>
        <w:t>методологічну базу дослідження</w:t>
      </w:r>
      <w:r>
        <w:t xml:space="preserve"> становлять праці, присвячені проблемам художнього перекладу, представлені наступними авторами: Л.С. Бархударов, Е.М. Верещагін, В.С. Виноградов, С. Влахов, С. Флорін, В.Н. Комісаров, Г.Д. Томахін та ін. </w:t>
      </w:r>
    </w:p>
    <w:p w:rsidR="000263A1" w:rsidRDefault="009A77D3">
      <w:pPr>
        <w:ind w:left="-15"/>
      </w:pPr>
      <w:r>
        <w:rPr>
          <w:b/>
        </w:rPr>
        <w:t>Теоретична значимість</w:t>
      </w:r>
      <w:r>
        <w:rPr>
          <w:b/>
        </w:rPr>
        <w:t xml:space="preserve"> дослідження</w:t>
      </w:r>
      <w:r>
        <w:t xml:space="preserve"> полягає в розробці лінгвістичної проблеми відбору і систематизації різних видів лексичних одиниць, що несуть в собі фонову інформацію з позицій їх перекладу і ролі в поезії І. Франка англійською мовою.  </w:t>
      </w:r>
    </w:p>
    <w:p w:rsidR="000263A1" w:rsidRDefault="009A77D3" w:rsidP="00950AA5">
      <w:pPr>
        <w:ind w:left="-15"/>
      </w:pPr>
      <w:r>
        <w:rPr>
          <w:b/>
        </w:rPr>
        <w:t>Практична значимість дослідження</w:t>
      </w:r>
      <w:r>
        <w:t xml:space="preserve"> полягає в тому, що результати, представлені в ньому, можуть бути використані при вивченні питань, пов'язаних з перекладом художнього тексту. </w:t>
      </w:r>
      <w:r>
        <w:tab/>
        <w:t xml:space="preserve"> </w:t>
      </w:r>
    </w:p>
    <w:p w:rsidR="000263A1" w:rsidRDefault="00950AA5" w:rsidP="00950AA5">
      <w:pPr>
        <w:pStyle w:val="1"/>
        <w:ind w:right="3"/>
        <w:jc w:val="both"/>
      </w:pPr>
      <w:bookmarkStart w:id="1" w:name="_Toc22016"/>
      <w:r>
        <w:lastRenderedPageBreak/>
        <w:t xml:space="preserve">                                                              </w:t>
      </w:r>
      <w:bookmarkStart w:id="2" w:name="_GoBack"/>
      <w:bookmarkEnd w:id="2"/>
      <w:r w:rsidR="009A77D3">
        <w:t xml:space="preserve">ВИСНОВКИ </w:t>
      </w:r>
      <w:bookmarkEnd w:id="1"/>
    </w:p>
    <w:p w:rsidR="000263A1" w:rsidRDefault="009A77D3">
      <w:pPr>
        <w:spacing w:after="264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63A1" w:rsidRDefault="009A77D3">
      <w:pPr>
        <w:spacing w:after="11"/>
        <w:ind w:left="-15"/>
      </w:pPr>
      <w:r>
        <w:t>Перекладознавство, будучи процесом лінгвістичним, в той же час є і міждисциплінарною наукою, яка враховує явища і процеси, що відбуваються в соціолінгвістиці і культурології. Природно, що при контакті різних культур відбувається процес обміну інформацією в</w:t>
      </w:r>
      <w:r>
        <w:t xml:space="preserve"> усіх аспектах людської діяльності, і в першу чергу на мовному рівні. Осягнення мовних особливостей, не характерних власним соціумам, є потужним інтелектуальним механізмом, що забезпечує знайомство з іншими культурами і їх світосприйняттям через призму мов</w:t>
      </w:r>
      <w:r>
        <w:t xml:space="preserve">и. Крім утилітарного аспекту, вивчення мов, в якому переклад займає одну з лідируючих позицій, має і важливий соціокультурний компонент. </w:t>
      </w:r>
    </w:p>
    <w:p w:rsidR="000263A1" w:rsidRDefault="009A77D3">
      <w:pPr>
        <w:ind w:left="-15"/>
      </w:pPr>
      <w:r>
        <w:t>Формування соціокультурного компонента перекладацької діяльності розглядається як одна з основних цілей навчання перек</w:t>
      </w:r>
      <w:r>
        <w:t xml:space="preserve">ладу. До нього відносять інформацію, вивчення якої лежить через аналіз національно-маркованої лексики або мовних реалій. </w:t>
      </w:r>
    </w:p>
    <w:p w:rsidR="000263A1" w:rsidRDefault="009A77D3">
      <w:pPr>
        <w:ind w:left="-15"/>
      </w:pPr>
      <w:r>
        <w:t>Засвоєння іноземної мови проходить успішніше, якщо її особливості вивчаються в зіставленні з фактами рідної мови. Про деякі випадки ро</w:t>
      </w:r>
      <w:r>
        <w:t xml:space="preserve">збіжності лексичних характеристик англійської та української мов можна сказати докладно. На деяких з них зупинимося зараз. </w:t>
      </w:r>
    </w:p>
    <w:p w:rsidR="000263A1" w:rsidRDefault="009A77D3">
      <w:pPr>
        <w:ind w:left="-15"/>
      </w:pPr>
      <w:r>
        <w:t xml:space="preserve">Зіставлення структурно-семантичних систем двох мов можна проводити в двох напрямках: можна порівнювати 1) засоби позначення одних і </w:t>
      </w:r>
      <w:r>
        <w:t xml:space="preserve">тих же предметів в різних мовах і 2) структурно-семантичні особливості словникових одиниць, що мають одне і те саме предметне значення. Порівняльний аналіз лексичних систем англійської та української мов розкриває існування відмінностей в обох планах. </w:t>
      </w:r>
    </w:p>
    <w:p w:rsidR="000263A1" w:rsidRDefault="009A77D3">
      <w:pPr>
        <w:ind w:left="-15"/>
      </w:pPr>
      <w:r>
        <w:t>Об'</w:t>
      </w:r>
      <w:r>
        <w:t>єктивна дійсність по-різному відбивається у свідомості людей, об'єднаних культурно-історичною спільнотою і які розмовляють однією мовою, і по-різному представлена в мові. Предмети об'єктивної дійсності об'єднуються в мовах за різними ознаками, і для наймен</w:t>
      </w:r>
      <w:r>
        <w:t xml:space="preserve">ування одних і тих же предметів </w:t>
      </w:r>
      <w:r>
        <w:lastRenderedPageBreak/>
        <w:t xml:space="preserve">використовується різна кількість слів, що не збігаються за обсягом та змістом значення. </w:t>
      </w:r>
    </w:p>
    <w:p w:rsidR="000263A1" w:rsidRDefault="009A77D3">
      <w:pPr>
        <w:ind w:left="-15"/>
      </w:pPr>
      <w:r>
        <w:t>Вірш ―Semper tiro‖ у перекладі англійською мовою доносить ідейнотематичну спрямованість оригіналу, який підпорядковано звукові, лексичн</w:t>
      </w:r>
      <w:r>
        <w:t>і, граматичні та стилістичні риси чи якості вірша. Аналіз кожної з п‘яти строф засвідчує, що обидва переклади мають на меті донести до англомовного читача розуміння глибинного змісту Поезії, роль і місце Поета в ній, філософські роздуми автора. Англійськом</w:t>
      </w:r>
      <w:r>
        <w:t xml:space="preserve">у перекладачеві П. Канді, як з огляду на природу мов, так і на час перекладу, не вдалося уникнути надмірної архаїзації. </w:t>
      </w:r>
    </w:p>
    <w:p w:rsidR="000263A1" w:rsidRDefault="009A77D3">
      <w:pPr>
        <w:spacing w:after="0"/>
        <w:ind w:left="-15" w:firstLine="0"/>
      </w:pPr>
      <w:r>
        <w:t xml:space="preserve">Формальні риси оригіналу відтворено адекватніше, ніж образно-стилістичні. Загалом же, відтворено філософський характер оригіналу, його </w:t>
      </w:r>
      <w:r>
        <w:t xml:space="preserve">дух. Позитивно оцінюючи непоодинокі творчі здобутки П. Канді, вважаємо, що цей програмний твір Івана Франка чекає на нових інтерпретаторів як мовами, наведеними вище, так і мовами інших народів світу. За самою своєю природою один переклад поетичного твору </w:t>
      </w:r>
      <w:r>
        <w:t xml:space="preserve">не може вичерпно передати усі без винятку грані ідейно-тематичного змісту першотвору, його стилістичних обертонів, які в сукупності покликані посилити естетичний вплив на читача чи слухача. </w:t>
      </w:r>
    </w:p>
    <w:p w:rsidR="000263A1" w:rsidRDefault="009A77D3">
      <w:pPr>
        <w:spacing w:after="26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63A1" w:rsidRDefault="009A77D3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sectPr w:rsidR="000263A1">
      <w:footerReference w:type="even" r:id="rId7"/>
      <w:footerReference w:type="default" r:id="rId8"/>
      <w:footerReference w:type="first" r:id="rId9"/>
      <w:pgSz w:w="11906" w:h="16838"/>
      <w:pgMar w:top="886" w:right="845" w:bottom="1269" w:left="1416" w:header="708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77D3">
      <w:pPr>
        <w:spacing w:after="0" w:line="240" w:lineRule="auto"/>
      </w:pPr>
      <w:r>
        <w:separator/>
      </w:r>
    </w:p>
  </w:endnote>
  <w:endnote w:type="continuationSeparator" w:id="0">
    <w:p w:rsidR="00000000" w:rsidRDefault="009A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3A1" w:rsidRDefault="009A77D3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63A1" w:rsidRDefault="009A77D3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3A1" w:rsidRDefault="009A77D3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63A1" w:rsidRDefault="009A77D3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3A1" w:rsidRDefault="009A77D3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63A1" w:rsidRDefault="009A77D3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77D3">
      <w:pPr>
        <w:spacing w:after="0" w:line="240" w:lineRule="auto"/>
      </w:pPr>
      <w:r>
        <w:separator/>
      </w:r>
    </w:p>
  </w:footnote>
  <w:footnote w:type="continuationSeparator" w:id="0">
    <w:p w:rsidR="00000000" w:rsidRDefault="009A7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142"/>
    <w:multiLevelType w:val="hybridMultilevel"/>
    <w:tmpl w:val="FFFFFFFF"/>
    <w:lvl w:ilvl="0" w:tplc="B7E0A2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86A8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84C7E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E431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83C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6AE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818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6C2E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06A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AD427D"/>
    <w:multiLevelType w:val="hybridMultilevel"/>
    <w:tmpl w:val="FFFFFFFF"/>
    <w:lvl w:ilvl="0" w:tplc="EC121314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FE1962">
      <w:start w:val="1"/>
      <w:numFmt w:val="lowerLetter"/>
      <w:lvlText w:val="%2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67C36">
      <w:start w:val="1"/>
      <w:numFmt w:val="lowerRoman"/>
      <w:lvlText w:val="%3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7AD726">
      <w:start w:val="1"/>
      <w:numFmt w:val="decimal"/>
      <w:lvlText w:val="%4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E49A8">
      <w:start w:val="1"/>
      <w:numFmt w:val="lowerLetter"/>
      <w:lvlText w:val="%5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8ADBA">
      <w:start w:val="1"/>
      <w:numFmt w:val="lowerRoman"/>
      <w:lvlText w:val="%6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12579E">
      <w:start w:val="1"/>
      <w:numFmt w:val="decimal"/>
      <w:lvlText w:val="%7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E2CEAC">
      <w:start w:val="1"/>
      <w:numFmt w:val="lowerLetter"/>
      <w:lvlText w:val="%8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A1A5E">
      <w:start w:val="1"/>
      <w:numFmt w:val="lowerRoman"/>
      <w:lvlText w:val="%9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A1"/>
    <w:rsid w:val="000263A1"/>
    <w:rsid w:val="00113B8A"/>
    <w:rsid w:val="00127A9E"/>
    <w:rsid w:val="004375A1"/>
    <w:rsid w:val="00950AA5"/>
    <w:rsid w:val="009A77D3"/>
    <w:rsid w:val="00A2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AB100"/>
  <w15:docId w15:val="{B3A27FA7-1279-0042-8493-FC879CC8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3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bidi="uk-UA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"/>
      <w:ind w:left="10" w:right="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122"/>
      <w:ind w:left="15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38" w:line="368" w:lineRule="auto"/>
      <w:ind w:left="221" w:right="23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4773</Words>
  <Characters>2721</Characters>
  <Application>Microsoft Office Word</Application>
  <DocSecurity>0</DocSecurity>
  <Lines>22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jfedyncuk@hotmail.com</cp:lastModifiedBy>
  <cp:revision>2</cp:revision>
  <dcterms:created xsi:type="dcterms:W3CDTF">2019-07-14T11:47:00Z</dcterms:created>
  <dcterms:modified xsi:type="dcterms:W3CDTF">2019-07-14T11:47:00Z</dcterms:modified>
</cp:coreProperties>
</file>