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hd w:fill="444654" w:val="clear"/>
        <w:spacing w:after="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A Ph.D. (Doctor of Philosophy) is the highest academic degree that individuals can attain in various fields of study. It is a rigorous and intensive program that involves advanced coursework, independent research, and the production of a significant scholarly dissertation.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The pursuit of a Ph.D. requires a deep passion for knowledge, a strong commitment to a specific area of study, and the desire to contribute new insights to the field. Ph.D. candidates embark on a journey of intellectual exploration, pushing the boundaries of existing knowledge and seeking to uncover novel perspectives and solutions to complex problems.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Ph.D. programs typically begin with a period of coursework that provides a solid foundation in the chosen field of study. This coursework is designed to broaden the candidate's understanding of existing theories, methodologies, and research practices, while also refining their critical thinking and analytical skills.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As candidates progress through their Ph.D. journey, they transition into the research phase. This involves identifying a research topic, formulating research questions, and designing a study to address those questions. Ph.D. candidates work closely with their advisors and mentors, who provide guidance and support throughout the research process.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The hallmark of a Ph.D. program is the completion of a dissertation. This is an extensive piece of original research that contributes new knowledge to the field. It requires a significant investment of time, effort, and intellectual rigor. The dissertation must demonstrate the candidate's mastery of the subject matter, their ability to conduct independent research, and their capacity to analyze and interpret data.</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Earning a Ph.D. is a transformative experience that goes beyond acquiring specialized knowledge. It develops a range of valuable skills, including critical thinking, problem-solving, project management, and effective communication. Ph.D. graduates are equipped with the tools to pursue careers in academia, research institutions, industry, and various other sectors where their expertise is sought after.</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hd w:fill="444654" w:val="clear"/>
        <w:spacing w:after="300"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While the Ph.D. journey can be challenging and demanding, it is also immensely rewarding. It offers the opportunity to make a significant impact on the chosen field of study, contribute to advancements in knowledge, and become part of a vibrant community of scholars and researchers.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hd w:fill="444654" w:val="clear"/>
        <w:spacing w:before="300" w:lineRule="auto"/>
        <w:rPr>
          <w:rFonts w:ascii="Times New Roman" w:cs="Times New Roman" w:eastAsia="Times New Roman" w:hAnsi="Times New Roman"/>
          <w:color w:val="d1d5db"/>
          <w:sz w:val="28"/>
          <w:szCs w:val="28"/>
        </w:rPr>
      </w:pPr>
      <w:r w:rsidDel="00000000" w:rsidR="00000000" w:rsidRPr="00000000">
        <w:rPr>
          <w:rFonts w:ascii="Times New Roman" w:cs="Times New Roman" w:eastAsia="Times New Roman" w:hAnsi="Times New Roman"/>
          <w:color w:val="d1d5db"/>
          <w:sz w:val="28"/>
          <w:szCs w:val="28"/>
          <w:rtl w:val="0"/>
        </w:rPr>
        <w:t xml:space="preserve">In summary, a Ph.D. represents the pinnacle of academic achievement. It signifies not only expertise in a particular subject but also the ability to think critically, conduct rigorous research, and contribute original insights. A Ph.D. is a testament to an individual's dedication, perseverance, and intellectual curiosity, and it opens doors to a world of exciting opportunities and possibilities.</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444654" w:val="clear"/>
        <w:spacing w:before="300" w:lineRule="auto"/>
        <w:rPr>
          <w:rFonts w:ascii="Times New Roman" w:cs="Times New Roman" w:eastAsia="Times New Roman" w:hAnsi="Times New Roman"/>
          <w:color w:val="d1d5db"/>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VLADYSLAV BAZANOV</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