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7E" w:rsidRDefault="00BF1D7E" w:rsidP="0018763E">
      <w:pPr>
        <w:spacing w:after="0" w:line="240" w:lineRule="auto"/>
        <w:ind w:firstLine="0"/>
        <w:jc w:val="center"/>
        <w:rPr>
          <w:szCs w:val="36"/>
          <w:lang w:val="en-US"/>
        </w:rPr>
      </w:pPr>
      <w:r>
        <w:rPr>
          <w:szCs w:val="36"/>
          <w:lang w:val="en-US"/>
        </w:rPr>
        <w:t>Floating Exchange Rate as I</w:t>
      </w:r>
      <w:r w:rsidRPr="00BF1D7E">
        <w:rPr>
          <w:szCs w:val="36"/>
          <w:lang w:val="en-US"/>
        </w:rPr>
        <w:t>ndispensable</w:t>
      </w:r>
      <w:r>
        <w:rPr>
          <w:szCs w:val="36"/>
          <w:lang w:val="en-US"/>
        </w:rPr>
        <w:t xml:space="preserve"> Condition of Maintaining the Stability of National Currency</w:t>
      </w:r>
    </w:p>
    <w:p w:rsidR="00335378" w:rsidRDefault="00335378" w:rsidP="0018763E">
      <w:pPr>
        <w:spacing w:after="0" w:line="240" w:lineRule="auto"/>
        <w:ind w:firstLine="0"/>
        <w:jc w:val="center"/>
        <w:rPr>
          <w:szCs w:val="36"/>
          <w:lang w:val="uk-UA"/>
        </w:rPr>
      </w:pPr>
    </w:p>
    <w:p w:rsidR="00F766DB" w:rsidRPr="00257D4F" w:rsidRDefault="00257D4F" w:rsidP="00257D4F">
      <w:pPr>
        <w:spacing w:after="0" w:line="240" w:lineRule="auto"/>
        <w:ind w:firstLine="0"/>
        <w:jc w:val="center"/>
        <w:rPr>
          <w:i/>
          <w:sz w:val="24"/>
          <w:szCs w:val="36"/>
          <w:lang w:val="uk-UA"/>
        </w:rPr>
      </w:pPr>
      <w:r w:rsidRPr="00257D4F">
        <w:rPr>
          <w:i/>
          <w:sz w:val="24"/>
          <w:szCs w:val="36"/>
          <w:lang w:val="uk-UA"/>
        </w:rPr>
        <w:t>Гриценко Володимир Андрійович</w:t>
      </w:r>
    </w:p>
    <w:p w:rsidR="00F766DB" w:rsidRPr="00257D4F" w:rsidRDefault="00F766DB" w:rsidP="0018763E">
      <w:pPr>
        <w:spacing w:after="0" w:line="240" w:lineRule="auto"/>
        <w:ind w:firstLine="0"/>
        <w:jc w:val="center"/>
        <w:rPr>
          <w:i/>
          <w:sz w:val="24"/>
          <w:szCs w:val="36"/>
          <w:lang w:val="uk-UA"/>
        </w:rPr>
      </w:pPr>
      <w:r w:rsidRPr="00257D4F">
        <w:rPr>
          <w:i/>
          <w:sz w:val="24"/>
          <w:szCs w:val="36"/>
          <w:lang w:val="uk-UA"/>
        </w:rPr>
        <w:t>Інститут банківських технологій та бізнесу УБС</w:t>
      </w:r>
    </w:p>
    <w:p w:rsidR="00F766DB" w:rsidRPr="00F766DB" w:rsidRDefault="00F766DB" w:rsidP="0018763E">
      <w:pPr>
        <w:spacing w:after="0" w:line="240" w:lineRule="auto"/>
        <w:ind w:firstLine="0"/>
        <w:jc w:val="center"/>
        <w:rPr>
          <w:sz w:val="24"/>
          <w:szCs w:val="36"/>
          <w:lang w:val="uk-UA"/>
        </w:rPr>
      </w:pPr>
      <w:r w:rsidRPr="00257D4F">
        <w:rPr>
          <w:i/>
          <w:sz w:val="24"/>
          <w:szCs w:val="36"/>
          <w:lang w:val="uk-UA"/>
        </w:rPr>
        <w:t xml:space="preserve">Науковий керівник </w:t>
      </w:r>
      <w:proofErr w:type="spellStart"/>
      <w:r w:rsidRPr="00257D4F">
        <w:rPr>
          <w:i/>
          <w:sz w:val="24"/>
          <w:szCs w:val="36"/>
          <w:lang w:val="uk-UA"/>
        </w:rPr>
        <w:t>к.е.н</w:t>
      </w:r>
      <w:proofErr w:type="spellEnd"/>
      <w:r w:rsidRPr="00257D4F">
        <w:rPr>
          <w:i/>
          <w:sz w:val="24"/>
          <w:szCs w:val="36"/>
        </w:rPr>
        <w:t xml:space="preserve"> </w:t>
      </w:r>
      <w:proofErr w:type="spellStart"/>
      <w:r w:rsidRPr="00257D4F">
        <w:rPr>
          <w:i/>
          <w:sz w:val="24"/>
          <w:szCs w:val="36"/>
          <w:lang w:val="uk-UA"/>
        </w:rPr>
        <w:t>Слав’юк</w:t>
      </w:r>
      <w:proofErr w:type="spellEnd"/>
      <w:r w:rsidRPr="00257D4F">
        <w:rPr>
          <w:i/>
          <w:sz w:val="24"/>
          <w:szCs w:val="36"/>
          <w:lang w:val="uk-UA"/>
        </w:rPr>
        <w:t xml:space="preserve"> Н.Р</w:t>
      </w:r>
      <w:r>
        <w:rPr>
          <w:sz w:val="24"/>
          <w:szCs w:val="36"/>
          <w:lang w:val="uk-UA"/>
        </w:rPr>
        <w:t>.</w:t>
      </w:r>
    </w:p>
    <w:p w:rsidR="00335378" w:rsidRDefault="00335378" w:rsidP="0018763E">
      <w:pPr>
        <w:spacing w:after="0" w:line="240" w:lineRule="auto"/>
        <w:ind w:firstLine="0"/>
        <w:jc w:val="center"/>
        <w:rPr>
          <w:szCs w:val="36"/>
          <w:lang w:val="uk-UA"/>
        </w:rPr>
      </w:pPr>
    </w:p>
    <w:p w:rsidR="002D5A40" w:rsidRPr="00761871" w:rsidRDefault="002D5A40" w:rsidP="002D5A40">
      <w:pPr>
        <w:spacing w:after="0" w:line="240" w:lineRule="auto"/>
        <w:rPr>
          <w:sz w:val="24"/>
          <w:lang w:val="en-US"/>
        </w:rPr>
      </w:pPr>
      <w:r w:rsidRPr="00761871">
        <w:rPr>
          <w:sz w:val="24"/>
          <w:lang w:val="en-US"/>
        </w:rPr>
        <w:t xml:space="preserve">Type of exchange rate issue is very </w:t>
      </w:r>
      <w:r w:rsidRPr="0061077A">
        <w:rPr>
          <w:noProof/>
          <w:sz w:val="24"/>
          <w:lang w:val="en-US"/>
        </w:rPr>
        <w:t>important</w:t>
      </w:r>
      <w:r w:rsidRPr="00761871">
        <w:rPr>
          <w:sz w:val="24"/>
          <w:lang w:val="en-US"/>
        </w:rPr>
        <w:t xml:space="preserve"> because changing it usually leads to significant </w:t>
      </w:r>
      <w:r w:rsidR="00BF1D7E">
        <w:rPr>
          <w:sz w:val="24"/>
          <w:lang w:val="en-US"/>
        </w:rPr>
        <w:t xml:space="preserve">transformation </w:t>
      </w:r>
      <w:r w:rsidR="00BF1D7E" w:rsidRPr="0061077A">
        <w:rPr>
          <w:noProof/>
          <w:sz w:val="24"/>
          <w:lang w:val="en-US"/>
        </w:rPr>
        <w:t>of</w:t>
      </w:r>
      <w:r w:rsidRPr="00761871">
        <w:rPr>
          <w:sz w:val="24"/>
          <w:lang w:val="en-US"/>
        </w:rPr>
        <w:t xml:space="preserve"> the economy. Moreover, changes in the exchange rate </w:t>
      </w:r>
      <w:r w:rsidRPr="0061077A">
        <w:rPr>
          <w:noProof/>
          <w:sz w:val="24"/>
          <w:lang w:val="en-US"/>
        </w:rPr>
        <w:t>ha</w:t>
      </w:r>
      <w:r w:rsidR="0061077A">
        <w:rPr>
          <w:noProof/>
          <w:sz w:val="24"/>
          <w:lang w:val="en-US"/>
        </w:rPr>
        <w:t>ve</w:t>
      </w:r>
      <w:r w:rsidRPr="00761871">
        <w:rPr>
          <w:sz w:val="24"/>
          <w:lang w:val="en-US"/>
        </w:rPr>
        <w:t xml:space="preserve"> a direct impact on international trade. The policy of "fixing" the hryvnia against other currencies was not effective, and even risky for Ukraine as long deficit covered by loan funds, and for the maintenance of the hryvnia currency reserves were involved.</w:t>
      </w:r>
    </w:p>
    <w:p w:rsidR="00774B33" w:rsidRPr="00761871" w:rsidRDefault="00774B33" w:rsidP="00774B33">
      <w:pPr>
        <w:spacing w:after="0" w:line="240" w:lineRule="auto"/>
        <w:rPr>
          <w:sz w:val="24"/>
          <w:lang w:val="en-US"/>
        </w:rPr>
      </w:pPr>
      <w:r w:rsidRPr="00761871">
        <w:rPr>
          <w:sz w:val="24"/>
          <w:lang w:val="en-US"/>
        </w:rPr>
        <w:t>In countries with a market economy and high income tend to operate market (floating) exchange rates.</w:t>
      </w:r>
    </w:p>
    <w:p w:rsidR="00F4359A" w:rsidRPr="00761871" w:rsidRDefault="00AC69DB" w:rsidP="002D5A40">
      <w:pPr>
        <w:spacing w:after="0" w:line="240" w:lineRule="auto"/>
        <w:rPr>
          <w:sz w:val="24"/>
          <w:lang w:val="en-US"/>
        </w:rPr>
      </w:pPr>
      <w:r w:rsidRPr="00761871">
        <w:rPr>
          <w:sz w:val="24"/>
          <w:lang w:val="en-US"/>
        </w:rPr>
        <w:t>A floating exchange rate is a regime where the currency price is set by the forex market based on supply and demand compared with other currencies. This is in contrast to a fixed exchange rate, in which the government entirely or predominantly determines the rate.</w:t>
      </w:r>
    </w:p>
    <w:p w:rsidR="00AC69DB" w:rsidRPr="00761871" w:rsidRDefault="00AC69DB" w:rsidP="002D5A40">
      <w:pPr>
        <w:spacing w:after="0" w:line="240" w:lineRule="auto"/>
        <w:rPr>
          <w:sz w:val="24"/>
          <w:lang w:val="en-US"/>
        </w:rPr>
      </w:pPr>
      <w:r w:rsidRPr="00761871">
        <w:rPr>
          <w:sz w:val="24"/>
          <w:lang w:val="en-US"/>
        </w:rPr>
        <w:t xml:space="preserve"> </w:t>
      </w:r>
      <w:r w:rsidR="00F4359A" w:rsidRPr="00761871">
        <w:rPr>
          <w:sz w:val="24"/>
          <w:lang w:val="en-US"/>
        </w:rPr>
        <w:t xml:space="preserve">In extreme situations such as political unrest, terrorist attacks or natural disasters a country’s currency may experience a period of heavy selling that causes </w:t>
      </w:r>
      <w:r w:rsidR="00BF1D7E">
        <w:rPr>
          <w:sz w:val="24"/>
          <w:lang w:val="en-US"/>
        </w:rPr>
        <w:t xml:space="preserve">the depreciation </w:t>
      </w:r>
      <w:r w:rsidR="00F4359A" w:rsidRPr="00761871">
        <w:rPr>
          <w:sz w:val="24"/>
          <w:lang w:val="en-US"/>
        </w:rPr>
        <w:t>in value. The country’s central bank may intervene in order to restore the value of the currency. A central bank regime that routinely intervenes would use the term "managed float". Sometimes, the central bank may set upper and lower bounds known as price ceilings and floors, respectively, and intervene whenever those bounds are reached.</w:t>
      </w:r>
    </w:p>
    <w:p w:rsidR="005E3922" w:rsidRDefault="005E3922" w:rsidP="004767C2">
      <w:pPr>
        <w:spacing w:after="0" w:line="240" w:lineRule="auto"/>
        <w:rPr>
          <w:sz w:val="24"/>
          <w:lang w:val="en-US"/>
        </w:rPr>
      </w:pPr>
      <w:r w:rsidRPr="00761871">
        <w:rPr>
          <w:sz w:val="24"/>
          <w:lang w:val="en-US"/>
        </w:rPr>
        <w:t>In 2014 the decision of the NBU was the transition to a flexible exchange rate</w:t>
      </w:r>
      <w:r w:rsidR="00CF00DD">
        <w:rPr>
          <w:sz w:val="24"/>
          <w:lang w:val="en-US"/>
        </w:rPr>
        <w:t xml:space="preserve"> (Fig.1)</w:t>
      </w:r>
      <w:r w:rsidRPr="00761871">
        <w:rPr>
          <w:sz w:val="24"/>
          <w:lang w:val="en-US"/>
        </w:rPr>
        <w:t xml:space="preserve">. After changing the rate </w:t>
      </w:r>
      <w:r w:rsidR="00BF1D7E" w:rsidRPr="009D1CFA">
        <w:rPr>
          <w:noProof/>
          <w:sz w:val="24"/>
          <w:lang w:val="en-US"/>
        </w:rPr>
        <w:t xml:space="preserve">hryvnia </w:t>
      </w:r>
      <w:r w:rsidRPr="009D1CFA">
        <w:rPr>
          <w:noProof/>
          <w:sz w:val="24"/>
          <w:lang w:val="en-US"/>
        </w:rPr>
        <w:t>began</w:t>
      </w:r>
      <w:r w:rsidRPr="00761871">
        <w:rPr>
          <w:sz w:val="24"/>
          <w:lang w:val="en-US"/>
        </w:rPr>
        <w:t xml:space="preserve"> falling against foreign currencies.</w:t>
      </w:r>
      <w:r w:rsidR="00DC6D32" w:rsidRPr="00761871">
        <w:rPr>
          <w:sz w:val="24"/>
          <w:lang w:val="en-US"/>
        </w:rPr>
        <w:t xml:space="preserve"> </w:t>
      </w:r>
      <w:r w:rsidR="00DC6D32" w:rsidRPr="00761871">
        <w:rPr>
          <w:sz w:val="24"/>
          <w:lang w:val="en-US"/>
        </w:rPr>
        <w:br/>
      </w:r>
      <w:r w:rsidR="0061077A">
        <w:rPr>
          <w:noProof/>
          <w:sz w:val="24"/>
          <w:lang w:val="en-US"/>
        </w:rPr>
        <w:t>The r</w:t>
      </w:r>
      <w:r w:rsidR="00DC6D32" w:rsidRPr="0061077A">
        <w:rPr>
          <w:noProof/>
          <w:sz w:val="24"/>
          <w:lang w:val="en-US"/>
        </w:rPr>
        <w:t>eaction</w:t>
      </w:r>
      <w:r w:rsidR="00DC6D32" w:rsidRPr="00761871">
        <w:rPr>
          <w:sz w:val="24"/>
          <w:lang w:val="en-US"/>
        </w:rPr>
        <w:t xml:space="preserve"> </w:t>
      </w:r>
      <w:r w:rsidR="004767C2" w:rsidRPr="00761871">
        <w:rPr>
          <w:sz w:val="24"/>
          <w:lang w:val="en-US"/>
        </w:rPr>
        <w:t>of society</w:t>
      </w:r>
      <w:r w:rsidR="00DC6D32" w:rsidRPr="00761871">
        <w:rPr>
          <w:sz w:val="24"/>
          <w:lang w:val="en-US"/>
        </w:rPr>
        <w:t xml:space="preserve"> was mostly negative. For large companies, firms and entrepreneurs </w:t>
      </w:r>
      <w:r w:rsidR="00BF1D7E">
        <w:rPr>
          <w:sz w:val="24"/>
          <w:lang w:val="en-US"/>
        </w:rPr>
        <w:t xml:space="preserve">it </w:t>
      </w:r>
      <w:r w:rsidR="00BF1D7E" w:rsidRPr="00761871">
        <w:rPr>
          <w:sz w:val="24"/>
          <w:lang w:val="en-US"/>
        </w:rPr>
        <w:t xml:space="preserve">nearly became heavier </w:t>
      </w:r>
      <w:r w:rsidR="00DC6D32" w:rsidRPr="00761871">
        <w:rPr>
          <w:sz w:val="24"/>
          <w:lang w:val="en-US"/>
        </w:rPr>
        <w:t>to import</w:t>
      </w:r>
      <w:r w:rsidR="004767C2" w:rsidRPr="00761871">
        <w:rPr>
          <w:sz w:val="24"/>
          <w:lang w:val="en-US"/>
        </w:rPr>
        <w:t>;</w:t>
      </w:r>
      <w:r w:rsidR="00DC6D32" w:rsidRPr="00761871">
        <w:rPr>
          <w:sz w:val="24"/>
          <w:lang w:val="en-US"/>
        </w:rPr>
        <w:t xml:space="preserve"> goods from abroad have become less available. The market pric</w:t>
      </w:r>
      <w:r w:rsidR="004767C2" w:rsidRPr="00761871">
        <w:rPr>
          <w:sz w:val="24"/>
          <w:lang w:val="en-US"/>
        </w:rPr>
        <w:t>e of the currency "jumped</w:t>
      </w:r>
      <w:r w:rsidR="00DC6D32" w:rsidRPr="00761871">
        <w:rPr>
          <w:sz w:val="24"/>
          <w:lang w:val="en-US"/>
        </w:rPr>
        <w:t>" higher than 30 UAH per 1 US dollar</w:t>
      </w:r>
      <w:r w:rsidR="00BB69BD" w:rsidRPr="00761871">
        <w:rPr>
          <w:sz w:val="24"/>
          <w:lang w:val="en-US"/>
        </w:rPr>
        <w:t xml:space="preserve"> (in 2015)</w:t>
      </w:r>
      <w:r w:rsidR="00DC6D32" w:rsidRPr="00761871">
        <w:rPr>
          <w:sz w:val="24"/>
          <w:lang w:val="en-US"/>
        </w:rPr>
        <w:t>.</w:t>
      </w:r>
    </w:p>
    <w:p w:rsidR="00BA3147" w:rsidRDefault="00BA3147" w:rsidP="004767C2">
      <w:pPr>
        <w:spacing w:after="0" w:line="240" w:lineRule="auto"/>
        <w:rPr>
          <w:sz w:val="24"/>
          <w:lang w:val="en-US"/>
        </w:rPr>
      </w:pPr>
      <w:r>
        <w:rPr>
          <w:noProof/>
          <w:szCs w:val="28"/>
          <w:lang w:val="en-US"/>
        </w:rPr>
        <w:drawing>
          <wp:inline distT="0" distB="0" distL="0" distR="0">
            <wp:extent cx="4352925" cy="20097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D6592" w:rsidRDefault="003838DF" w:rsidP="004767C2">
      <w:pPr>
        <w:spacing w:after="0" w:line="240" w:lineRule="auto"/>
        <w:rPr>
          <w:sz w:val="24"/>
          <w:lang w:val="en-US"/>
        </w:rPr>
      </w:pPr>
      <w:r>
        <w:rPr>
          <w:sz w:val="24"/>
          <w:lang w:val="en-US"/>
        </w:rPr>
        <w:t>Figure 1.UAH exchange rate fell down in 2014.</w:t>
      </w:r>
    </w:p>
    <w:p w:rsidR="00BF1D7E" w:rsidRPr="00761871" w:rsidRDefault="00BF1D7E" w:rsidP="004767C2">
      <w:pPr>
        <w:spacing w:after="0" w:line="240" w:lineRule="auto"/>
        <w:rPr>
          <w:sz w:val="24"/>
          <w:lang w:val="en-US"/>
        </w:rPr>
      </w:pPr>
    </w:p>
    <w:p w:rsidR="00CF1EE3" w:rsidRPr="00761871" w:rsidRDefault="00CF1EE3" w:rsidP="00CF1EE3">
      <w:pPr>
        <w:spacing w:after="0" w:line="240" w:lineRule="auto"/>
        <w:rPr>
          <w:sz w:val="24"/>
          <w:lang w:val="en-US"/>
        </w:rPr>
      </w:pPr>
      <w:r w:rsidRPr="00761871">
        <w:rPr>
          <w:sz w:val="24"/>
          <w:lang w:val="en-US"/>
        </w:rPr>
        <w:t>National Bank, in order to reduce pressure on the exchange rate, had to act decisively, in 2014-2015 was implemented foreign exchange intervention policy, prohibition of foreign currency loans and raising the exchange rate to 30% (at the end of 2015 decreased to 22%).</w:t>
      </w:r>
    </w:p>
    <w:p w:rsidR="00D008B5" w:rsidRDefault="00DD4859" w:rsidP="00EE318A">
      <w:pPr>
        <w:spacing w:after="0" w:line="240" w:lineRule="auto"/>
        <w:rPr>
          <w:sz w:val="24"/>
          <w:lang w:val="en-US"/>
        </w:rPr>
      </w:pPr>
      <w:r w:rsidRPr="00761871">
        <w:rPr>
          <w:sz w:val="24"/>
          <w:lang w:val="en-US"/>
        </w:rPr>
        <w:t>It should be noted that the introduction of a flexible exchange rate was not the cause of devaluation of the hryvnia, but it was a necessary measure. This transition revealed significant imbalances of</w:t>
      </w:r>
      <w:r w:rsidR="0061077A">
        <w:rPr>
          <w:sz w:val="24"/>
          <w:lang w:val="en-US"/>
        </w:rPr>
        <w:t xml:space="preserve"> the</w:t>
      </w:r>
      <w:r w:rsidRPr="00761871">
        <w:rPr>
          <w:sz w:val="24"/>
          <w:lang w:val="en-US"/>
        </w:rPr>
        <w:t xml:space="preserve"> </w:t>
      </w:r>
      <w:r w:rsidRPr="009D1CFA">
        <w:rPr>
          <w:noProof/>
          <w:sz w:val="24"/>
          <w:lang w:val="en-US"/>
        </w:rPr>
        <w:t>Ukrainian</w:t>
      </w:r>
      <w:r w:rsidRPr="00761871">
        <w:rPr>
          <w:sz w:val="24"/>
          <w:lang w:val="en-US"/>
        </w:rPr>
        <w:t xml:space="preserve"> economy.</w:t>
      </w:r>
      <w:r w:rsidR="00D008B5" w:rsidRPr="00761871">
        <w:rPr>
          <w:sz w:val="24"/>
          <w:lang w:val="en-US"/>
        </w:rPr>
        <w:t xml:space="preserve"> </w:t>
      </w:r>
      <w:r w:rsidR="00BF1D7E">
        <w:rPr>
          <w:sz w:val="24"/>
          <w:lang w:val="en-US"/>
        </w:rPr>
        <w:t>T</w:t>
      </w:r>
      <w:r w:rsidR="00D008B5" w:rsidRPr="00761871">
        <w:rPr>
          <w:sz w:val="24"/>
          <w:lang w:val="en-US"/>
        </w:rPr>
        <w:t xml:space="preserve">he government was able to deal with obvious difficulties, which were hidden </w:t>
      </w:r>
      <w:r w:rsidR="0037598C" w:rsidRPr="00761871">
        <w:rPr>
          <w:sz w:val="24"/>
          <w:lang w:val="en-US"/>
        </w:rPr>
        <w:t>earlier.</w:t>
      </w:r>
    </w:p>
    <w:p w:rsidR="007A5396" w:rsidRPr="00BF1D7E" w:rsidRDefault="007A5396" w:rsidP="007A5396">
      <w:pPr>
        <w:spacing w:after="0" w:line="240" w:lineRule="auto"/>
        <w:rPr>
          <w:sz w:val="24"/>
          <w:lang w:val="en-US"/>
        </w:rPr>
      </w:pPr>
      <w:r w:rsidRPr="00257D4F">
        <w:rPr>
          <w:sz w:val="24"/>
          <w:lang w:val="en-US"/>
        </w:rPr>
        <w:t>National Bank of Ukraine conducts inflation targeting. The main characteristic of this policy is the availability of a flexible exchange rate.</w:t>
      </w:r>
    </w:p>
    <w:p w:rsidR="00EE318A" w:rsidRPr="00761871" w:rsidRDefault="00EE318A" w:rsidP="00EE318A">
      <w:pPr>
        <w:spacing w:after="0" w:line="240" w:lineRule="auto"/>
        <w:rPr>
          <w:sz w:val="24"/>
          <w:lang w:val="en-US"/>
        </w:rPr>
      </w:pPr>
      <w:r w:rsidRPr="00761871">
        <w:rPr>
          <w:sz w:val="24"/>
          <w:lang w:val="en-US"/>
        </w:rPr>
        <w:lastRenderedPageBreak/>
        <w:t>If a fixed rate was not abolished, it would have threatened the existence of the state economy. However, the anti-crisis measures of the government and the NBU have given good results. At present, the discount rate is 14% (too many, but not critical in comparison with</w:t>
      </w:r>
      <w:r w:rsidR="0061077A">
        <w:rPr>
          <w:sz w:val="24"/>
          <w:lang w:val="en-US"/>
        </w:rPr>
        <w:t xml:space="preserve"> the</w:t>
      </w:r>
      <w:r w:rsidRPr="00761871">
        <w:rPr>
          <w:sz w:val="24"/>
          <w:lang w:val="en-US"/>
        </w:rPr>
        <w:t xml:space="preserve"> </w:t>
      </w:r>
      <w:r w:rsidRPr="009D1CFA">
        <w:rPr>
          <w:noProof/>
          <w:sz w:val="24"/>
          <w:lang w:val="en-US"/>
        </w:rPr>
        <w:t>situation</w:t>
      </w:r>
      <w:r w:rsidRPr="00761871">
        <w:rPr>
          <w:sz w:val="24"/>
          <w:lang w:val="en-US"/>
        </w:rPr>
        <w:t xml:space="preserve"> in 2015.). The inflation rate remains at 14.2%</w:t>
      </w:r>
      <w:r w:rsidR="00A20F82" w:rsidRPr="00761871">
        <w:rPr>
          <w:sz w:val="24"/>
          <w:lang w:val="en-US"/>
        </w:rPr>
        <w:t>.</w:t>
      </w:r>
    </w:p>
    <w:p w:rsidR="00C50E8D" w:rsidRPr="00BF1D7E" w:rsidRDefault="00A20F82" w:rsidP="00C50E8D">
      <w:pPr>
        <w:spacing w:after="0" w:line="240" w:lineRule="auto"/>
        <w:rPr>
          <w:sz w:val="24"/>
          <w:lang w:val="en-US"/>
        </w:rPr>
      </w:pPr>
      <w:r w:rsidRPr="00761871">
        <w:rPr>
          <w:sz w:val="24"/>
          <w:lang w:val="en-US"/>
        </w:rPr>
        <w:t xml:space="preserve">Floating exchange rate is a necessary condition for the stability not only of the national </w:t>
      </w:r>
      <w:r w:rsidRPr="0061077A">
        <w:rPr>
          <w:noProof/>
          <w:sz w:val="24"/>
          <w:lang w:val="en-US"/>
        </w:rPr>
        <w:t>currency</w:t>
      </w:r>
      <w:r w:rsidRPr="00761871">
        <w:rPr>
          <w:sz w:val="24"/>
          <w:lang w:val="en-US"/>
        </w:rPr>
        <w:t xml:space="preserve"> but Ukraine's economy as a whole. </w:t>
      </w:r>
      <w:r w:rsidR="0061077A">
        <w:rPr>
          <w:noProof/>
          <w:sz w:val="24"/>
          <w:lang w:val="en-US"/>
        </w:rPr>
        <w:t>The f</w:t>
      </w:r>
      <w:r w:rsidRPr="0061077A">
        <w:rPr>
          <w:noProof/>
          <w:sz w:val="24"/>
          <w:lang w:val="en-US"/>
        </w:rPr>
        <w:t>lexible</w:t>
      </w:r>
      <w:r w:rsidRPr="00761871">
        <w:rPr>
          <w:sz w:val="24"/>
          <w:lang w:val="en-US"/>
        </w:rPr>
        <w:t xml:space="preserve"> course is </w:t>
      </w:r>
      <w:r w:rsidRPr="0061077A">
        <w:rPr>
          <w:noProof/>
          <w:sz w:val="24"/>
          <w:lang w:val="en-US"/>
        </w:rPr>
        <w:t>characteri</w:t>
      </w:r>
      <w:r w:rsidR="0061077A" w:rsidRPr="0061077A">
        <w:rPr>
          <w:noProof/>
          <w:sz w:val="24"/>
          <w:lang w:val="en-US"/>
        </w:rPr>
        <w:t>s</w:t>
      </w:r>
      <w:r w:rsidRPr="0061077A">
        <w:rPr>
          <w:noProof/>
          <w:sz w:val="24"/>
          <w:lang w:val="en-US"/>
        </w:rPr>
        <w:t>ed</w:t>
      </w:r>
      <w:r w:rsidRPr="00761871">
        <w:rPr>
          <w:sz w:val="24"/>
          <w:lang w:val="en-US"/>
        </w:rPr>
        <w:t xml:space="preserve"> by efficiency at predictable monetary and fiscal policy, controlled "floating", as well as at the balance of payments crisis.</w:t>
      </w:r>
      <w:r w:rsidR="00B244A9" w:rsidRPr="00761871">
        <w:rPr>
          <w:sz w:val="24"/>
          <w:lang w:val="en-US"/>
        </w:rPr>
        <w:t xml:space="preserve"> </w:t>
      </w:r>
      <w:r w:rsidR="00C50E8D" w:rsidRPr="00257D4F">
        <w:rPr>
          <w:sz w:val="24"/>
          <w:lang w:val="en-US"/>
        </w:rPr>
        <w:t>The transition to a floating exchange rate gave rise to changes such as reducing the pressure on the central bank; the formation of the hryvnia exchange rate on the basis of supply and demand on the market; reflect the real balance of trade, taking into account the actual exchange rate.</w:t>
      </w:r>
    </w:p>
    <w:p w:rsidR="00B244A9" w:rsidRPr="00761871" w:rsidRDefault="00B244A9" w:rsidP="00C50E8D">
      <w:pPr>
        <w:spacing w:after="0" w:line="240" w:lineRule="auto"/>
        <w:rPr>
          <w:sz w:val="24"/>
          <w:lang w:val="en-US"/>
        </w:rPr>
      </w:pPr>
      <w:r w:rsidRPr="00761871">
        <w:rPr>
          <w:sz w:val="24"/>
          <w:lang w:val="en-US"/>
        </w:rPr>
        <w:t>The abolition of fixed rate was more than reasonable in terms of excessive inflation,</w:t>
      </w:r>
      <w:r w:rsidR="0061077A">
        <w:rPr>
          <w:sz w:val="24"/>
          <w:lang w:val="en-US"/>
        </w:rPr>
        <w:t xml:space="preserve"> the</w:t>
      </w:r>
      <w:r w:rsidRPr="00761871">
        <w:rPr>
          <w:sz w:val="24"/>
          <w:lang w:val="en-US"/>
        </w:rPr>
        <w:t xml:space="preserve"> </w:t>
      </w:r>
      <w:r w:rsidRPr="0061077A">
        <w:rPr>
          <w:noProof/>
          <w:sz w:val="24"/>
          <w:lang w:val="en-US"/>
        </w:rPr>
        <w:t>balance</w:t>
      </w:r>
      <w:r w:rsidRPr="00761871">
        <w:rPr>
          <w:sz w:val="24"/>
          <w:lang w:val="en-US"/>
        </w:rPr>
        <w:t xml:space="preserve"> of payments crisis and the reduction of foreign exchange reserves. The fixed rate is not described as quite inefficie</w:t>
      </w:r>
      <w:r w:rsidR="00F431F6" w:rsidRPr="00761871">
        <w:rPr>
          <w:sz w:val="24"/>
          <w:lang w:val="en-US"/>
        </w:rPr>
        <w:t>nt policy, but</w:t>
      </w:r>
      <w:bookmarkStart w:id="0" w:name="_GoBack"/>
      <w:bookmarkEnd w:id="0"/>
      <w:r w:rsidR="00F431F6" w:rsidRPr="00761871">
        <w:rPr>
          <w:sz w:val="24"/>
          <w:lang w:val="en-US"/>
        </w:rPr>
        <w:t xml:space="preserve"> each rate is effective in different situations and a government had to change the rate.</w:t>
      </w:r>
    </w:p>
    <w:p w:rsidR="00E960B6" w:rsidRPr="00761871" w:rsidRDefault="00E960B6" w:rsidP="00C50E8D">
      <w:pPr>
        <w:spacing w:after="0" w:line="240" w:lineRule="auto"/>
        <w:rPr>
          <w:sz w:val="24"/>
          <w:lang w:val="en-US"/>
        </w:rPr>
      </w:pPr>
      <w:r w:rsidRPr="00761871">
        <w:rPr>
          <w:sz w:val="24"/>
          <w:lang w:val="en-US"/>
        </w:rPr>
        <w:t xml:space="preserve">According to forecasts the economy will have a better position and will be more competitive, but the trade balance will remain negative for a long time. That is why the floating rate </w:t>
      </w:r>
      <w:r w:rsidRPr="0061077A">
        <w:rPr>
          <w:noProof/>
          <w:sz w:val="24"/>
          <w:lang w:val="en-US"/>
        </w:rPr>
        <w:t>policy</w:t>
      </w:r>
      <w:r w:rsidR="0061077A">
        <w:rPr>
          <w:noProof/>
          <w:sz w:val="24"/>
          <w:lang w:val="en-US"/>
        </w:rPr>
        <w:t>, in any case,</w:t>
      </w:r>
      <w:r w:rsidRPr="00761871">
        <w:rPr>
          <w:sz w:val="24"/>
          <w:lang w:val="en-US"/>
        </w:rPr>
        <w:t xml:space="preserve"> should be continued.</w:t>
      </w:r>
    </w:p>
    <w:p w:rsidR="00E960B6" w:rsidRPr="00761871" w:rsidRDefault="00E960B6" w:rsidP="00C50E8D">
      <w:pPr>
        <w:spacing w:after="0" w:line="240" w:lineRule="auto"/>
        <w:rPr>
          <w:sz w:val="24"/>
          <w:lang w:val="en-US"/>
        </w:rPr>
      </w:pPr>
    </w:p>
    <w:p w:rsidR="00BF1D7E" w:rsidRPr="00BF1D7E" w:rsidRDefault="00BF1D7E" w:rsidP="00C50E8D">
      <w:pPr>
        <w:spacing w:after="0" w:line="240" w:lineRule="auto"/>
        <w:rPr>
          <w:sz w:val="24"/>
          <w:lang w:val="en-US"/>
        </w:rPr>
      </w:pPr>
      <w:r>
        <w:rPr>
          <w:sz w:val="24"/>
          <w:lang w:val="en-US"/>
        </w:rPr>
        <w:t>References</w:t>
      </w:r>
    </w:p>
    <w:p w:rsidR="00DD4859" w:rsidRDefault="00B86CF9" w:rsidP="009D1CFA">
      <w:pPr>
        <w:spacing w:after="0" w:line="240" w:lineRule="auto"/>
        <w:ind w:firstLine="0"/>
        <w:rPr>
          <w:sz w:val="24"/>
          <w:lang w:val="en-US"/>
        </w:rPr>
      </w:pPr>
      <w:r>
        <w:rPr>
          <w:sz w:val="24"/>
          <w:lang w:val="en-US"/>
        </w:rPr>
        <w:t>1.</w:t>
      </w:r>
      <w:r w:rsidR="00907E2A">
        <w:rPr>
          <w:sz w:val="24"/>
          <w:lang w:val="en-US"/>
        </w:rPr>
        <w:t>National Bank of Ukraine – [electronic resource] – access mode: www.bank.gov.ua;</w:t>
      </w:r>
    </w:p>
    <w:p w:rsidR="00907E2A" w:rsidRDefault="00B86CF9" w:rsidP="009D1CFA">
      <w:pPr>
        <w:spacing w:after="0" w:line="240" w:lineRule="auto"/>
        <w:ind w:firstLine="0"/>
        <w:rPr>
          <w:sz w:val="24"/>
          <w:lang w:val="en-US"/>
        </w:rPr>
      </w:pPr>
      <w:r>
        <w:rPr>
          <w:sz w:val="24"/>
          <w:lang w:val="en-US"/>
        </w:rPr>
        <w:t>2.</w:t>
      </w:r>
      <w:r w:rsidR="00907E2A">
        <w:rPr>
          <w:sz w:val="24"/>
          <w:lang w:val="en-US"/>
        </w:rPr>
        <w:t xml:space="preserve">International Monetary Fund - [electronic resource] – access mode: </w:t>
      </w:r>
      <w:hyperlink r:id="rId5" w:history="1">
        <w:r w:rsidR="00907E2A" w:rsidRPr="00203131">
          <w:rPr>
            <w:rStyle w:val="Hyperlink"/>
            <w:sz w:val="24"/>
            <w:lang w:val="en-US"/>
          </w:rPr>
          <w:t>http://www.imf.org/external/country/UKR/index.htm</w:t>
        </w:r>
      </w:hyperlink>
      <w:r w:rsidR="00907E2A">
        <w:rPr>
          <w:sz w:val="24"/>
          <w:lang w:val="en-US"/>
        </w:rPr>
        <w:t>;</w:t>
      </w:r>
    </w:p>
    <w:p w:rsidR="00907E2A" w:rsidRDefault="00907E2A" w:rsidP="009D1CFA">
      <w:pPr>
        <w:spacing w:after="0" w:line="240" w:lineRule="auto"/>
        <w:ind w:firstLine="0"/>
        <w:rPr>
          <w:sz w:val="24"/>
          <w:lang w:val="en-US"/>
        </w:rPr>
      </w:pPr>
      <w:r>
        <w:rPr>
          <w:sz w:val="24"/>
          <w:lang w:val="en-US"/>
        </w:rPr>
        <w:t xml:space="preserve">3World Bank official web-site - [electronic resource] – access mode: </w:t>
      </w:r>
      <w:hyperlink r:id="rId6" w:history="1">
        <w:r w:rsidRPr="00203131">
          <w:rPr>
            <w:rStyle w:val="Hyperlink"/>
            <w:sz w:val="24"/>
            <w:lang w:val="en-US"/>
          </w:rPr>
          <w:t>http://data.worldbank.org/country/ukraine?view=chart</w:t>
        </w:r>
      </w:hyperlink>
      <w:r>
        <w:rPr>
          <w:sz w:val="24"/>
          <w:lang w:val="en-US"/>
        </w:rPr>
        <w:t>;</w:t>
      </w:r>
    </w:p>
    <w:p w:rsidR="00907E2A" w:rsidRDefault="00907E2A" w:rsidP="009D1CFA">
      <w:pPr>
        <w:spacing w:after="0" w:line="240" w:lineRule="auto"/>
        <w:ind w:firstLine="0"/>
        <w:rPr>
          <w:sz w:val="24"/>
          <w:lang w:val="en-US"/>
        </w:rPr>
      </w:pPr>
      <w:r>
        <w:rPr>
          <w:sz w:val="24"/>
          <w:lang w:val="en-US"/>
        </w:rPr>
        <w:t>4.</w:t>
      </w:r>
      <w:r w:rsidR="00B86CF9">
        <w:rPr>
          <w:sz w:val="24"/>
          <w:lang w:val="en-US"/>
        </w:rPr>
        <w:t>Trading economics web-site - [electronic resource] – access mode:</w:t>
      </w:r>
      <w:r w:rsidR="00B86CF9" w:rsidRPr="00B86CF9">
        <w:rPr>
          <w:sz w:val="24"/>
          <w:lang w:val="en-US"/>
        </w:rPr>
        <w:t xml:space="preserve"> </w:t>
      </w:r>
      <w:hyperlink r:id="rId7" w:history="1">
        <w:r w:rsidR="00B86CF9" w:rsidRPr="00203131">
          <w:rPr>
            <w:rStyle w:val="Hyperlink"/>
            <w:sz w:val="24"/>
            <w:lang w:val="en-US"/>
          </w:rPr>
          <w:t>http://www.tradingeconomics.com/ukraine/balance-of-trade</w:t>
        </w:r>
      </w:hyperlink>
      <w:r w:rsidR="00B86CF9">
        <w:rPr>
          <w:sz w:val="24"/>
          <w:lang w:val="en-US"/>
        </w:rPr>
        <w:t>;</w:t>
      </w:r>
    </w:p>
    <w:p w:rsidR="00B86CF9" w:rsidRPr="009D1CFA" w:rsidRDefault="00B86CF9" w:rsidP="009D1CFA">
      <w:pPr>
        <w:spacing w:after="0" w:line="240" w:lineRule="auto"/>
        <w:ind w:firstLine="0"/>
        <w:rPr>
          <w:sz w:val="24"/>
          <w:lang w:val="en-US"/>
        </w:rPr>
      </w:pPr>
      <w:r>
        <w:rPr>
          <w:sz w:val="24"/>
          <w:lang w:val="en-US"/>
        </w:rPr>
        <w:t xml:space="preserve">5. Conception of new currency regulation - [electronic resource] – access mode: </w:t>
      </w:r>
      <w:r w:rsidRPr="00B86CF9">
        <w:rPr>
          <w:sz w:val="24"/>
          <w:lang w:val="en-US"/>
        </w:rPr>
        <w:t>https://bank.gov.ua/doccatalog/document?id=40253908</w:t>
      </w:r>
      <w:r>
        <w:rPr>
          <w:sz w:val="24"/>
          <w:lang w:val="en-US"/>
        </w:rPr>
        <w:t>.</w:t>
      </w:r>
    </w:p>
    <w:p w:rsidR="00DD4859" w:rsidRPr="00257D4F" w:rsidRDefault="00DD4859" w:rsidP="00DD4859">
      <w:pPr>
        <w:spacing w:after="0" w:line="240" w:lineRule="auto"/>
        <w:rPr>
          <w:sz w:val="24"/>
          <w:lang w:val="en-US"/>
        </w:rPr>
      </w:pPr>
    </w:p>
    <w:p w:rsidR="005E3922" w:rsidRPr="00257D4F" w:rsidRDefault="005E3922" w:rsidP="005E3922">
      <w:pPr>
        <w:spacing w:after="0" w:line="240" w:lineRule="auto"/>
        <w:rPr>
          <w:sz w:val="24"/>
          <w:lang w:val="en-US"/>
        </w:rPr>
      </w:pPr>
    </w:p>
    <w:p w:rsidR="005E3922" w:rsidRPr="00257D4F" w:rsidRDefault="005E3922" w:rsidP="002D5A40">
      <w:pPr>
        <w:spacing w:after="0" w:line="240" w:lineRule="auto"/>
        <w:rPr>
          <w:sz w:val="24"/>
          <w:lang w:val="en-US"/>
        </w:rPr>
      </w:pPr>
    </w:p>
    <w:p w:rsidR="00AC69DB" w:rsidRPr="00257D4F" w:rsidRDefault="00AC69DB" w:rsidP="00AC69DB">
      <w:pPr>
        <w:ind w:firstLine="0"/>
        <w:rPr>
          <w:sz w:val="18"/>
          <w:lang w:val="en-US"/>
        </w:rPr>
      </w:pPr>
    </w:p>
    <w:p w:rsidR="00335378" w:rsidRPr="00257D4F" w:rsidRDefault="00335378" w:rsidP="00AC69DB">
      <w:pPr>
        <w:ind w:firstLine="0"/>
        <w:rPr>
          <w:sz w:val="18"/>
          <w:lang w:val="en-US"/>
        </w:rPr>
      </w:pPr>
    </w:p>
    <w:sectPr w:rsidR="00335378" w:rsidRPr="00257D4F" w:rsidSect="00647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A00002EF" w:usb1="4000204B" w:usb2="00000000" w:usb3="00000000" w:csb0="0000019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jMxNTI2MzY1NTUzNjdT0lEKTi0uzszPAykwrAUAfKpa6CwAAAA="/>
  </w:docVars>
  <w:rsids>
    <w:rsidRoot w:val="00591C8B"/>
    <w:rsid w:val="00021CA9"/>
    <w:rsid w:val="0018763E"/>
    <w:rsid w:val="00257D4F"/>
    <w:rsid w:val="002D5A40"/>
    <w:rsid w:val="00335378"/>
    <w:rsid w:val="0037598C"/>
    <w:rsid w:val="003838DF"/>
    <w:rsid w:val="003A4C41"/>
    <w:rsid w:val="004767C2"/>
    <w:rsid w:val="004F50CE"/>
    <w:rsid w:val="00591C8B"/>
    <w:rsid w:val="005E3922"/>
    <w:rsid w:val="0061077A"/>
    <w:rsid w:val="00627B7D"/>
    <w:rsid w:val="00647B6D"/>
    <w:rsid w:val="00761871"/>
    <w:rsid w:val="00774B33"/>
    <w:rsid w:val="007A5396"/>
    <w:rsid w:val="00907E2A"/>
    <w:rsid w:val="009B29D9"/>
    <w:rsid w:val="009D1CFA"/>
    <w:rsid w:val="00A20F82"/>
    <w:rsid w:val="00AC69DB"/>
    <w:rsid w:val="00B244A9"/>
    <w:rsid w:val="00B86CF9"/>
    <w:rsid w:val="00BA3147"/>
    <w:rsid w:val="00BB69BD"/>
    <w:rsid w:val="00BF1D7E"/>
    <w:rsid w:val="00C50E8D"/>
    <w:rsid w:val="00C754CB"/>
    <w:rsid w:val="00CD6592"/>
    <w:rsid w:val="00CF00DD"/>
    <w:rsid w:val="00CF1EE3"/>
    <w:rsid w:val="00D008B5"/>
    <w:rsid w:val="00D16538"/>
    <w:rsid w:val="00DC6D32"/>
    <w:rsid w:val="00DD4859"/>
    <w:rsid w:val="00E960B6"/>
    <w:rsid w:val="00EE318A"/>
    <w:rsid w:val="00F431F6"/>
    <w:rsid w:val="00F4359A"/>
    <w:rsid w:val="00F76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DA04"/>
  <w15:docId w15:val="{EC5C7151-3ED2-4FD2-97EF-1054CDE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D9"/>
  </w:style>
  <w:style w:type="paragraph" w:styleId="Heading1">
    <w:name w:val="heading 1"/>
    <w:basedOn w:val="Normal"/>
    <w:link w:val="Heading1Char"/>
    <w:uiPriority w:val="9"/>
    <w:qFormat/>
    <w:rsid w:val="009B29D9"/>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9D9"/>
    <w:rPr>
      <w:b/>
      <w:bCs/>
    </w:rPr>
  </w:style>
  <w:style w:type="character" w:customStyle="1" w:styleId="Heading1Char">
    <w:name w:val="Heading 1 Char"/>
    <w:basedOn w:val="DefaultParagraphFont"/>
    <w:link w:val="Heading1"/>
    <w:uiPriority w:val="9"/>
    <w:rsid w:val="009B29D9"/>
    <w:rPr>
      <w:rFonts w:eastAsia="Times New Roman" w:cs="Times New Roman"/>
      <w:b/>
      <w:bCs/>
      <w:kern w:val="36"/>
      <w:sz w:val="48"/>
      <w:szCs w:val="48"/>
      <w:lang w:eastAsia="ru-RU"/>
    </w:rPr>
  </w:style>
  <w:style w:type="paragraph" w:styleId="HTMLPreformatted">
    <w:name w:val="HTML Preformatted"/>
    <w:basedOn w:val="Normal"/>
    <w:link w:val="HTMLPreformattedChar"/>
    <w:uiPriority w:val="99"/>
    <w:semiHidden/>
    <w:unhideWhenUsed/>
    <w:rsid w:val="002D5A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D5A40"/>
    <w:rPr>
      <w:rFonts w:ascii="Consolas" w:hAnsi="Consolas"/>
      <w:sz w:val="20"/>
      <w:szCs w:val="20"/>
    </w:rPr>
  </w:style>
  <w:style w:type="paragraph" w:styleId="BalloonText">
    <w:name w:val="Balloon Text"/>
    <w:basedOn w:val="Normal"/>
    <w:link w:val="BalloonTextChar"/>
    <w:uiPriority w:val="99"/>
    <w:semiHidden/>
    <w:unhideWhenUsed/>
    <w:rsid w:val="0090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2A"/>
    <w:rPr>
      <w:rFonts w:ascii="Segoe UI" w:hAnsi="Segoe UI" w:cs="Segoe UI"/>
      <w:sz w:val="18"/>
      <w:szCs w:val="18"/>
    </w:rPr>
  </w:style>
  <w:style w:type="character" w:styleId="Hyperlink">
    <w:name w:val="Hyperlink"/>
    <w:basedOn w:val="DefaultParagraphFont"/>
    <w:uiPriority w:val="99"/>
    <w:unhideWhenUsed/>
    <w:rsid w:val="00907E2A"/>
    <w:rPr>
      <w:color w:val="0563C1" w:themeColor="hyperlink"/>
      <w:u w:val="single"/>
    </w:rPr>
  </w:style>
  <w:style w:type="paragraph" w:styleId="Revision">
    <w:name w:val="Revision"/>
    <w:hidden/>
    <w:uiPriority w:val="99"/>
    <w:semiHidden/>
    <w:rsid w:val="009D1CFA"/>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7665">
      <w:bodyDiv w:val="1"/>
      <w:marLeft w:val="0"/>
      <w:marRight w:val="0"/>
      <w:marTop w:val="0"/>
      <w:marBottom w:val="0"/>
      <w:divBdr>
        <w:top w:val="none" w:sz="0" w:space="0" w:color="auto"/>
        <w:left w:val="none" w:sz="0" w:space="0" w:color="auto"/>
        <w:bottom w:val="none" w:sz="0" w:space="0" w:color="auto"/>
        <w:right w:val="none" w:sz="0" w:space="0" w:color="auto"/>
      </w:divBdr>
    </w:div>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541793006">
      <w:bodyDiv w:val="1"/>
      <w:marLeft w:val="0"/>
      <w:marRight w:val="0"/>
      <w:marTop w:val="0"/>
      <w:marBottom w:val="0"/>
      <w:divBdr>
        <w:top w:val="none" w:sz="0" w:space="0" w:color="auto"/>
        <w:left w:val="none" w:sz="0" w:space="0" w:color="auto"/>
        <w:bottom w:val="none" w:sz="0" w:space="0" w:color="auto"/>
        <w:right w:val="none" w:sz="0" w:space="0" w:color="auto"/>
      </w:divBdr>
    </w:div>
    <w:div w:id="700857997">
      <w:bodyDiv w:val="1"/>
      <w:marLeft w:val="0"/>
      <w:marRight w:val="0"/>
      <w:marTop w:val="0"/>
      <w:marBottom w:val="0"/>
      <w:divBdr>
        <w:top w:val="none" w:sz="0" w:space="0" w:color="auto"/>
        <w:left w:val="none" w:sz="0" w:space="0" w:color="auto"/>
        <w:bottom w:val="none" w:sz="0" w:space="0" w:color="auto"/>
        <w:right w:val="none" w:sz="0" w:space="0" w:color="auto"/>
      </w:divBdr>
    </w:div>
    <w:div w:id="725686559">
      <w:bodyDiv w:val="1"/>
      <w:marLeft w:val="0"/>
      <w:marRight w:val="0"/>
      <w:marTop w:val="0"/>
      <w:marBottom w:val="0"/>
      <w:divBdr>
        <w:top w:val="none" w:sz="0" w:space="0" w:color="auto"/>
        <w:left w:val="none" w:sz="0" w:space="0" w:color="auto"/>
        <w:bottom w:val="none" w:sz="0" w:space="0" w:color="auto"/>
        <w:right w:val="none" w:sz="0" w:space="0" w:color="auto"/>
      </w:divBdr>
    </w:div>
    <w:div w:id="813836383">
      <w:bodyDiv w:val="1"/>
      <w:marLeft w:val="0"/>
      <w:marRight w:val="0"/>
      <w:marTop w:val="0"/>
      <w:marBottom w:val="0"/>
      <w:divBdr>
        <w:top w:val="none" w:sz="0" w:space="0" w:color="auto"/>
        <w:left w:val="none" w:sz="0" w:space="0" w:color="auto"/>
        <w:bottom w:val="none" w:sz="0" w:space="0" w:color="auto"/>
        <w:right w:val="none" w:sz="0" w:space="0" w:color="auto"/>
      </w:divBdr>
    </w:div>
    <w:div w:id="1005325036">
      <w:bodyDiv w:val="1"/>
      <w:marLeft w:val="0"/>
      <w:marRight w:val="0"/>
      <w:marTop w:val="0"/>
      <w:marBottom w:val="0"/>
      <w:divBdr>
        <w:top w:val="none" w:sz="0" w:space="0" w:color="auto"/>
        <w:left w:val="none" w:sz="0" w:space="0" w:color="auto"/>
        <w:bottom w:val="none" w:sz="0" w:space="0" w:color="auto"/>
        <w:right w:val="none" w:sz="0" w:space="0" w:color="auto"/>
      </w:divBdr>
    </w:div>
    <w:div w:id="1023284582">
      <w:bodyDiv w:val="1"/>
      <w:marLeft w:val="0"/>
      <w:marRight w:val="0"/>
      <w:marTop w:val="0"/>
      <w:marBottom w:val="0"/>
      <w:divBdr>
        <w:top w:val="none" w:sz="0" w:space="0" w:color="auto"/>
        <w:left w:val="none" w:sz="0" w:space="0" w:color="auto"/>
        <w:bottom w:val="none" w:sz="0" w:space="0" w:color="auto"/>
        <w:right w:val="none" w:sz="0" w:space="0" w:color="auto"/>
      </w:divBdr>
    </w:div>
    <w:div w:id="1148940666">
      <w:bodyDiv w:val="1"/>
      <w:marLeft w:val="0"/>
      <w:marRight w:val="0"/>
      <w:marTop w:val="0"/>
      <w:marBottom w:val="0"/>
      <w:divBdr>
        <w:top w:val="none" w:sz="0" w:space="0" w:color="auto"/>
        <w:left w:val="none" w:sz="0" w:space="0" w:color="auto"/>
        <w:bottom w:val="none" w:sz="0" w:space="0" w:color="auto"/>
        <w:right w:val="none" w:sz="0" w:space="0" w:color="auto"/>
      </w:divBdr>
    </w:div>
    <w:div w:id="1350764226">
      <w:bodyDiv w:val="1"/>
      <w:marLeft w:val="0"/>
      <w:marRight w:val="0"/>
      <w:marTop w:val="0"/>
      <w:marBottom w:val="0"/>
      <w:divBdr>
        <w:top w:val="none" w:sz="0" w:space="0" w:color="auto"/>
        <w:left w:val="none" w:sz="0" w:space="0" w:color="auto"/>
        <w:bottom w:val="none" w:sz="0" w:space="0" w:color="auto"/>
        <w:right w:val="none" w:sz="0" w:space="0" w:color="auto"/>
      </w:divBdr>
    </w:div>
    <w:div w:id="1465657610">
      <w:bodyDiv w:val="1"/>
      <w:marLeft w:val="0"/>
      <w:marRight w:val="0"/>
      <w:marTop w:val="0"/>
      <w:marBottom w:val="0"/>
      <w:divBdr>
        <w:top w:val="none" w:sz="0" w:space="0" w:color="auto"/>
        <w:left w:val="none" w:sz="0" w:space="0" w:color="auto"/>
        <w:bottom w:val="none" w:sz="0" w:space="0" w:color="auto"/>
        <w:right w:val="none" w:sz="0" w:space="0" w:color="auto"/>
      </w:divBdr>
    </w:div>
    <w:div w:id="1587693849">
      <w:bodyDiv w:val="1"/>
      <w:marLeft w:val="0"/>
      <w:marRight w:val="0"/>
      <w:marTop w:val="0"/>
      <w:marBottom w:val="0"/>
      <w:divBdr>
        <w:top w:val="none" w:sz="0" w:space="0" w:color="auto"/>
        <w:left w:val="none" w:sz="0" w:space="0" w:color="auto"/>
        <w:bottom w:val="none" w:sz="0" w:space="0" w:color="auto"/>
        <w:right w:val="none" w:sz="0" w:space="0" w:color="auto"/>
      </w:divBdr>
    </w:div>
    <w:div w:id="1645892307">
      <w:bodyDiv w:val="1"/>
      <w:marLeft w:val="0"/>
      <w:marRight w:val="0"/>
      <w:marTop w:val="0"/>
      <w:marBottom w:val="0"/>
      <w:divBdr>
        <w:top w:val="none" w:sz="0" w:space="0" w:color="auto"/>
        <w:left w:val="none" w:sz="0" w:space="0" w:color="auto"/>
        <w:bottom w:val="none" w:sz="0" w:space="0" w:color="auto"/>
        <w:right w:val="none" w:sz="0" w:space="0" w:color="auto"/>
      </w:divBdr>
    </w:div>
    <w:div w:id="1819225871">
      <w:bodyDiv w:val="1"/>
      <w:marLeft w:val="0"/>
      <w:marRight w:val="0"/>
      <w:marTop w:val="0"/>
      <w:marBottom w:val="0"/>
      <w:divBdr>
        <w:top w:val="none" w:sz="0" w:space="0" w:color="auto"/>
        <w:left w:val="none" w:sz="0" w:space="0" w:color="auto"/>
        <w:bottom w:val="none" w:sz="0" w:space="0" w:color="auto"/>
        <w:right w:val="none" w:sz="0" w:space="0" w:color="auto"/>
      </w:divBdr>
    </w:div>
    <w:div w:id="1844316913">
      <w:bodyDiv w:val="1"/>
      <w:marLeft w:val="0"/>
      <w:marRight w:val="0"/>
      <w:marTop w:val="0"/>
      <w:marBottom w:val="0"/>
      <w:divBdr>
        <w:top w:val="none" w:sz="0" w:space="0" w:color="auto"/>
        <w:left w:val="none" w:sz="0" w:space="0" w:color="auto"/>
        <w:bottom w:val="none" w:sz="0" w:space="0" w:color="auto"/>
        <w:right w:val="none" w:sz="0" w:space="0" w:color="auto"/>
      </w:divBdr>
    </w:div>
    <w:div w:id="1864778340">
      <w:bodyDiv w:val="1"/>
      <w:marLeft w:val="0"/>
      <w:marRight w:val="0"/>
      <w:marTop w:val="0"/>
      <w:marBottom w:val="0"/>
      <w:divBdr>
        <w:top w:val="none" w:sz="0" w:space="0" w:color="auto"/>
        <w:left w:val="none" w:sz="0" w:space="0" w:color="auto"/>
        <w:bottom w:val="none" w:sz="0" w:space="0" w:color="auto"/>
        <w:right w:val="none" w:sz="0" w:space="0" w:color="auto"/>
      </w:divBdr>
    </w:div>
    <w:div w:id="2045783842">
      <w:bodyDiv w:val="1"/>
      <w:marLeft w:val="0"/>
      <w:marRight w:val="0"/>
      <w:marTop w:val="0"/>
      <w:marBottom w:val="0"/>
      <w:divBdr>
        <w:top w:val="none" w:sz="0" w:space="0" w:color="auto"/>
        <w:left w:val="none" w:sz="0" w:space="0" w:color="auto"/>
        <w:bottom w:val="none" w:sz="0" w:space="0" w:color="auto"/>
        <w:right w:val="none" w:sz="0" w:space="0" w:color="auto"/>
      </w:divBdr>
    </w:div>
    <w:div w:id="2064602135">
      <w:bodyDiv w:val="1"/>
      <w:marLeft w:val="0"/>
      <w:marRight w:val="0"/>
      <w:marTop w:val="0"/>
      <w:marBottom w:val="0"/>
      <w:divBdr>
        <w:top w:val="none" w:sz="0" w:space="0" w:color="auto"/>
        <w:left w:val="none" w:sz="0" w:space="0" w:color="auto"/>
        <w:bottom w:val="none" w:sz="0" w:space="0" w:color="auto"/>
        <w:right w:val="none" w:sz="0" w:space="0" w:color="auto"/>
      </w:divBdr>
    </w:div>
    <w:div w:id="21416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dingeconomics.com/ukraine/balance-of-t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worldbank.org/country/ukraine?view=chart" TargetMode="External"/><Relationship Id="rId5" Type="http://schemas.openxmlformats.org/officeDocument/2006/relationships/hyperlink" Target="http://www.imf.org/external/country/UKR/index.htm" TargetMode="Externa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Value of 1 USD (in UAH)</a:t>
            </a:r>
            <a:endParaRPr lang="ru-RU"/>
          </a:p>
        </c:rich>
      </c:tx>
      <c:overlay val="0"/>
      <c:spPr>
        <a:noFill/>
        <a:ln>
          <a:noFill/>
        </a:ln>
        <a:effectLst/>
      </c:spPr>
    </c:title>
    <c:autoTitleDeleted val="0"/>
    <c:plotArea>
      <c:layout/>
      <c:lineChart>
        <c:grouping val="standard"/>
        <c:varyColors val="0"/>
        <c:ser>
          <c:idx val="0"/>
          <c:order val="0"/>
          <c:tx>
            <c:strRef>
              <c:f>Лист1!$B$1</c:f>
              <c:strCache>
                <c:ptCount val="1"/>
                <c:pt idx="0">
                  <c:v>ціна 1 долара США</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I q.2014</c:v>
                </c:pt>
                <c:pt idx="1">
                  <c:v>II q.2014</c:v>
                </c:pt>
                <c:pt idx="2">
                  <c:v>III q.2014</c:v>
                </c:pt>
                <c:pt idx="3">
                  <c:v>IV q. 2014</c:v>
                </c:pt>
                <c:pt idx="4">
                  <c:v>I q.2015</c:v>
                </c:pt>
                <c:pt idx="5">
                  <c:v>II q.2015</c:v>
                </c:pt>
                <c:pt idx="6">
                  <c:v>III q.2015</c:v>
                </c:pt>
                <c:pt idx="7">
                  <c:v>IV q.2015</c:v>
                </c:pt>
              </c:strCache>
            </c:strRef>
          </c:cat>
          <c:val>
            <c:numRef>
              <c:f>Лист1!$B$2:$B$9</c:f>
              <c:numCache>
                <c:formatCode>General</c:formatCode>
                <c:ptCount val="8"/>
                <c:pt idx="0">
                  <c:v>7.99</c:v>
                </c:pt>
                <c:pt idx="1">
                  <c:v>11.1</c:v>
                </c:pt>
                <c:pt idx="2">
                  <c:v>11.8</c:v>
                </c:pt>
                <c:pt idx="3">
                  <c:v>12.9</c:v>
                </c:pt>
                <c:pt idx="4">
                  <c:v>15.7</c:v>
                </c:pt>
                <c:pt idx="5">
                  <c:v>23.5</c:v>
                </c:pt>
                <c:pt idx="6">
                  <c:v>21</c:v>
                </c:pt>
                <c:pt idx="7">
                  <c:v>21.3</c:v>
                </c:pt>
              </c:numCache>
            </c:numRef>
          </c:val>
          <c:smooth val="0"/>
          <c:extLst>
            <c:ext xmlns:c16="http://schemas.microsoft.com/office/drawing/2014/chart" uri="{C3380CC4-5D6E-409C-BE32-E72D297353CC}">
              <c16:uniqueId val="{00000000-DC6B-4DAC-8F87-5D0F10E6A745}"/>
            </c:ext>
          </c:extLst>
        </c:ser>
        <c:dLbls>
          <c:showLegendKey val="0"/>
          <c:showVal val="1"/>
          <c:showCatName val="0"/>
          <c:showSerName val="0"/>
          <c:showPercent val="0"/>
          <c:showBubbleSize val="0"/>
        </c:dLbls>
        <c:smooth val="0"/>
        <c:axId val="58775040"/>
        <c:axId val="164852864"/>
      </c:lineChart>
      <c:catAx>
        <c:axId val="587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52864"/>
        <c:crosses val="autoZero"/>
        <c:auto val="1"/>
        <c:lblAlgn val="ctr"/>
        <c:lblOffset val="100"/>
        <c:noMultiLvlLbl val="0"/>
      </c:catAx>
      <c:valAx>
        <c:axId val="16485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7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Гриценко</dc:creator>
  <cp:keywords/>
  <dc:description/>
  <cp:lastModifiedBy>Владимир Гриценко</cp:lastModifiedBy>
  <cp:revision>34</cp:revision>
  <dcterms:created xsi:type="dcterms:W3CDTF">2017-04-08T18:47:00Z</dcterms:created>
  <dcterms:modified xsi:type="dcterms:W3CDTF">2020-01-22T19:12:00Z</dcterms:modified>
</cp:coreProperties>
</file>