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horzAnchor="margin" w:tblpXSpec="center" w:tblpY="-1440"/>
        <w:tblW w:w="92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48"/>
        <w:gridCol w:w="4819"/>
      </w:tblGrid>
      <w:tr w:rsidR="00B717BA" w:rsidRPr="00B717BA" w:rsidTr="006E431A">
        <w:tc>
          <w:tcPr>
            <w:tcW w:w="4448" w:type="dxa"/>
            <w:shd w:val="clear" w:color="auto" w:fill="D3D3D3"/>
          </w:tcPr>
          <w:p w:rsidR="00B717BA" w:rsidRPr="00B717BA" w:rsidRDefault="00B717BA" w:rsidP="00B717BA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</w:pP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Оригінал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 (EN)</w:t>
            </w:r>
          </w:p>
        </w:tc>
        <w:tc>
          <w:tcPr>
            <w:tcW w:w="4819" w:type="dxa"/>
            <w:shd w:val="clear" w:color="auto" w:fill="D3D3D3"/>
          </w:tcPr>
          <w:p w:rsidR="00B717BA" w:rsidRPr="00B717BA" w:rsidRDefault="00B717BA" w:rsidP="00B717BA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</w:pP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Переклад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 (UK)</w:t>
            </w:r>
          </w:p>
        </w:tc>
      </w:tr>
      <w:tr w:rsidR="00B717BA" w:rsidRPr="00B717BA" w:rsidTr="006E431A">
        <w:tc>
          <w:tcPr>
            <w:tcW w:w="4448" w:type="dxa"/>
            <w:shd w:val="clear" w:color="auto" w:fill="FFFFFF"/>
          </w:tcPr>
          <w:p w:rsidR="00B717BA" w:rsidRPr="00B717BA" w:rsidRDefault="00B717BA" w:rsidP="00B717BA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</w:pPr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PICTURE THE SCENE</w:t>
            </w:r>
          </w:p>
        </w:tc>
        <w:tc>
          <w:tcPr>
            <w:tcW w:w="4819" w:type="dxa"/>
            <w:shd w:val="clear" w:color="auto" w:fill="FFFFFF"/>
          </w:tcPr>
          <w:p w:rsidR="00B717BA" w:rsidRPr="00B717BA" w:rsidRDefault="00B717BA" w:rsidP="00B717BA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</w:pPr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УЯВІТЬ СЦЕНУ</w:t>
            </w:r>
          </w:p>
        </w:tc>
      </w:tr>
      <w:tr w:rsidR="00B717BA" w:rsidRPr="00B717BA" w:rsidTr="006E431A">
        <w:tc>
          <w:tcPr>
            <w:tcW w:w="4448" w:type="dxa"/>
            <w:shd w:val="clear" w:color="auto" w:fill="FFFFFF"/>
          </w:tcPr>
          <w:p w:rsidR="00B717BA" w:rsidRPr="00B717BA" w:rsidRDefault="00B717BA" w:rsidP="00B717BA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</w:pPr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sym w:font="Arial Unicode MS" w:char="0049"/>
            </w:r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sym w:font="Arial Unicode MS" w:char="0074"/>
            </w:r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sym w:font="Arial Unicode MS" w:char="2019"/>
            </w:r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sym w:font="Arial Unicode MS" w:char="0073"/>
            </w:r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sym w:font="Arial Unicode MS" w:char="0020"/>
            </w:r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sym w:font="Arial Unicode MS" w:char="0036"/>
            </w:r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sym w:font="Arial Unicode MS" w:char="002E"/>
            </w:r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sym w:font="Arial Unicode MS" w:char="0033"/>
            </w:r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sym w:font="Arial Unicode MS" w:char="0030"/>
            </w:r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sym w:font="Arial Unicode MS" w:char="0020"/>
            </w:r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sym w:font="Arial Unicode MS" w:char="006F"/>
            </w:r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sym w:font="Arial Unicode MS" w:char="006E"/>
            </w:r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sym w:font="Arial Unicode MS" w:char="0020"/>
            </w:r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sym w:font="Arial Unicode MS" w:char="004D"/>
            </w:r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sym w:font="Arial Unicode MS" w:char="006F"/>
            </w:r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sym w:font="Arial Unicode MS" w:char="006E"/>
            </w:r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sym w:font="Arial Unicode MS" w:char="0064"/>
            </w:r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sym w:font="Arial Unicode MS" w:char="0061"/>
            </w:r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sym w:font="Arial Unicode MS" w:char="0079"/>
            </w:r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sym w:font="Arial Unicode MS" w:char="0020"/>
            </w:r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sym w:font="Arial Unicode MS" w:char="006D"/>
            </w:r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sym w:font="Arial Unicode MS" w:char="006F"/>
            </w:r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sym w:font="Arial Unicode MS" w:char="0072"/>
            </w:r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sym w:font="Arial Unicode MS" w:char="006E"/>
            </w:r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sym w:font="Arial Unicode MS" w:char="0069"/>
            </w:r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sym w:font="Arial Unicode MS" w:char="006E"/>
            </w:r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sym w:font="Arial Unicode MS" w:char="0067"/>
            </w:r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sym w:font="Arial Unicode MS" w:char="002E"/>
            </w:r>
          </w:p>
        </w:tc>
        <w:tc>
          <w:tcPr>
            <w:tcW w:w="4819" w:type="dxa"/>
            <w:shd w:val="clear" w:color="auto" w:fill="FFFFFF"/>
          </w:tcPr>
          <w:p w:rsidR="00B717BA" w:rsidRPr="00B717BA" w:rsidRDefault="00B717BA" w:rsidP="00B717BA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</w:pP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Зараз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понеділок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, 6.30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ранку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.</w:t>
            </w:r>
          </w:p>
        </w:tc>
      </w:tr>
      <w:tr w:rsidR="00B717BA" w:rsidRPr="00B717BA" w:rsidTr="006E431A">
        <w:tc>
          <w:tcPr>
            <w:tcW w:w="4448" w:type="dxa"/>
            <w:shd w:val="clear" w:color="auto" w:fill="FFFFFF"/>
          </w:tcPr>
          <w:p w:rsidR="00B717BA" w:rsidRPr="00B717BA" w:rsidRDefault="00B717BA" w:rsidP="00B717BA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</w:pPr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You’re on a shuttle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en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-route for London and a crucial meeting that will play a large part in deciding the future of your business.</w:t>
            </w:r>
          </w:p>
        </w:tc>
        <w:tc>
          <w:tcPr>
            <w:tcW w:w="4819" w:type="dxa"/>
            <w:shd w:val="clear" w:color="auto" w:fill="FFFFFF"/>
          </w:tcPr>
          <w:p w:rsidR="00B717BA" w:rsidRPr="00B717BA" w:rsidRDefault="00B717BA" w:rsidP="00B717BA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</w:pP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Ви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знаходитесь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 у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потязі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по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дорозі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 в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Лондон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на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вирішальну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зустріч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,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що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відіграє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велику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роль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 у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прийнятті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рішення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про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майбутнє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вашого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бізнесу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.</w:t>
            </w:r>
          </w:p>
        </w:tc>
      </w:tr>
      <w:tr w:rsidR="00B717BA" w:rsidRPr="00B717BA" w:rsidTr="006E431A">
        <w:tc>
          <w:tcPr>
            <w:tcW w:w="4448" w:type="dxa"/>
            <w:shd w:val="clear" w:color="auto" w:fill="FFFFFF"/>
          </w:tcPr>
          <w:p w:rsidR="00B717BA" w:rsidRPr="00B717BA" w:rsidRDefault="00B717BA" w:rsidP="00B717BA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</w:pPr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You need the most up-to-date financial information you can get, including details of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cheques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 presented today.</w:t>
            </w:r>
          </w:p>
        </w:tc>
        <w:tc>
          <w:tcPr>
            <w:tcW w:w="4819" w:type="dxa"/>
            <w:shd w:val="clear" w:color="auto" w:fill="FFFFFF"/>
          </w:tcPr>
          <w:p w:rsidR="00B717BA" w:rsidRPr="00B717BA" w:rsidRDefault="00B717BA" w:rsidP="00B717BA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</w:pP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Вам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потрібна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найактуальніша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фінансова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інформація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,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яку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ви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тільки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можете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отримати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,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включаючи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відомості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про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чеки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,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що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перевели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сьогодні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 в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готівку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.</w:t>
            </w:r>
          </w:p>
        </w:tc>
      </w:tr>
      <w:tr w:rsidR="00B717BA" w:rsidRPr="00B717BA" w:rsidTr="006E431A">
        <w:tc>
          <w:tcPr>
            <w:tcW w:w="4448" w:type="dxa"/>
            <w:shd w:val="clear" w:color="auto" w:fill="FFFFFF"/>
          </w:tcPr>
          <w:p w:rsidR="00B717BA" w:rsidRPr="00B717BA" w:rsidRDefault="00B717BA" w:rsidP="00B717BA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</w:pPr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But it’s an hour and a half until the bank opens.</w:t>
            </w:r>
          </w:p>
        </w:tc>
        <w:tc>
          <w:tcPr>
            <w:tcW w:w="4819" w:type="dxa"/>
            <w:shd w:val="clear" w:color="auto" w:fill="FFFFFF"/>
          </w:tcPr>
          <w:p w:rsidR="00B717BA" w:rsidRPr="00B717BA" w:rsidRDefault="00B717BA" w:rsidP="00B717BA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</w:pP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Але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до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відкриття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банку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півтори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години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.</w:t>
            </w:r>
          </w:p>
        </w:tc>
      </w:tr>
      <w:tr w:rsidR="00B717BA" w:rsidRPr="00B717BA" w:rsidTr="006E431A">
        <w:tc>
          <w:tcPr>
            <w:tcW w:w="4448" w:type="dxa"/>
            <w:shd w:val="clear" w:color="auto" w:fill="FFFFFF"/>
          </w:tcPr>
          <w:p w:rsidR="00B717BA" w:rsidRPr="00B717BA" w:rsidRDefault="00B717BA" w:rsidP="00B717BA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</w:pPr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sym w:font="Arial Unicode MS" w:char="004E"/>
            </w:r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sym w:font="Arial Unicode MS" w:char="006F"/>
            </w:r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sym w:font="Arial Unicode MS" w:char="0077"/>
            </w:r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sym w:font="Arial Unicode MS" w:char="0020"/>
            </w:r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sym w:font="Arial Unicode MS" w:char="0079"/>
            </w:r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sym w:font="Arial Unicode MS" w:char="006F"/>
            </w:r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sym w:font="Arial Unicode MS" w:char="0075"/>
            </w:r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sym w:font="Arial Unicode MS" w:char="0020"/>
            </w:r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sym w:font="Arial Unicode MS" w:char="0063"/>
            </w:r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sym w:font="Arial Unicode MS" w:char="0061"/>
            </w:r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sym w:font="Arial Unicode MS" w:char="006E"/>
            </w:r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sym w:font="Arial Unicode MS" w:char="0020"/>
            </w:r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sym w:font="Arial Unicode MS" w:char="0075"/>
            </w:r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sym w:font="Arial Unicode MS" w:char="006E"/>
            </w:r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sym w:font="Arial Unicode MS" w:char="006C"/>
            </w:r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sym w:font="Arial Unicode MS" w:char="006F"/>
            </w:r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sym w:font="Arial Unicode MS" w:char="0063"/>
            </w:r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sym w:font="Arial Unicode MS" w:char="006B"/>
            </w:r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sym w:font="Arial Unicode MS" w:char="0020"/>
            </w:r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sym w:font="Arial Unicode MS" w:char="0061"/>
            </w:r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sym w:font="Arial Unicode MS" w:char="006C"/>
            </w:r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sym w:font="Arial Unicode MS" w:char="006C"/>
            </w:r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sym w:font="Arial Unicode MS" w:char="0020"/>
            </w:r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sym w:font="Arial Unicode MS" w:char="0074"/>
            </w:r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sym w:font="Arial Unicode MS" w:char="0068"/>
            </w:r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sym w:font="Arial Unicode MS" w:char="0065"/>
            </w:r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sym w:font="Arial Unicode MS" w:char="0020"/>
            </w:r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sym w:font="Arial Unicode MS" w:char="0069"/>
            </w:r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sym w:font="Arial Unicode MS" w:char="006E"/>
            </w:r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sym w:font="Arial Unicode MS" w:char="0066"/>
            </w:r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sym w:font="Arial Unicode MS" w:char="006F"/>
            </w:r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sym w:font="Arial Unicode MS" w:char="0072"/>
            </w:r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sym w:font="Arial Unicode MS" w:char="006D"/>
            </w:r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sym w:font="Arial Unicode MS" w:char="0061"/>
            </w:r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sym w:font="Arial Unicode MS" w:char="0074"/>
            </w:r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sym w:font="Arial Unicode MS" w:char="0069"/>
            </w:r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sym w:font="Arial Unicode MS" w:char="006F"/>
            </w:r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sym w:font="Arial Unicode MS" w:char="006E"/>
            </w:r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sym w:font="Arial Unicode MS" w:char="0020"/>
            </w:r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sym w:font="Arial Unicode MS" w:char="0079"/>
            </w:r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sym w:font="Arial Unicode MS" w:char="006F"/>
            </w:r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sym w:font="Arial Unicode MS" w:char="0075"/>
            </w:r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sym w:font="Arial Unicode MS" w:char="0020"/>
            </w:r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sym w:font="Arial Unicode MS" w:char="006E"/>
            </w:r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sym w:font="Arial Unicode MS" w:char="0065"/>
            </w:r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sym w:font="Arial Unicode MS" w:char="0065"/>
            </w:r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sym w:font="Arial Unicode MS" w:char="0064"/>
            </w:r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sym w:font="Arial Unicode MS" w:char="0020"/>
            </w:r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sym w:font="Arial Unicode MS" w:char="0066"/>
            </w:r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sym w:font="Arial Unicode MS" w:char="006F"/>
            </w:r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sym w:font="Arial Unicode MS" w:char="0072"/>
            </w:r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sym w:font="Arial Unicode MS" w:char="0020"/>
            </w:r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sym w:font="Arial Unicode MS" w:char="0074"/>
            </w:r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sym w:font="Arial Unicode MS" w:char="0068"/>
            </w:r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sym w:font="Arial Unicode MS" w:char="0065"/>
            </w:r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sym w:font="Arial Unicode MS" w:char="0020"/>
            </w:r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sym w:font="Arial Unicode MS" w:char="006D"/>
            </w:r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sym w:font="Arial Unicode MS" w:char="0065"/>
            </w:r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sym w:font="Arial Unicode MS" w:char="0065"/>
            </w:r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sym w:font="Arial Unicode MS" w:char="0074"/>
            </w:r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sym w:font="Arial Unicode MS" w:char="0069"/>
            </w:r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sym w:font="Arial Unicode MS" w:char="006E"/>
            </w:r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sym w:font="Arial Unicode MS" w:char="0067"/>
            </w:r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sym w:font="Arial Unicode MS" w:char="0020"/>
            </w:r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sym w:font="Arial Unicode MS" w:char="0071"/>
            </w:r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sym w:font="Arial Unicode MS" w:char="0075"/>
            </w:r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sym w:font="Arial Unicode MS" w:char="0069"/>
            </w:r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sym w:font="Arial Unicode MS" w:char="0063"/>
            </w:r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sym w:font="Arial Unicode MS" w:char="006B"/>
            </w:r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sym w:font="Arial Unicode MS" w:char="006C"/>
            </w:r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sym w:font="Arial Unicode MS" w:char="0079"/>
            </w:r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sym w:font="Arial Unicode MS" w:char="0020"/>
            </w:r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sym w:font="Arial Unicode MS" w:char="0061"/>
            </w:r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sym w:font="Arial Unicode MS" w:char="006E"/>
            </w:r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sym w:font="Arial Unicode MS" w:char="0064"/>
            </w:r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sym w:font="Arial Unicode MS" w:char="0020"/>
            </w:r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sym w:font="Arial Unicode MS" w:char="0073"/>
            </w:r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sym w:font="Arial Unicode MS" w:char="0069"/>
            </w:r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sym w:font="Arial Unicode MS" w:char="006D"/>
            </w:r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sym w:font="Arial Unicode MS" w:char="0070"/>
            </w:r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sym w:font="Arial Unicode MS" w:char="006C"/>
            </w:r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sym w:font="Arial Unicode MS" w:char="0079"/>
            </w:r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sym w:font="Arial Unicode MS" w:char="002E"/>
            </w:r>
          </w:p>
        </w:tc>
        <w:tc>
          <w:tcPr>
            <w:tcW w:w="4819" w:type="dxa"/>
            <w:shd w:val="clear" w:color="auto" w:fill="FFFFFF"/>
          </w:tcPr>
          <w:p w:rsidR="00B717BA" w:rsidRPr="00B717BA" w:rsidRDefault="00B717BA" w:rsidP="00B717BA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</w:pP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Тепер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ви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можете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розблокувати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всю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необхідну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для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зустрічі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інформацію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швидко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 і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просто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.</w:t>
            </w:r>
          </w:p>
        </w:tc>
      </w:tr>
      <w:tr w:rsidR="00B717BA" w:rsidRPr="00B717BA" w:rsidTr="006E431A">
        <w:tc>
          <w:tcPr>
            <w:tcW w:w="4448" w:type="dxa"/>
            <w:shd w:val="clear" w:color="auto" w:fill="FFFFFF"/>
          </w:tcPr>
          <w:p w:rsidR="00B717BA" w:rsidRPr="00B717BA" w:rsidRDefault="00B717BA" w:rsidP="00B717BA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</w:pPr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Just boot up your laptop and, using data downloaded from Bank of Scotland’s central computers, the information is there at your fingertips.</w:t>
            </w:r>
          </w:p>
        </w:tc>
        <w:tc>
          <w:tcPr>
            <w:tcW w:w="4819" w:type="dxa"/>
            <w:shd w:val="clear" w:color="auto" w:fill="FFFFFF"/>
          </w:tcPr>
          <w:p w:rsidR="00B717BA" w:rsidRPr="00B717BA" w:rsidRDefault="00B717BA" w:rsidP="00B717BA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</w:pP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Просто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запустіть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свій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ноутбук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 і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використайте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дані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,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завантажені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 з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центральних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комп'ютерів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банку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Шотландії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.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Тепер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Інформація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 у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вас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під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рукою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.</w:t>
            </w:r>
          </w:p>
        </w:tc>
      </w:tr>
      <w:tr w:rsidR="00B717BA" w:rsidRPr="00B717BA" w:rsidTr="006E431A">
        <w:tc>
          <w:tcPr>
            <w:tcW w:w="4448" w:type="dxa"/>
            <w:shd w:val="clear" w:color="auto" w:fill="FFFFFF"/>
          </w:tcPr>
          <w:p w:rsidR="00B717BA" w:rsidRPr="00B717BA" w:rsidRDefault="00B717BA" w:rsidP="00B717BA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</w:pPr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You can group accounts to give you an overall view of your business’s position, focus on the net position of a particular area of the business – even prepare reports.</w:t>
            </w:r>
          </w:p>
        </w:tc>
        <w:tc>
          <w:tcPr>
            <w:tcW w:w="4819" w:type="dxa"/>
            <w:shd w:val="clear" w:color="auto" w:fill="FFFFFF"/>
          </w:tcPr>
          <w:p w:rsidR="00B717BA" w:rsidRPr="00B717BA" w:rsidRDefault="00B717BA" w:rsidP="00B717BA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</w:pP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Ви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можете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згрупувати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рахунки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,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щоб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отримати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загальне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уявлення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про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стан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вашого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бізнесу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,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зосередитися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на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чистій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позиції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конкретної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області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бізнесу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 –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навіть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підготувати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звіти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.</w:t>
            </w:r>
          </w:p>
        </w:tc>
      </w:tr>
      <w:tr w:rsidR="00B717BA" w:rsidRPr="00B717BA" w:rsidTr="006E431A">
        <w:tc>
          <w:tcPr>
            <w:tcW w:w="4448" w:type="dxa"/>
            <w:shd w:val="clear" w:color="auto" w:fill="FFFFFF"/>
          </w:tcPr>
          <w:p w:rsidR="00B717BA" w:rsidRPr="00B717BA" w:rsidRDefault="00B717BA" w:rsidP="00B717BA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</w:pPr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sym w:font="Arial Unicode MS" w:char="0048"/>
            </w:r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sym w:font="Arial Unicode MS" w:char="004F"/>
            </w:r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sym w:font="Arial Unicode MS" w:char="0042"/>
            </w:r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sym w:font="Arial Unicode MS" w:char="0053"/>
            </w:r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sym w:font="Arial Unicode MS" w:char="002C"/>
            </w:r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sym w:font="Arial Unicode MS" w:char="0020"/>
            </w:r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sym w:font="Arial Unicode MS" w:char="0042"/>
            </w:r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sym w:font="Arial Unicode MS" w:char="0061"/>
            </w:r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sym w:font="Arial Unicode MS" w:char="006E"/>
            </w:r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sym w:font="Arial Unicode MS" w:char="006B"/>
            </w:r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sym w:font="Arial Unicode MS" w:char="0020"/>
            </w:r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sym w:font="Arial Unicode MS" w:char="006F"/>
            </w:r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sym w:font="Arial Unicode MS" w:char="0066"/>
            </w:r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sym w:font="Arial Unicode MS" w:char="0020"/>
            </w:r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sym w:font="Arial Unicode MS" w:char="0053"/>
            </w:r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sym w:font="Arial Unicode MS" w:char="0063"/>
            </w:r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sym w:font="Arial Unicode MS" w:char="006F"/>
            </w:r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sym w:font="Arial Unicode MS" w:char="0074"/>
            </w:r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sym w:font="Arial Unicode MS" w:char="006C"/>
            </w:r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sym w:font="Arial Unicode MS" w:char="0061"/>
            </w:r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sym w:font="Arial Unicode MS" w:char="006E"/>
            </w:r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sym w:font="Arial Unicode MS" w:char="0064"/>
            </w:r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sym w:font="Arial Unicode MS" w:char="2019"/>
            </w:r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sym w:font="Arial Unicode MS" w:char="0073"/>
            </w:r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sym w:font="Arial Unicode MS" w:char="0020"/>
            </w:r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sym w:font="Arial Unicode MS" w:char="0048"/>
            </w:r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sym w:font="Arial Unicode MS" w:char="006F"/>
            </w:r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sym w:font="Arial Unicode MS" w:char="006D"/>
            </w:r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sym w:font="Arial Unicode MS" w:char="0065"/>
            </w:r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sym w:font="Arial Unicode MS" w:char="0020"/>
            </w:r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sym w:font="Arial Unicode MS" w:char="0061"/>
            </w:r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sym w:font="Arial Unicode MS" w:char="006E"/>
            </w:r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sym w:font="Arial Unicode MS" w:char="0064"/>
            </w:r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sym w:font="Arial Unicode MS" w:char="0020"/>
            </w:r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sym w:font="Arial Unicode MS" w:char="004F"/>
            </w:r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sym w:font="Arial Unicode MS" w:char="0066"/>
            </w:r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sym w:font="Arial Unicode MS" w:char="0066"/>
            </w:r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sym w:font="Arial Unicode MS" w:char="0069"/>
            </w:r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sym w:font="Arial Unicode MS" w:char="0063"/>
            </w:r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sym w:font="Arial Unicode MS" w:char="0065"/>
            </w:r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sym w:font="Arial Unicode MS" w:char="0020"/>
            </w:r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sym w:font="Arial Unicode MS" w:char="0042"/>
            </w:r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sym w:font="Arial Unicode MS" w:char="0061"/>
            </w:r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sym w:font="Arial Unicode MS" w:char="006E"/>
            </w:r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sym w:font="Arial Unicode MS" w:char="006B"/>
            </w:r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sym w:font="Arial Unicode MS" w:char="0069"/>
            </w:r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sym w:font="Arial Unicode MS" w:char="006E"/>
            </w:r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sym w:font="Arial Unicode MS" w:char="0067"/>
            </w:r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sym w:font="Arial Unicode MS" w:char="0020"/>
            </w:r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sym w:font="Arial Unicode MS" w:char="0053"/>
            </w:r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sym w:font="Arial Unicode MS" w:char="0065"/>
            </w:r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sym w:font="Arial Unicode MS" w:char="0072"/>
            </w:r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sym w:font="Arial Unicode MS" w:char="0076"/>
            </w:r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sym w:font="Arial Unicode MS" w:char="0069"/>
            </w:r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sym w:font="Arial Unicode MS" w:char="0063"/>
            </w:r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sym w:font="Arial Unicode MS" w:char="0065"/>
            </w:r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sym w:font="Arial Unicode MS" w:char="002C"/>
            </w:r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sym w:font="Arial Unicode MS" w:char="0020"/>
            </w:r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sym w:font="Arial Unicode MS" w:char="0069"/>
            </w:r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sym w:font="Arial Unicode MS" w:char="0073"/>
            </w:r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sym w:font="Arial Unicode MS" w:char="0020"/>
            </w:r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sym w:font="Arial Unicode MS" w:char="0070"/>
            </w:r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sym w:font="Arial Unicode MS" w:char="0065"/>
            </w:r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sym w:font="Arial Unicode MS" w:char="0072"/>
            </w:r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sym w:font="Arial Unicode MS" w:char="0066"/>
            </w:r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sym w:font="Arial Unicode MS" w:char="0065"/>
            </w:r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sym w:font="Arial Unicode MS" w:char="0063"/>
            </w:r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sym w:font="Arial Unicode MS" w:char="0074"/>
            </w:r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sym w:font="Arial Unicode MS" w:char="0020"/>
            </w:r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sym w:font="Arial Unicode MS" w:char="0066"/>
            </w:r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sym w:font="Arial Unicode MS" w:char="006F"/>
            </w:r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sym w:font="Arial Unicode MS" w:char="0072"/>
            </w:r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sym w:font="Arial Unicode MS" w:char="0020"/>
            </w:r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sym w:font="Arial Unicode MS" w:char="0070"/>
            </w:r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sym w:font="Arial Unicode MS" w:char="0065"/>
            </w:r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sym w:font="Arial Unicode MS" w:char="006F"/>
            </w:r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sym w:font="Arial Unicode MS" w:char="0070"/>
            </w:r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sym w:font="Arial Unicode MS" w:char="006C"/>
            </w:r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sym w:font="Arial Unicode MS" w:char="0065"/>
            </w:r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sym w:font="Arial Unicode MS" w:char="0020"/>
            </w:r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sym w:font="Arial Unicode MS" w:char="006C"/>
            </w:r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sym w:font="Arial Unicode MS" w:char="0069"/>
            </w:r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sym w:font="Arial Unicode MS" w:char="006B"/>
            </w:r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sym w:font="Arial Unicode MS" w:char="0065"/>
            </w:r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sym w:font="Arial Unicode MS" w:char="0020"/>
            </w:r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sym w:font="Arial Unicode MS" w:char="0079"/>
            </w:r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sym w:font="Arial Unicode MS" w:char="006F"/>
            </w:r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sym w:font="Arial Unicode MS" w:char="0075"/>
            </w:r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sym w:font="Arial Unicode MS" w:char="0020"/>
            </w:r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sym w:font="Arial Unicode MS" w:char="0077"/>
            </w:r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sym w:font="Arial Unicode MS" w:char="0068"/>
            </w:r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sym w:font="Arial Unicode MS" w:char="006F"/>
            </w:r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sym w:font="Arial Unicode MS" w:char="0020"/>
            </w:r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sym w:font="Arial Unicode MS" w:char="0061"/>
            </w:r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sym w:font="Arial Unicode MS" w:char="0072"/>
            </w:r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sym w:font="Arial Unicode MS" w:char="0065"/>
            </w:r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sym w:font="Arial Unicode MS" w:char="0020"/>
            </w:r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sym w:font="Arial Unicode MS" w:char="0074"/>
            </w:r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sym w:font="Arial Unicode MS" w:char="006F"/>
            </w:r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sym w:font="Arial Unicode MS" w:char="006F"/>
            </w:r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sym w:font="Arial Unicode MS" w:char="0020"/>
            </w:r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sym w:font="Arial Unicode MS" w:char="0062"/>
            </w:r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sym w:font="Arial Unicode MS" w:char="0075"/>
            </w:r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sym w:font="Arial Unicode MS" w:char="0073"/>
            </w:r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sym w:font="Arial Unicode MS" w:char="0079"/>
            </w:r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sym w:font="Arial Unicode MS" w:char="0020"/>
            </w:r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sym w:font="Arial Unicode MS" w:char="0072"/>
            </w:r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sym w:font="Arial Unicode MS" w:char="0075"/>
            </w:r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sym w:font="Arial Unicode MS" w:char="006E"/>
            </w:r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sym w:font="Arial Unicode MS" w:char="006E"/>
            </w:r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sym w:font="Arial Unicode MS" w:char="0069"/>
            </w:r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sym w:font="Arial Unicode MS" w:char="006E"/>
            </w:r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sym w:font="Arial Unicode MS" w:char="0067"/>
            </w:r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sym w:font="Arial Unicode MS" w:char="0020"/>
            </w:r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sym w:font="Arial Unicode MS" w:char="0074"/>
            </w:r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sym w:font="Arial Unicode MS" w:char="0068"/>
            </w:r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sym w:font="Arial Unicode MS" w:char="0065"/>
            </w:r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sym w:font="Arial Unicode MS" w:char="0069"/>
            </w:r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sym w:font="Arial Unicode MS" w:char="0072"/>
            </w:r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sym w:font="Arial Unicode MS" w:char="0020"/>
            </w:r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sym w:font="Arial Unicode MS" w:char="0062"/>
            </w:r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sym w:font="Arial Unicode MS" w:char="0075"/>
            </w:r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sym w:font="Arial Unicode MS" w:char="0073"/>
            </w:r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sym w:font="Arial Unicode MS" w:char="0069"/>
            </w:r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sym w:font="Arial Unicode MS" w:char="006E"/>
            </w:r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sym w:font="Arial Unicode MS" w:char="0065"/>
            </w:r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sym w:font="Arial Unicode MS" w:char="0073"/>
            </w:r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sym w:font="Arial Unicode MS" w:char="0073"/>
            </w:r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sym w:font="Arial Unicode MS" w:char="0020"/>
            </w:r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sym w:font="Arial Unicode MS" w:char="0074"/>
            </w:r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sym w:font="Arial Unicode MS" w:char="006F"/>
            </w:r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sym w:font="Arial Unicode MS" w:char="0020"/>
            </w:r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sym w:font="Arial Unicode MS" w:char="0077"/>
            </w:r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sym w:font="Arial Unicode MS" w:char="006F"/>
            </w:r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sym w:font="Arial Unicode MS" w:char="0072"/>
            </w:r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sym w:font="Arial Unicode MS" w:char="0072"/>
            </w:r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sym w:font="Arial Unicode MS" w:char="0079"/>
            </w:r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sym w:font="Arial Unicode MS" w:char="0020"/>
            </w:r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sym w:font="Arial Unicode MS" w:char="0061"/>
            </w:r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sym w:font="Arial Unicode MS" w:char="0062"/>
            </w:r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sym w:font="Arial Unicode MS" w:char="006F"/>
            </w:r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sym w:font="Arial Unicode MS" w:char="0075"/>
            </w:r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sym w:font="Arial Unicode MS" w:char="0074"/>
            </w:r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sym w:font="Arial Unicode MS" w:char="0020"/>
            </w:r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sym w:font="Arial Unicode MS" w:char="0066"/>
            </w:r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sym w:font="Arial Unicode MS" w:char="0069"/>
            </w:r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sym w:font="Arial Unicode MS" w:char="0074"/>
            </w:r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sym w:font="Arial Unicode MS" w:char="0074"/>
            </w:r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sym w:font="Arial Unicode MS" w:char="0069"/>
            </w:r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sym w:font="Arial Unicode MS" w:char="006E"/>
            </w:r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sym w:font="Arial Unicode MS" w:char="0067"/>
            </w:r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sym w:font="Arial Unicode MS" w:char="0020"/>
            </w:r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sym w:font="Arial Unicode MS" w:char="0069"/>
            </w:r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sym w:font="Arial Unicode MS" w:char="0074"/>
            </w:r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sym w:font="Arial Unicode MS" w:char="0020"/>
            </w:r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sym w:font="Arial Unicode MS" w:char="0069"/>
            </w:r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sym w:font="Arial Unicode MS" w:char="006E"/>
            </w:r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sym w:font="Arial Unicode MS" w:char="0020"/>
            </w:r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sym w:font="Arial Unicode MS" w:char="0074"/>
            </w:r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sym w:font="Arial Unicode MS" w:char="006F"/>
            </w:r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sym w:font="Arial Unicode MS" w:char="0020"/>
            </w:r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sym w:font="Arial Unicode MS" w:char="0062"/>
            </w:r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sym w:font="Arial Unicode MS" w:char="0061"/>
            </w:r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sym w:font="Arial Unicode MS" w:char="006E"/>
            </w:r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sym w:font="Arial Unicode MS" w:char="006B"/>
            </w:r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sym w:font="Arial Unicode MS" w:char="0069"/>
            </w:r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sym w:font="Arial Unicode MS" w:char="006E"/>
            </w:r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sym w:font="Arial Unicode MS" w:char="0067"/>
            </w:r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sym w:font="Arial Unicode MS" w:char="0020"/>
            </w:r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sym w:font="Arial Unicode MS" w:char="0068"/>
            </w:r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sym w:font="Arial Unicode MS" w:char="006F"/>
            </w:r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sym w:font="Arial Unicode MS" w:char="0075"/>
            </w:r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sym w:font="Arial Unicode MS" w:char="0072"/>
            </w:r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sym w:font="Arial Unicode MS" w:char="0073"/>
            </w:r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sym w:font="Arial Unicode MS" w:char="002E"/>
            </w:r>
          </w:p>
        </w:tc>
        <w:tc>
          <w:tcPr>
            <w:tcW w:w="4819" w:type="dxa"/>
            <w:shd w:val="clear" w:color="auto" w:fill="FFFFFF"/>
          </w:tcPr>
          <w:p w:rsidR="00B717BA" w:rsidRPr="00B717BA" w:rsidRDefault="00B717BA" w:rsidP="00B717BA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</w:pPr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HOBS,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банківські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послуги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для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дому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та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офісу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від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банку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Шотландії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ідеально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підходять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для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таких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людей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,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як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ви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,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які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занадто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зайняті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своїм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бізнесом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,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аби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турбуватися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про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те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,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як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підлаштуватися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до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робочих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годин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банку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.</w:t>
            </w:r>
          </w:p>
        </w:tc>
      </w:tr>
      <w:tr w:rsidR="00B717BA" w:rsidRPr="00B717BA" w:rsidTr="006E431A">
        <w:tc>
          <w:tcPr>
            <w:tcW w:w="4448" w:type="dxa"/>
            <w:shd w:val="clear" w:color="auto" w:fill="FFFFFF"/>
          </w:tcPr>
          <w:p w:rsidR="00B717BA" w:rsidRPr="00B717BA" w:rsidRDefault="00B717BA" w:rsidP="00B717BA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</w:pPr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The key to financial control</w:t>
            </w:r>
          </w:p>
        </w:tc>
        <w:tc>
          <w:tcPr>
            <w:tcW w:w="4819" w:type="dxa"/>
            <w:shd w:val="clear" w:color="auto" w:fill="FFFFFF"/>
          </w:tcPr>
          <w:p w:rsidR="00B717BA" w:rsidRPr="00B717BA" w:rsidRDefault="00B717BA" w:rsidP="00B717BA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</w:pP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Ключ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до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фінансового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контролю</w:t>
            </w:r>
            <w:proofErr w:type="spellEnd"/>
          </w:p>
        </w:tc>
      </w:tr>
      <w:tr w:rsidR="00B717BA" w:rsidRPr="00B717BA" w:rsidTr="006E431A">
        <w:tc>
          <w:tcPr>
            <w:tcW w:w="4448" w:type="dxa"/>
            <w:shd w:val="clear" w:color="auto" w:fill="FFFFFF"/>
          </w:tcPr>
          <w:p w:rsidR="00B717BA" w:rsidRPr="00B717BA" w:rsidRDefault="00B717BA" w:rsidP="00B717BA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</w:pPr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With HOBS in your office you can:</w:t>
            </w:r>
          </w:p>
        </w:tc>
        <w:tc>
          <w:tcPr>
            <w:tcW w:w="4819" w:type="dxa"/>
            <w:shd w:val="clear" w:color="auto" w:fill="FFFFFF"/>
          </w:tcPr>
          <w:p w:rsidR="00B717BA" w:rsidRPr="00B717BA" w:rsidRDefault="00B717BA" w:rsidP="00B717BA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</w:pPr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З  HOBS у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вашому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офісі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ви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можете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:</w:t>
            </w:r>
          </w:p>
        </w:tc>
      </w:tr>
      <w:tr w:rsidR="00B717BA" w:rsidRPr="00B717BA" w:rsidTr="006E431A">
        <w:tc>
          <w:tcPr>
            <w:tcW w:w="4448" w:type="dxa"/>
            <w:shd w:val="clear" w:color="auto" w:fill="FFFFFF"/>
          </w:tcPr>
          <w:p w:rsidR="00B717BA" w:rsidRPr="00B717BA" w:rsidRDefault="00B717BA" w:rsidP="00B717BA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</w:pPr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Access comprehensive, up-to-the-minute information on all your sterling, foreign currency and credit card accounts.</w:t>
            </w:r>
          </w:p>
        </w:tc>
        <w:tc>
          <w:tcPr>
            <w:tcW w:w="4819" w:type="dxa"/>
            <w:shd w:val="clear" w:color="auto" w:fill="FFFFFF"/>
          </w:tcPr>
          <w:p w:rsidR="00B717BA" w:rsidRPr="00B717BA" w:rsidRDefault="00B717BA" w:rsidP="00B717BA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</w:pP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Oтримати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доступ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до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повної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,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актуальної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інформації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про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всі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ваші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рахунки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 в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фунтах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стерлінгів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,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іноземній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валюті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та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на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кредитних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картах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.</w:t>
            </w:r>
          </w:p>
        </w:tc>
      </w:tr>
      <w:tr w:rsidR="00B717BA" w:rsidRPr="00B717BA" w:rsidTr="006E431A">
        <w:tc>
          <w:tcPr>
            <w:tcW w:w="4448" w:type="dxa"/>
            <w:shd w:val="clear" w:color="auto" w:fill="FFFFFF"/>
          </w:tcPr>
          <w:p w:rsidR="00B717BA" w:rsidRPr="00B717BA" w:rsidRDefault="00B717BA" w:rsidP="00B717BA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</w:pPr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Initiate BACS payments to pay salaries, wages, suppliers…</w:t>
            </w:r>
          </w:p>
        </w:tc>
        <w:tc>
          <w:tcPr>
            <w:tcW w:w="4819" w:type="dxa"/>
            <w:shd w:val="clear" w:color="auto" w:fill="FFFFFF"/>
          </w:tcPr>
          <w:p w:rsidR="00B717BA" w:rsidRPr="00B717BA" w:rsidRDefault="00B717BA" w:rsidP="00B717BA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</w:pP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За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допомогою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системи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 BACS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здійснити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виплати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заробітніх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плат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працівникам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 і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постачальникам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…</w:t>
            </w:r>
          </w:p>
        </w:tc>
      </w:tr>
      <w:tr w:rsidR="00B717BA" w:rsidRPr="00B717BA" w:rsidTr="006E431A">
        <w:tc>
          <w:tcPr>
            <w:tcW w:w="4448" w:type="dxa"/>
            <w:shd w:val="clear" w:color="auto" w:fill="FFFFFF"/>
          </w:tcPr>
          <w:p w:rsidR="00B717BA" w:rsidRPr="00B717BA" w:rsidRDefault="00B717BA" w:rsidP="00B717BA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</w:pPr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Initiate CHAPS and International payments.</w:t>
            </w:r>
          </w:p>
        </w:tc>
        <w:tc>
          <w:tcPr>
            <w:tcW w:w="4819" w:type="dxa"/>
            <w:shd w:val="clear" w:color="auto" w:fill="FFFFFF"/>
          </w:tcPr>
          <w:p w:rsidR="00B717BA" w:rsidRPr="00B717BA" w:rsidRDefault="00B717BA" w:rsidP="00B717BA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</w:pP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За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допомогою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системи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 CHAPS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здійснити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виплати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 і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міжнародні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платежі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.</w:t>
            </w:r>
          </w:p>
        </w:tc>
      </w:tr>
      <w:tr w:rsidR="00B717BA" w:rsidRPr="00B717BA" w:rsidTr="006E431A">
        <w:tc>
          <w:tcPr>
            <w:tcW w:w="4448" w:type="dxa"/>
            <w:shd w:val="clear" w:color="auto" w:fill="FFFFFF"/>
          </w:tcPr>
          <w:p w:rsidR="00B717BA" w:rsidRPr="00B717BA" w:rsidRDefault="00B717BA" w:rsidP="00B717BA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</w:pPr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Transfer money instantly between your accounts.</w:t>
            </w:r>
          </w:p>
        </w:tc>
        <w:tc>
          <w:tcPr>
            <w:tcW w:w="4819" w:type="dxa"/>
            <w:shd w:val="clear" w:color="auto" w:fill="FFFFFF"/>
          </w:tcPr>
          <w:p w:rsidR="00B717BA" w:rsidRPr="00B717BA" w:rsidRDefault="00B717BA" w:rsidP="00B717BA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</w:pP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Миттєво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переказувати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гроші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між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своїми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рахунками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.</w:t>
            </w:r>
          </w:p>
        </w:tc>
      </w:tr>
      <w:tr w:rsidR="00B717BA" w:rsidRPr="00B717BA" w:rsidTr="006E431A">
        <w:tc>
          <w:tcPr>
            <w:tcW w:w="4448" w:type="dxa"/>
            <w:shd w:val="clear" w:color="auto" w:fill="FFFFFF"/>
          </w:tcPr>
          <w:p w:rsidR="00B717BA" w:rsidRPr="00B717BA" w:rsidRDefault="00B717BA" w:rsidP="00B717BA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</w:pPr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Check all your standing orders and direct debits.</w:t>
            </w:r>
          </w:p>
        </w:tc>
        <w:tc>
          <w:tcPr>
            <w:tcW w:w="4819" w:type="dxa"/>
            <w:shd w:val="clear" w:color="auto" w:fill="FFFFFF"/>
          </w:tcPr>
          <w:p w:rsidR="00B717BA" w:rsidRPr="00B717BA" w:rsidRDefault="00B717BA" w:rsidP="00B717BA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</w:pP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Перевірити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всі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ваші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постійні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доручення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 і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прямі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дебетування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.</w:t>
            </w:r>
          </w:p>
        </w:tc>
      </w:tr>
      <w:tr w:rsidR="00B717BA" w:rsidRPr="00B717BA" w:rsidTr="006E431A">
        <w:tc>
          <w:tcPr>
            <w:tcW w:w="4448" w:type="dxa"/>
            <w:shd w:val="clear" w:color="auto" w:fill="FFFFFF"/>
          </w:tcPr>
          <w:p w:rsidR="00B717BA" w:rsidRPr="00B717BA" w:rsidRDefault="00B717BA" w:rsidP="00B717BA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</w:pPr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Locate specific transactions quickly using a range of search criteria.</w:t>
            </w:r>
          </w:p>
        </w:tc>
        <w:tc>
          <w:tcPr>
            <w:tcW w:w="4819" w:type="dxa"/>
            <w:shd w:val="clear" w:color="auto" w:fill="FFFFFF"/>
          </w:tcPr>
          <w:p w:rsidR="00B717BA" w:rsidRPr="00B717BA" w:rsidRDefault="00B717BA" w:rsidP="00B717BA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</w:pP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Швидко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знайти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конкретні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транзакції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за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допомогою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ряду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критеріїв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пошуку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.</w:t>
            </w:r>
          </w:p>
        </w:tc>
      </w:tr>
      <w:tr w:rsidR="00B717BA" w:rsidRPr="00B717BA" w:rsidTr="006E431A">
        <w:tc>
          <w:tcPr>
            <w:tcW w:w="4448" w:type="dxa"/>
            <w:shd w:val="clear" w:color="auto" w:fill="FFFFFF"/>
          </w:tcPr>
          <w:p w:rsidR="00B717BA" w:rsidRPr="00B717BA" w:rsidRDefault="00B717BA" w:rsidP="00B717BA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</w:pPr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Open an exclusive HOBS investment Account to make surplus funds work really hard for you.</w:t>
            </w:r>
          </w:p>
        </w:tc>
        <w:tc>
          <w:tcPr>
            <w:tcW w:w="4819" w:type="dxa"/>
            <w:shd w:val="clear" w:color="auto" w:fill="FFFFFF"/>
          </w:tcPr>
          <w:p w:rsidR="00B717BA" w:rsidRPr="00B717BA" w:rsidRDefault="00B717BA" w:rsidP="00B717BA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</w:pP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Відкрити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ексклюзивний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інвестиційний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рахунок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 HOBS,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аби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резервний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капітал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дійсно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приносив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користь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.</w:t>
            </w:r>
          </w:p>
        </w:tc>
      </w:tr>
      <w:tr w:rsidR="00B717BA" w:rsidRPr="00B717BA" w:rsidTr="006E431A">
        <w:tc>
          <w:tcPr>
            <w:tcW w:w="4448" w:type="dxa"/>
            <w:shd w:val="clear" w:color="auto" w:fill="FFFFFF"/>
          </w:tcPr>
          <w:p w:rsidR="00B717BA" w:rsidRPr="00B717BA" w:rsidRDefault="00B717BA" w:rsidP="00B717BA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</w:pPr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The key to </w:t>
            </w:r>
            <w:r w:rsidRPr="00B717BA">
              <w:rPr>
                <w:rFonts w:eastAsia="Arial Unicode MS" w:cs="Arial Unicode MS"/>
                <w:color w:val="000000" w:themeColor="text1"/>
                <w:sz w:val="24"/>
                <w:szCs w:val="24"/>
              </w:rPr>
              <w:t xml:space="preserve">flexibility </w:t>
            </w:r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- With HOBS, you no longer have to devote valuable time to </w:t>
            </w:r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lastRenderedPageBreak/>
              <w:t>routine transactions, or fit your business into banking hours.</w:t>
            </w:r>
          </w:p>
        </w:tc>
        <w:tc>
          <w:tcPr>
            <w:tcW w:w="4819" w:type="dxa"/>
            <w:shd w:val="clear" w:color="auto" w:fill="FFFFFF"/>
          </w:tcPr>
          <w:p w:rsidR="00B717BA" w:rsidRPr="00B717BA" w:rsidRDefault="00B717BA" w:rsidP="00B717BA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</w:pP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lastRenderedPageBreak/>
              <w:t>Ключ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до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гнучкості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  - з HOBS,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ви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більше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не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повинні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витрачати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дорогоцінний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час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на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lastRenderedPageBreak/>
              <w:t>регулярні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транзакції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,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або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підлаштовувати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бізнес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під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робочі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години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банку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.</w:t>
            </w:r>
          </w:p>
        </w:tc>
      </w:tr>
      <w:tr w:rsidR="00B717BA" w:rsidRPr="00B717BA" w:rsidTr="006E431A">
        <w:tc>
          <w:tcPr>
            <w:tcW w:w="4448" w:type="dxa"/>
            <w:shd w:val="clear" w:color="auto" w:fill="FFFFFF"/>
          </w:tcPr>
          <w:p w:rsidR="00B717BA" w:rsidRPr="00B717BA" w:rsidRDefault="00B717BA" w:rsidP="00B717BA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</w:pPr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lastRenderedPageBreak/>
              <w:t>Control your accounts whenever it suits you, 24 hours a day, 7 days a week.</w:t>
            </w:r>
          </w:p>
        </w:tc>
        <w:tc>
          <w:tcPr>
            <w:tcW w:w="4819" w:type="dxa"/>
            <w:shd w:val="clear" w:color="auto" w:fill="FFFFFF"/>
          </w:tcPr>
          <w:p w:rsidR="00B717BA" w:rsidRPr="00B717BA" w:rsidRDefault="00B717BA" w:rsidP="00B717BA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</w:pP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Контролюйте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свої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рахунки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,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коли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вам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зручно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, 24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години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на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добу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, 7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днів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на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тиждень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.</w:t>
            </w:r>
          </w:p>
        </w:tc>
      </w:tr>
      <w:tr w:rsidR="00B717BA" w:rsidRPr="00B717BA" w:rsidTr="006E431A">
        <w:tc>
          <w:tcPr>
            <w:tcW w:w="4448" w:type="dxa"/>
            <w:shd w:val="clear" w:color="auto" w:fill="FFFFFF"/>
          </w:tcPr>
          <w:p w:rsidR="00B717BA" w:rsidRPr="00B717BA" w:rsidRDefault="00B717BA" w:rsidP="00B717BA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</w:pPr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The key to cost effectiveness - Connecting to HOBS costs just the price of a local phone call from anywhere in the UK.</w:t>
            </w:r>
          </w:p>
        </w:tc>
        <w:tc>
          <w:tcPr>
            <w:tcW w:w="4819" w:type="dxa"/>
            <w:shd w:val="clear" w:color="auto" w:fill="FFFFFF"/>
          </w:tcPr>
          <w:p w:rsidR="00B717BA" w:rsidRPr="00B717BA" w:rsidRDefault="00B717BA" w:rsidP="00B717BA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</w:pP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Ключ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до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ефективних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витрат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 -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підключення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до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 HOBS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коштує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так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само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,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як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міська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телефонна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розмова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 з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будь-якої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точки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Великобританії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.</w:t>
            </w:r>
          </w:p>
        </w:tc>
      </w:tr>
      <w:tr w:rsidR="00B717BA" w:rsidRPr="00B717BA" w:rsidTr="006E431A">
        <w:tc>
          <w:tcPr>
            <w:tcW w:w="4448" w:type="dxa"/>
            <w:shd w:val="clear" w:color="auto" w:fill="FFFFFF"/>
          </w:tcPr>
          <w:p w:rsidR="00B717BA" w:rsidRPr="00B717BA" w:rsidRDefault="00B717BA" w:rsidP="00B717BA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</w:pPr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Further built-in features, such as off-line processing, mean that the amount of time you need to be connected to HOBS is kept to a minimum.</w:t>
            </w:r>
          </w:p>
        </w:tc>
        <w:tc>
          <w:tcPr>
            <w:tcW w:w="4819" w:type="dxa"/>
            <w:shd w:val="clear" w:color="auto" w:fill="FFFFFF"/>
          </w:tcPr>
          <w:p w:rsidR="00B717BA" w:rsidRPr="00B717BA" w:rsidRDefault="00B717BA" w:rsidP="00B717BA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</w:pP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Такі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функції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,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як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автономна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обробка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,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означають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,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що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кількість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часу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на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з'єднання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 з HOBS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зведено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до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мінімуму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.</w:t>
            </w:r>
          </w:p>
        </w:tc>
      </w:tr>
      <w:tr w:rsidR="00B717BA" w:rsidRPr="00B717BA" w:rsidTr="006E431A">
        <w:tc>
          <w:tcPr>
            <w:tcW w:w="4448" w:type="dxa"/>
            <w:shd w:val="clear" w:color="auto" w:fill="FFFFFF"/>
          </w:tcPr>
          <w:p w:rsidR="00B717BA" w:rsidRPr="00B717BA" w:rsidRDefault="00B717BA" w:rsidP="00B717BA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</w:pPr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The key to security - A series of advanced, built-in features maintained in your PC allow you to restrict access to designated users, and to specify exactly what information each individual can access and what transactions they may carry out.</w:t>
            </w:r>
          </w:p>
        </w:tc>
        <w:tc>
          <w:tcPr>
            <w:tcW w:w="4819" w:type="dxa"/>
            <w:shd w:val="clear" w:color="auto" w:fill="FFFFFF"/>
          </w:tcPr>
          <w:p w:rsidR="00B717BA" w:rsidRPr="00B717BA" w:rsidRDefault="00B717BA" w:rsidP="00B717BA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</w:pP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Ключ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до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безпеки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 -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це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ряд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вдосконалених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стандартних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функцій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,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що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підтримує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ваш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комп'ютер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.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Вони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дозволяють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обмежити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доступ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визначеним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користувачам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 і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точно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вказати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,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до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якої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інформації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може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отримати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доступ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кожна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людина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, і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які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транзакції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вона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може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виконувати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.</w:t>
            </w:r>
          </w:p>
        </w:tc>
      </w:tr>
      <w:tr w:rsidR="00B717BA" w:rsidRPr="00B717BA" w:rsidTr="006E431A">
        <w:tc>
          <w:tcPr>
            <w:tcW w:w="4448" w:type="dxa"/>
            <w:shd w:val="clear" w:color="auto" w:fill="FFFFFF"/>
          </w:tcPr>
          <w:p w:rsidR="00B717BA" w:rsidRPr="00B717BA" w:rsidRDefault="00B717BA" w:rsidP="00B717BA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</w:pPr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The key to</w:t>
            </w:r>
            <w:r w:rsidRPr="00B717BA">
              <w:rPr>
                <w:rFonts w:eastAsia="Arial Unicode MS" w:cs="Arial Unicode MS"/>
                <w:color w:val="000000" w:themeColor="text1"/>
                <w:szCs w:val="24"/>
                <w:lang w:val="uk-UA"/>
              </w:rPr>
              <w:t xml:space="preserve"> </w:t>
            </w:r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convenience - Corporate HOBS has been designed to dovetail with your existing financial software, giving you a choice of account reporting and payment processing facilities and a smooth transfer of account information to and from other packages such as Sage ®or Pegasus®.</w:t>
            </w:r>
          </w:p>
        </w:tc>
        <w:tc>
          <w:tcPr>
            <w:tcW w:w="4819" w:type="dxa"/>
            <w:shd w:val="clear" w:color="auto" w:fill="FFFFFF"/>
          </w:tcPr>
          <w:p w:rsidR="00B717BA" w:rsidRPr="00B717BA" w:rsidRDefault="00B717BA" w:rsidP="00B717BA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</w:pP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Ключ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до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зручності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  - HOBS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для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корпорації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було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розроблено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,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щоб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співпрацювати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 з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вашим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фінансовим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програмним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забезпеченняя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,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надавши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вам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вибір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засобів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звітування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за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рахунком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та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обробки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платежів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, а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також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можливість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просто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 і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легко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передати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облікову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інформацію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від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інших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пакетів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,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таких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як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 Sage ®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або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 Pegasus®.</w:t>
            </w:r>
          </w:p>
        </w:tc>
      </w:tr>
      <w:tr w:rsidR="00B717BA" w:rsidRPr="00B717BA" w:rsidTr="006E431A">
        <w:tc>
          <w:tcPr>
            <w:tcW w:w="4448" w:type="dxa"/>
            <w:shd w:val="clear" w:color="auto" w:fill="FFFFFF"/>
          </w:tcPr>
          <w:p w:rsidR="00B717BA" w:rsidRPr="00B717BA" w:rsidRDefault="00B717BA" w:rsidP="00B717BA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</w:pPr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SECURITY / COST-EFFECTIVENESS / FLEXIBILITY / CONVENIENCE</w:t>
            </w:r>
          </w:p>
        </w:tc>
        <w:tc>
          <w:tcPr>
            <w:tcW w:w="4819" w:type="dxa"/>
            <w:shd w:val="clear" w:color="auto" w:fill="FFFFFF"/>
          </w:tcPr>
          <w:p w:rsidR="00B717BA" w:rsidRPr="00B717BA" w:rsidRDefault="00B717BA" w:rsidP="00B717BA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</w:pPr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БЕЗПЕКА / ЕФЕКТИВНІСТЬ ВИТРАТ/ ГНУЧКІСТЬ / ЗРУЧНІСТЬ</w:t>
            </w:r>
          </w:p>
        </w:tc>
      </w:tr>
      <w:tr w:rsidR="00B717BA" w:rsidRPr="00B717BA" w:rsidTr="006E431A">
        <w:tc>
          <w:tcPr>
            <w:tcW w:w="4448" w:type="dxa"/>
            <w:shd w:val="clear" w:color="auto" w:fill="FFFFFF"/>
          </w:tcPr>
          <w:p w:rsidR="00B717BA" w:rsidRPr="00B717BA" w:rsidRDefault="00B717BA" w:rsidP="00B717BA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</w:pPr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The BACS Direct facility is ideal for the distribution of wages, salaries or expenses, and the template function saves you from having to re-key similar data each week / month.</w:t>
            </w:r>
          </w:p>
        </w:tc>
        <w:tc>
          <w:tcPr>
            <w:tcW w:w="4819" w:type="dxa"/>
            <w:shd w:val="clear" w:color="auto" w:fill="FFFFFF"/>
          </w:tcPr>
          <w:p w:rsidR="00B717BA" w:rsidRPr="00B717BA" w:rsidRDefault="00B717BA" w:rsidP="00B717BA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</w:pPr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BACS Direct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ідеально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підходить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для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розподілу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заробітної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плати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,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або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витрат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, а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функція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шаблону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позбавить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вас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від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необхідності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повторно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вводити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аналогічні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дані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кожен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тиждень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 /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місяць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.</w:t>
            </w:r>
          </w:p>
        </w:tc>
      </w:tr>
      <w:tr w:rsidR="00B717BA" w:rsidRPr="00B717BA" w:rsidTr="006E431A">
        <w:tc>
          <w:tcPr>
            <w:tcW w:w="4448" w:type="dxa"/>
            <w:shd w:val="clear" w:color="auto" w:fill="FFFFFF"/>
          </w:tcPr>
          <w:p w:rsidR="00B717BA" w:rsidRPr="00B717BA" w:rsidRDefault="00B717BA" w:rsidP="00B717BA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</w:pPr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A database of beneficiaries (suppliers, employees) is maintained on your PC.</w:t>
            </w:r>
          </w:p>
        </w:tc>
        <w:tc>
          <w:tcPr>
            <w:tcW w:w="4819" w:type="dxa"/>
            <w:shd w:val="clear" w:color="auto" w:fill="FFFFFF"/>
          </w:tcPr>
          <w:p w:rsidR="00B717BA" w:rsidRPr="00B717BA" w:rsidRDefault="00B717BA" w:rsidP="00B717BA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</w:pP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База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даних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бенефіціарів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 (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постачальників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,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працівників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)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зберігається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на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вашому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комп'ютері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.</w:t>
            </w:r>
          </w:p>
        </w:tc>
      </w:tr>
      <w:tr w:rsidR="00B717BA" w:rsidRPr="00B717BA" w:rsidTr="006E431A">
        <w:tc>
          <w:tcPr>
            <w:tcW w:w="4448" w:type="dxa"/>
            <w:shd w:val="clear" w:color="auto" w:fill="FFFFFF"/>
          </w:tcPr>
          <w:p w:rsidR="00B717BA" w:rsidRPr="00B717BA" w:rsidRDefault="00B717BA" w:rsidP="00B717BA">
            <w:pPr>
              <w:spacing w:after="0" w:line="240" w:lineRule="auto"/>
              <w:rPr>
                <w:rFonts w:eastAsia="Arial Unicode MS" w:cs="Arial Unicode MS"/>
                <w:color w:val="000000" w:themeColor="text1"/>
                <w:sz w:val="24"/>
                <w:szCs w:val="24"/>
              </w:rPr>
            </w:pPr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The key to priority payments</w:t>
            </w:r>
          </w:p>
        </w:tc>
        <w:tc>
          <w:tcPr>
            <w:tcW w:w="4819" w:type="dxa"/>
            <w:shd w:val="clear" w:color="auto" w:fill="FFFFFF"/>
          </w:tcPr>
          <w:p w:rsidR="00B717BA" w:rsidRPr="00B717BA" w:rsidRDefault="00B717BA" w:rsidP="00B717BA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</w:pP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Ключ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до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пріоритетних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платежів</w:t>
            </w:r>
            <w:proofErr w:type="spellEnd"/>
          </w:p>
        </w:tc>
      </w:tr>
      <w:tr w:rsidR="00B717BA" w:rsidRPr="00B717BA" w:rsidTr="006E431A">
        <w:tc>
          <w:tcPr>
            <w:tcW w:w="4448" w:type="dxa"/>
            <w:shd w:val="clear" w:color="auto" w:fill="FFFFFF"/>
          </w:tcPr>
          <w:p w:rsidR="00B717BA" w:rsidRPr="00B717BA" w:rsidRDefault="00B717BA" w:rsidP="00B717BA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</w:pPr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When you have urgent payments to make, the CHAPS function enables you to send funds for same-day credit subject to a cut-off time of 3pm.</w:t>
            </w:r>
          </w:p>
        </w:tc>
        <w:tc>
          <w:tcPr>
            <w:tcW w:w="4819" w:type="dxa"/>
            <w:shd w:val="clear" w:color="auto" w:fill="FFFFFF"/>
          </w:tcPr>
          <w:p w:rsidR="00B717BA" w:rsidRPr="00B717BA" w:rsidRDefault="00B717BA" w:rsidP="00B717BA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</w:pP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Коли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вам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треба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виконати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терміновий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платіж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,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функція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 CHAPS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дозволяє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відправляти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кошти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на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кредит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 в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той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же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день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до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 3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години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 xml:space="preserve"> </w:t>
            </w:r>
            <w:proofErr w:type="spellStart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дня</w:t>
            </w:r>
            <w:proofErr w:type="spellEnd"/>
            <w:r w:rsidRPr="00B717BA">
              <w:rPr>
                <w:rFonts w:ascii="Arial Unicode MS" w:eastAsia="Arial Unicode MS" w:hAnsi="Arial Unicode MS" w:cs="Arial Unicode MS"/>
                <w:color w:val="000000" w:themeColor="text1"/>
                <w:szCs w:val="24"/>
              </w:rPr>
              <w:t>.</w:t>
            </w:r>
          </w:p>
        </w:tc>
      </w:tr>
    </w:tbl>
    <w:p w:rsidR="0091789C" w:rsidRDefault="0091789C">
      <w:bookmarkStart w:id="0" w:name="_GoBack"/>
      <w:bookmarkEnd w:id="0"/>
    </w:p>
    <w:sectPr w:rsidR="0091789C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17BA"/>
    <w:rsid w:val="0091789C"/>
    <w:rsid w:val="00B71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9A93FD6-8D4A-42A6-9F06-C669C67C1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908</Words>
  <Characters>5177</Characters>
  <Application>Microsoft Office Word</Application>
  <DocSecurity>0</DocSecurity>
  <Lines>43</Lines>
  <Paragraphs>12</Paragraphs>
  <ScaleCrop>false</ScaleCrop>
  <Company/>
  <LinksUpToDate>false</LinksUpToDate>
  <CharactersWithSpaces>6073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 Бойко</dc:creator>
  <cp:keywords/>
  <dc:description/>
  <cp:lastModifiedBy>Юля Бойко</cp:lastModifiedBy>
  <cp:revision>1</cp:revision>
  <dcterms:created xsi:type="dcterms:W3CDTF">2019-03-28T22:05:00Z</dcterms:created>
  <dcterms:modified xsi:type="dcterms:W3CDTF">2019-03-28T22:07:00Z</dcterms:modified>
</cp:coreProperties>
</file>