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F96" w:rsidRPr="00592561" w:rsidRDefault="00D04C83" w:rsidP="00D04C83">
      <w:pPr>
        <w:jc w:val="center"/>
        <w:rPr>
          <w:b/>
          <w:lang w:val="en-US"/>
        </w:rPr>
      </w:pPr>
      <w:r w:rsidRPr="00592561">
        <w:rPr>
          <w:b/>
          <w:lang w:val="en-US"/>
        </w:rPr>
        <w:t>TCFD report: what it is and why it matters</w:t>
      </w:r>
    </w:p>
    <w:p w:rsidR="00287A39" w:rsidRDefault="001D4F72" w:rsidP="00287A39">
      <w:pPr>
        <w:spacing w:after="0" w:line="360" w:lineRule="auto"/>
        <w:ind w:firstLine="709"/>
        <w:jc w:val="both"/>
        <w:rPr>
          <w:lang w:val="en-US"/>
        </w:rPr>
      </w:pPr>
      <w:r>
        <w:rPr>
          <w:lang w:val="en-US"/>
        </w:rPr>
        <w:t>Nowadays it is hard to overestimate the role of climate change in the global economy. We all know how business companies</w:t>
      </w:r>
      <w:r w:rsidR="00290D3F">
        <w:rPr>
          <w:lang w:val="en-US"/>
        </w:rPr>
        <w:t xml:space="preserve"> and factories influence on ecological circumstances (global warming, harmful substances etc.). </w:t>
      </w:r>
      <w:proofErr w:type="gramStart"/>
      <w:r w:rsidR="00290D3F">
        <w:rPr>
          <w:lang w:val="en-US"/>
        </w:rPr>
        <w:t>But</w:t>
      </w:r>
      <w:proofErr w:type="gramEnd"/>
      <w:r w:rsidR="00290D3F">
        <w:rPr>
          <w:lang w:val="en-US"/>
        </w:rPr>
        <w:t xml:space="preserve"> are we capable of estimating</w:t>
      </w:r>
      <w:r>
        <w:rPr>
          <w:lang w:val="en-US"/>
        </w:rPr>
        <w:t xml:space="preserve"> </w:t>
      </w:r>
      <w:r w:rsidR="00290D3F">
        <w:rPr>
          <w:lang w:val="en-US"/>
        </w:rPr>
        <w:t xml:space="preserve">how the climate change itself affect </w:t>
      </w:r>
      <w:r w:rsidR="00E36A51">
        <w:rPr>
          <w:lang w:val="en-US"/>
        </w:rPr>
        <w:t>the profits and allocation of capital? What risks it creat</w:t>
      </w:r>
      <w:r w:rsidR="00287A39">
        <w:rPr>
          <w:lang w:val="en-US"/>
        </w:rPr>
        <w:t>es and how to deal with them?</w:t>
      </w:r>
      <w:r w:rsidR="003B3624">
        <w:rPr>
          <w:lang w:val="en-US"/>
        </w:rPr>
        <w:t xml:space="preserve"> </w:t>
      </w:r>
    </w:p>
    <w:p w:rsidR="004B0231" w:rsidRDefault="003B3624" w:rsidP="004B0231">
      <w:pPr>
        <w:spacing w:after="0" w:line="360" w:lineRule="auto"/>
        <w:ind w:firstLine="709"/>
        <w:jc w:val="both"/>
        <w:rPr>
          <w:lang w:val="en-US"/>
        </w:rPr>
      </w:pPr>
      <w:r>
        <w:rPr>
          <w:lang w:val="en-US"/>
        </w:rPr>
        <w:t xml:space="preserve">The first serious attempt to answer these questions </w:t>
      </w:r>
      <w:proofErr w:type="gramStart"/>
      <w:r>
        <w:rPr>
          <w:lang w:val="en-US"/>
        </w:rPr>
        <w:t>was made</w:t>
      </w:r>
      <w:proofErr w:type="gramEnd"/>
      <w:r>
        <w:rPr>
          <w:lang w:val="en-US"/>
        </w:rPr>
        <w:t xml:space="preserve"> in 2015, </w:t>
      </w:r>
      <w:r w:rsidR="00443C51">
        <w:rPr>
          <w:lang w:val="en-US"/>
        </w:rPr>
        <w:t>when G20 Finance Ministers and Central Bank Governors asked the Financial S</w:t>
      </w:r>
      <w:r w:rsidR="001F18A1">
        <w:rPr>
          <w:lang w:val="en-US"/>
        </w:rPr>
        <w:t>tability asked the Financial Stability Board (FSB) to review how the financial sector can take account of climate-related issues</w:t>
      </w:r>
      <w:r w:rsidR="00D86E9D">
        <w:rPr>
          <w:lang w:val="en-US"/>
        </w:rPr>
        <w:t>. It required taking</w:t>
      </w:r>
      <w:r w:rsidR="004B0231">
        <w:rPr>
          <w:lang w:val="en-US"/>
        </w:rPr>
        <w:t xml:space="preserve"> two aspects of this problem </w:t>
      </w:r>
      <w:r w:rsidR="00D86E9D">
        <w:rPr>
          <w:lang w:val="en-US"/>
        </w:rPr>
        <w:t>in</w:t>
      </w:r>
      <w:r w:rsidR="004B0231">
        <w:rPr>
          <w:lang w:val="en-US"/>
        </w:rPr>
        <w:t>to</w:t>
      </w:r>
      <w:r w:rsidR="00D86E9D">
        <w:rPr>
          <w:lang w:val="en-US"/>
        </w:rPr>
        <w:t xml:space="preserve"> consideration</w:t>
      </w:r>
      <w:r w:rsidR="004B0231">
        <w:rPr>
          <w:lang w:val="en-US"/>
        </w:rPr>
        <w:t>:</w:t>
      </w:r>
    </w:p>
    <w:p w:rsidR="00D86E9D" w:rsidRDefault="00B42D83" w:rsidP="009133AB">
      <w:pPr>
        <w:pStyle w:val="a3"/>
        <w:numPr>
          <w:ilvl w:val="0"/>
          <w:numId w:val="5"/>
        </w:numPr>
        <w:spacing w:after="0" w:line="360" w:lineRule="auto"/>
        <w:ind w:left="0" w:firstLine="709"/>
        <w:jc w:val="both"/>
        <w:rPr>
          <w:lang w:val="en-US"/>
        </w:rPr>
      </w:pPr>
      <w:r w:rsidRPr="004B0231">
        <w:rPr>
          <w:lang w:val="en-US"/>
        </w:rPr>
        <w:t>Actual risks created by climate change</w:t>
      </w:r>
      <w:r w:rsidR="004B0231" w:rsidRPr="004B0231">
        <w:rPr>
          <w:lang w:val="en-US"/>
        </w:rPr>
        <w:t xml:space="preserve"> (for instance, rising sea levels</w:t>
      </w:r>
      <w:r w:rsidR="004B0231">
        <w:rPr>
          <w:lang w:val="en-US"/>
        </w:rPr>
        <w:t xml:space="preserve"> for companies located in the coastal zone and, therefore, especially vulnerable in case of natural disasters</w:t>
      </w:r>
      <w:r w:rsidR="004B0231" w:rsidRPr="004B0231">
        <w:rPr>
          <w:lang w:val="en-US"/>
        </w:rPr>
        <w:t>)</w:t>
      </w:r>
      <w:r w:rsidR="004B0231">
        <w:rPr>
          <w:lang w:val="en-US"/>
        </w:rPr>
        <w:t>;</w:t>
      </w:r>
    </w:p>
    <w:p w:rsidR="009133AB" w:rsidRDefault="00B71400" w:rsidP="009133AB">
      <w:pPr>
        <w:pStyle w:val="a3"/>
        <w:numPr>
          <w:ilvl w:val="0"/>
          <w:numId w:val="5"/>
        </w:numPr>
        <w:spacing w:after="0" w:line="360" w:lineRule="auto"/>
        <w:ind w:left="0" w:firstLine="709"/>
        <w:jc w:val="both"/>
        <w:rPr>
          <w:lang w:val="en-US"/>
        </w:rPr>
      </w:pPr>
      <w:r>
        <w:rPr>
          <w:lang w:val="en-US"/>
        </w:rPr>
        <w:t>Risks of the transition to a new type of low-carbon economy (which is, especially, relevant, for example, for representatives of the oil industry)</w:t>
      </w:r>
      <w:r w:rsidR="009133AB">
        <w:rPr>
          <w:lang w:val="en-US"/>
        </w:rPr>
        <w:t>.</w:t>
      </w:r>
    </w:p>
    <w:p w:rsidR="00BF467B" w:rsidRDefault="009133AB" w:rsidP="009133AB">
      <w:pPr>
        <w:pStyle w:val="a3"/>
        <w:spacing w:after="0" w:line="360" w:lineRule="auto"/>
        <w:ind w:left="0" w:firstLine="709"/>
        <w:jc w:val="both"/>
        <w:rPr>
          <w:lang w:val="en-US"/>
        </w:rPr>
      </w:pPr>
      <w:r>
        <w:rPr>
          <w:lang w:val="en-US"/>
        </w:rPr>
        <w:t>That is why the FSB established the Task Force on Climate-related Financial Disclosures (TCFD or Task Force). The main aim was to develop recommendations for more effective climate-related dis</w:t>
      </w:r>
      <w:r w:rsidR="00BF467B">
        <w:rPr>
          <w:lang w:val="en-US"/>
        </w:rPr>
        <w:t xml:space="preserve">closures that could not only promote </w:t>
      </w:r>
      <w:proofErr w:type="gramStart"/>
      <w:r w:rsidR="00BF467B">
        <w:rPr>
          <w:lang w:val="en-US"/>
        </w:rPr>
        <w:t>more informed investment</w:t>
      </w:r>
      <w:proofErr w:type="gramEnd"/>
      <w:r w:rsidR="00BF467B">
        <w:rPr>
          <w:lang w:val="en-US"/>
        </w:rPr>
        <w:t>, credit and insurance underwriting decisions, but also enable stakeholders to understand better the concentrations of carbon-related assets in the financial sector and the financial system’s exposures to risks related to climate.</w:t>
      </w:r>
    </w:p>
    <w:p w:rsidR="00D12C04" w:rsidRDefault="002A0C01" w:rsidP="002A0C01">
      <w:pPr>
        <w:spacing w:after="0" w:line="360" w:lineRule="auto"/>
        <w:ind w:firstLine="709"/>
        <w:jc w:val="both"/>
        <w:rPr>
          <w:lang w:val="en-US"/>
        </w:rPr>
      </w:pPr>
      <w:r>
        <w:rPr>
          <w:lang w:val="en-US"/>
        </w:rPr>
        <w:t xml:space="preserve">By </w:t>
      </w:r>
      <w:r w:rsidR="003A1208">
        <w:rPr>
          <w:lang w:val="en-US"/>
        </w:rPr>
        <w:t>2017, the TCF</w:t>
      </w:r>
      <w:r>
        <w:rPr>
          <w:lang w:val="en-US"/>
        </w:rPr>
        <w:t>D released climate-related financ</w:t>
      </w:r>
      <w:r w:rsidR="00D12C04">
        <w:rPr>
          <w:lang w:val="en-US"/>
        </w:rPr>
        <w:t xml:space="preserve">ial disclosure recommendations, designed to help companies provide better information to support informed capital allocation. These recommendations are based on four areas that outline core elements of how companies </w:t>
      </w:r>
      <w:proofErr w:type="gramStart"/>
      <w:r w:rsidR="00D12C04">
        <w:rPr>
          <w:lang w:val="en-US"/>
        </w:rPr>
        <w:t>operate:</w:t>
      </w:r>
      <w:proofErr w:type="gramEnd"/>
      <w:r w:rsidR="00D12C04">
        <w:rPr>
          <w:lang w:val="en-US"/>
        </w:rPr>
        <w:t xml:space="preserve"> governance, strategy, risk management and metrics and targets. These spheres are interconnected and include 11 disclosure recommendations.</w:t>
      </w:r>
    </w:p>
    <w:p w:rsidR="00D12C04" w:rsidRDefault="00D12C04" w:rsidP="002A0C01">
      <w:pPr>
        <w:spacing w:after="0" w:line="360" w:lineRule="auto"/>
        <w:ind w:firstLine="709"/>
        <w:jc w:val="both"/>
        <w:rPr>
          <w:lang w:val="en-US"/>
        </w:rPr>
      </w:pPr>
      <w:r>
        <w:rPr>
          <w:lang w:val="en-US"/>
        </w:rPr>
        <w:t>In governance, companies should:</w:t>
      </w:r>
    </w:p>
    <w:p w:rsidR="00D12C04" w:rsidRDefault="00D12C04" w:rsidP="00D12C04">
      <w:pPr>
        <w:pStyle w:val="a3"/>
        <w:numPr>
          <w:ilvl w:val="0"/>
          <w:numId w:val="6"/>
        </w:numPr>
        <w:spacing w:after="0" w:line="360" w:lineRule="auto"/>
        <w:ind w:left="0" w:firstLine="709"/>
        <w:jc w:val="both"/>
        <w:rPr>
          <w:lang w:val="en-US"/>
        </w:rPr>
      </w:pPr>
      <w:r>
        <w:rPr>
          <w:lang w:val="en-US"/>
        </w:rPr>
        <w:t>describe the board’s oversight of climate-related risks and opportunities</w:t>
      </w:r>
    </w:p>
    <w:p w:rsidR="00D12C04" w:rsidRDefault="00D12C04" w:rsidP="00D12C04">
      <w:pPr>
        <w:pStyle w:val="a3"/>
        <w:numPr>
          <w:ilvl w:val="0"/>
          <w:numId w:val="6"/>
        </w:numPr>
        <w:spacing w:after="0" w:line="360" w:lineRule="auto"/>
        <w:ind w:left="0" w:firstLine="709"/>
        <w:jc w:val="both"/>
        <w:rPr>
          <w:lang w:val="en-US"/>
        </w:rPr>
      </w:pPr>
      <w:proofErr w:type="gramStart"/>
      <w:r>
        <w:rPr>
          <w:lang w:val="en-US"/>
        </w:rPr>
        <w:lastRenderedPageBreak/>
        <w:t>describe</w:t>
      </w:r>
      <w:proofErr w:type="gramEnd"/>
      <w:r>
        <w:rPr>
          <w:lang w:val="en-US"/>
        </w:rPr>
        <w:t xml:space="preserve"> management’s </w:t>
      </w:r>
      <w:r w:rsidR="005E7E38">
        <w:rPr>
          <w:lang w:val="en-US"/>
        </w:rPr>
        <w:t>role in assessing and managing climate-related risks and opportunities.</w:t>
      </w:r>
    </w:p>
    <w:p w:rsidR="005E7E38" w:rsidRDefault="005E7E38" w:rsidP="005E7E38">
      <w:pPr>
        <w:pStyle w:val="a3"/>
        <w:spacing w:after="0" w:line="360" w:lineRule="auto"/>
        <w:ind w:left="0" w:firstLine="709"/>
        <w:jc w:val="both"/>
        <w:rPr>
          <w:lang w:val="en-US"/>
        </w:rPr>
      </w:pPr>
      <w:r>
        <w:rPr>
          <w:lang w:val="en-US"/>
        </w:rPr>
        <w:t>Recommendations in strategy are:</w:t>
      </w:r>
    </w:p>
    <w:p w:rsidR="005E7E38" w:rsidRPr="005E7E38" w:rsidRDefault="005E7E38" w:rsidP="005E7E38">
      <w:pPr>
        <w:pStyle w:val="a3"/>
        <w:numPr>
          <w:ilvl w:val="0"/>
          <w:numId w:val="6"/>
        </w:numPr>
        <w:spacing w:after="0" w:line="360" w:lineRule="auto"/>
        <w:ind w:left="0" w:firstLine="709"/>
        <w:jc w:val="both"/>
        <w:rPr>
          <w:lang w:val="en-US"/>
        </w:rPr>
      </w:pPr>
      <w:r w:rsidRPr="005E7E38">
        <w:rPr>
          <w:lang w:val="en-US"/>
        </w:rPr>
        <w:t>describe the climate-related risks and opportunities the organisation has identified over the short, medium, and long term</w:t>
      </w:r>
    </w:p>
    <w:p w:rsidR="005E7E38" w:rsidRPr="005E7E38" w:rsidRDefault="005E7E38" w:rsidP="005E7E38">
      <w:pPr>
        <w:pStyle w:val="a3"/>
        <w:numPr>
          <w:ilvl w:val="0"/>
          <w:numId w:val="6"/>
        </w:numPr>
        <w:spacing w:after="0" w:line="360" w:lineRule="auto"/>
        <w:ind w:left="0" w:firstLine="709"/>
        <w:jc w:val="both"/>
        <w:rPr>
          <w:lang w:val="en-US"/>
        </w:rPr>
      </w:pPr>
      <w:r w:rsidRPr="005E7E38">
        <w:rPr>
          <w:lang w:val="en-US"/>
        </w:rPr>
        <w:t xml:space="preserve">describe the impact of climate-related risks and opportunities on the </w:t>
      </w:r>
      <w:proofErr w:type="spellStart"/>
      <w:r w:rsidRPr="005E7E38">
        <w:rPr>
          <w:lang w:val="en-US"/>
        </w:rPr>
        <w:t>organisation’s</w:t>
      </w:r>
      <w:proofErr w:type="spellEnd"/>
      <w:r w:rsidRPr="005E7E38">
        <w:rPr>
          <w:lang w:val="en-US"/>
        </w:rPr>
        <w:t xml:space="preserve"> businesses, strategy, and financial planning</w:t>
      </w:r>
    </w:p>
    <w:p w:rsidR="005E7E38" w:rsidRDefault="005E7E38" w:rsidP="005E7E38">
      <w:pPr>
        <w:pStyle w:val="a3"/>
        <w:numPr>
          <w:ilvl w:val="0"/>
          <w:numId w:val="6"/>
        </w:numPr>
        <w:spacing w:after="0" w:line="360" w:lineRule="auto"/>
        <w:ind w:left="0" w:firstLine="709"/>
        <w:jc w:val="both"/>
        <w:rPr>
          <w:lang w:val="en-US"/>
        </w:rPr>
      </w:pPr>
      <w:proofErr w:type="gramStart"/>
      <w:r w:rsidRPr="005E7E38">
        <w:rPr>
          <w:lang w:val="en-US"/>
        </w:rPr>
        <w:t>describe</w:t>
      </w:r>
      <w:proofErr w:type="gramEnd"/>
      <w:r w:rsidRPr="005E7E38">
        <w:rPr>
          <w:lang w:val="en-US"/>
        </w:rPr>
        <w:t xml:space="preserve"> the resilience of the </w:t>
      </w:r>
      <w:proofErr w:type="spellStart"/>
      <w:r w:rsidRPr="005E7E38">
        <w:rPr>
          <w:lang w:val="en-US"/>
        </w:rPr>
        <w:t>organisation’s</w:t>
      </w:r>
      <w:proofErr w:type="spellEnd"/>
      <w:r w:rsidRPr="005E7E38">
        <w:rPr>
          <w:lang w:val="en-US"/>
        </w:rPr>
        <w:t xml:space="preserve"> strategy, taking into consideration different climate-related scenarios, including a 2°C or lower scenario.</w:t>
      </w:r>
    </w:p>
    <w:p w:rsidR="005E7E38" w:rsidRDefault="005E7E38" w:rsidP="005E7E38">
      <w:pPr>
        <w:pStyle w:val="a3"/>
        <w:spacing w:after="0" w:line="360" w:lineRule="auto"/>
        <w:ind w:left="0" w:firstLine="709"/>
        <w:jc w:val="both"/>
        <w:rPr>
          <w:lang w:val="en-US"/>
        </w:rPr>
      </w:pPr>
      <w:r>
        <w:rPr>
          <w:lang w:val="en-US"/>
        </w:rPr>
        <w:t xml:space="preserve">In risk management: </w:t>
      </w:r>
    </w:p>
    <w:p w:rsidR="005E7E38" w:rsidRPr="005E7E38" w:rsidRDefault="005E7E38" w:rsidP="005E7E38">
      <w:pPr>
        <w:pStyle w:val="a3"/>
        <w:numPr>
          <w:ilvl w:val="0"/>
          <w:numId w:val="6"/>
        </w:numPr>
        <w:spacing w:after="0" w:line="360" w:lineRule="auto"/>
        <w:ind w:left="0" w:firstLine="709"/>
        <w:jc w:val="both"/>
        <w:rPr>
          <w:lang w:val="en-US"/>
        </w:rPr>
      </w:pPr>
      <w:r w:rsidRPr="005E7E38">
        <w:rPr>
          <w:lang w:val="en-US"/>
        </w:rPr>
        <w:t xml:space="preserve">describe the </w:t>
      </w:r>
      <w:proofErr w:type="spellStart"/>
      <w:r w:rsidRPr="005E7E38">
        <w:rPr>
          <w:lang w:val="en-US"/>
        </w:rPr>
        <w:t>organisation’s</w:t>
      </w:r>
      <w:proofErr w:type="spellEnd"/>
      <w:r w:rsidRPr="005E7E38">
        <w:rPr>
          <w:lang w:val="en-US"/>
        </w:rPr>
        <w:t xml:space="preserve"> processes for identifying and assessing climate-related risks</w:t>
      </w:r>
    </w:p>
    <w:p w:rsidR="005E7E38" w:rsidRPr="005E7E38" w:rsidRDefault="005E7E38" w:rsidP="005E7E38">
      <w:pPr>
        <w:pStyle w:val="a3"/>
        <w:numPr>
          <w:ilvl w:val="0"/>
          <w:numId w:val="6"/>
        </w:numPr>
        <w:spacing w:after="0" w:line="360" w:lineRule="auto"/>
        <w:ind w:left="0" w:firstLine="709"/>
        <w:jc w:val="both"/>
        <w:rPr>
          <w:lang w:val="en-US"/>
        </w:rPr>
      </w:pPr>
      <w:r w:rsidRPr="005E7E38">
        <w:rPr>
          <w:lang w:val="en-US"/>
        </w:rPr>
        <w:t xml:space="preserve">describe the </w:t>
      </w:r>
      <w:proofErr w:type="spellStart"/>
      <w:r w:rsidRPr="005E7E38">
        <w:rPr>
          <w:lang w:val="en-US"/>
        </w:rPr>
        <w:t>organisation’s</w:t>
      </w:r>
      <w:proofErr w:type="spellEnd"/>
      <w:r w:rsidRPr="005E7E38">
        <w:rPr>
          <w:lang w:val="en-US"/>
        </w:rPr>
        <w:t xml:space="preserve"> processes for managing climate-related risks</w:t>
      </w:r>
    </w:p>
    <w:p w:rsidR="005E7E38" w:rsidRDefault="005E7E38" w:rsidP="005E7E38">
      <w:pPr>
        <w:pStyle w:val="a3"/>
        <w:numPr>
          <w:ilvl w:val="0"/>
          <w:numId w:val="6"/>
        </w:numPr>
        <w:spacing w:after="0" w:line="360" w:lineRule="auto"/>
        <w:ind w:left="0" w:firstLine="709"/>
        <w:jc w:val="both"/>
        <w:rPr>
          <w:lang w:val="en-US"/>
        </w:rPr>
      </w:pPr>
      <w:proofErr w:type="gramStart"/>
      <w:r w:rsidRPr="005E7E38">
        <w:rPr>
          <w:lang w:val="en-US"/>
        </w:rPr>
        <w:t>describe</w:t>
      </w:r>
      <w:proofErr w:type="gramEnd"/>
      <w:r w:rsidRPr="005E7E38">
        <w:rPr>
          <w:lang w:val="en-US"/>
        </w:rPr>
        <w:t xml:space="preserve"> how processes for identifying, assessing, and managing climate-related risks are integrated into the </w:t>
      </w:r>
      <w:proofErr w:type="spellStart"/>
      <w:r w:rsidRPr="005E7E38">
        <w:rPr>
          <w:lang w:val="en-US"/>
        </w:rPr>
        <w:t>organisation’s</w:t>
      </w:r>
      <w:proofErr w:type="spellEnd"/>
      <w:r w:rsidRPr="005E7E38">
        <w:rPr>
          <w:lang w:val="en-US"/>
        </w:rPr>
        <w:t xml:space="preserve"> overall risk management.</w:t>
      </w:r>
    </w:p>
    <w:p w:rsidR="005E7E38" w:rsidRDefault="005E7E38" w:rsidP="005E7E38">
      <w:pPr>
        <w:pStyle w:val="a3"/>
        <w:spacing w:after="0" w:line="360" w:lineRule="auto"/>
        <w:ind w:left="709"/>
        <w:jc w:val="both"/>
        <w:rPr>
          <w:lang w:val="en-US"/>
        </w:rPr>
      </w:pPr>
      <w:r>
        <w:rPr>
          <w:lang w:val="en-US"/>
        </w:rPr>
        <w:t>In metrics and targets:</w:t>
      </w:r>
    </w:p>
    <w:p w:rsidR="005E7E38" w:rsidRPr="005E7E38" w:rsidRDefault="005E7E38" w:rsidP="005E7E38">
      <w:pPr>
        <w:pStyle w:val="a3"/>
        <w:numPr>
          <w:ilvl w:val="0"/>
          <w:numId w:val="7"/>
        </w:numPr>
        <w:spacing w:after="0" w:line="360" w:lineRule="auto"/>
        <w:ind w:left="0" w:firstLine="709"/>
        <w:jc w:val="both"/>
        <w:rPr>
          <w:lang w:val="en-US"/>
        </w:rPr>
      </w:pPr>
      <w:r w:rsidRPr="005E7E38">
        <w:rPr>
          <w:lang w:val="en-US"/>
        </w:rPr>
        <w:t>disclose the metrics used by the organisation to assess climate-related risks and opportunities in line with its strategy and risk management process</w:t>
      </w:r>
    </w:p>
    <w:p w:rsidR="005E7E38" w:rsidRPr="005E7E38" w:rsidRDefault="005E7E38" w:rsidP="005E7E38">
      <w:pPr>
        <w:pStyle w:val="a3"/>
        <w:numPr>
          <w:ilvl w:val="0"/>
          <w:numId w:val="7"/>
        </w:numPr>
        <w:spacing w:after="0" w:line="360" w:lineRule="auto"/>
        <w:ind w:left="0" w:firstLine="709"/>
        <w:jc w:val="both"/>
        <w:rPr>
          <w:lang w:val="en-US"/>
        </w:rPr>
      </w:pPr>
      <w:r w:rsidRPr="005E7E38">
        <w:rPr>
          <w:lang w:val="en-US"/>
        </w:rPr>
        <w:t>disclose Scope 1, Scope 2, and, if appropriate, Scope 3 greenhouse gas (GHG) emissions, and the related risks</w:t>
      </w:r>
    </w:p>
    <w:p w:rsidR="005E7E38" w:rsidRDefault="005E7E38" w:rsidP="005E7E38">
      <w:pPr>
        <w:pStyle w:val="a3"/>
        <w:numPr>
          <w:ilvl w:val="0"/>
          <w:numId w:val="7"/>
        </w:numPr>
        <w:spacing w:after="0" w:line="360" w:lineRule="auto"/>
        <w:ind w:left="0" w:firstLine="709"/>
        <w:jc w:val="both"/>
        <w:rPr>
          <w:lang w:val="en-US"/>
        </w:rPr>
      </w:pPr>
      <w:proofErr w:type="gramStart"/>
      <w:r w:rsidRPr="005E7E38">
        <w:rPr>
          <w:lang w:val="en-US"/>
        </w:rPr>
        <w:t>describe</w:t>
      </w:r>
      <w:proofErr w:type="gramEnd"/>
      <w:r w:rsidRPr="005E7E38">
        <w:rPr>
          <w:lang w:val="en-US"/>
        </w:rPr>
        <w:t xml:space="preserve"> the targets used by the organisation to manage climate-related risks and opportunities and performance against targets.</w:t>
      </w:r>
    </w:p>
    <w:p w:rsidR="005E7E38" w:rsidRDefault="005E7E38" w:rsidP="005E7E38">
      <w:pPr>
        <w:pStyle w:val="a3"/>
        <w:spacing w:after="0" w:line="360" w:lineRule="auto"/>
        <w:ind w:left="0" w:firstLine="709"/>
        <w:jc w:val="both"/>
        <w:rPr>
          <w:lang w:val="en-US"/>
        </w:rPr>
      </w:pPr>
      <w:r>
        <w:rPr>
          <w:lang w:val="en-US"/>
        </w:rPr>
        <w:t xml:space="preserve">The main potential benefits associated with implementing the </w:t>
      </w:r>
      <w:r w:rsidR="00EB4D80">
        <w:rPr>
          <w:lang w:val="en-US"/>
        </w:rPr>
        <w:t>Task Force’s recommendations include:</w:t>
      </w:r>
    </w:p>
    <w:p w:rsidR="00EB4D80" w:rsidRDefault="00EB4D80" w:rsidP="00EB4D80">
      <w:pPr>
        <w:pStyle w:val="a3"/>
        <w:numPr>
          <w:ilvl w:val="0"/>
          <w:numId w:val="7"/>
        </w:numPr>
        <w:spacing w:after="0" w:line="360" w:lineRule="auto"/>
        <w:ind w:left="0" w:firstLine="709"/>
        <w:jc w:val="both"/>
        <w:rPr>
          <w:lang w:val="en-US"/>
        </w:rPr>
      </w:pPr>
      <w:r w:rsidRPr="00EB4D80">
        <w:rPr>
          <w:lang w:val="en-US"/>
        </w:rPr>
        <w:t>easier or better access to capital</w:t>
      </w:r>
      <w:r>
        <w:rPr>
          <w:lang w:val="en-US"/>
        </w:rPr>
        <w:t xml:space="preserve"> by increasing investors’ and lenders’ confidence that the company’s climate-related risks are appropriately assessed and managed;</w:t>
      </w:r>
    </w:p>
    <w:p w:rsidR="00EB4D80" w:rsidRDefault="00EB4D80" w:rsidP="00EB4D80">
      <w:pPr>
        <w:pStyle w:val="a3"/>
        <w:numPr>
          <w:ilvl w:val="0"/>
          <w:numId w:val="7"/>
        </w:numPr>
        <w:spacing w:after="0" w:line="360" w:lineRule="auto"/>
        <w:ind w:left="0" w:firstLine="709"/>
        <w:jc w:val="both"/>
        <w:rPr>
          <w:lang w:val="en-US"/>
        </w:rPr>
      </w:pPr>
      <w:r>
        <w:rPr>
          <w:lang w:val="en-US"/>
        </w:rPr>
        <w:t>more effectively meeting existing disclosure requirements to report material information in financial filings:</w:t>
      </w:r>
    </w:p>
    <w:p w:rsidR="00EB4D80" w:rsidRDefault="00EB4D80" w:rsidP="00EB4D80">
      <w:pPr>
        <w:pStyle w:val="a3"/>
        <w:numPr>
          <w:ilvl w:val="0"/>
          <w:numId w:val="7"/>
        </w:numPr>
        <w:spacing w:after="0" w:line="360" w:lineRule="auto"/>
        <w:ind w:left="0" w:firstLine="709"/>
        <w:jc w:val="both"/>
        <w:rPr>
          <w:lang w:val="en-US"/>
        </w:rPr>
      </w:pPr>
      <w:r>
        <w:rPr>
          <w:lang w:val="en-US"/>
        </w:rPr>
        <w:lastRenderedPageBreak/>
        <w:t>increased awareness and understanding of climate-related risks and opportunities within the company, resulting in better risk management and more informed strategic planning;</w:t>
      </w:r>
    </w:p>
    <w:p w:rsidR="00EB4D80" w:rsidRDefault="00EB4D80" w:rsidP="00EB4D80">
      <w:pPr>
        <w:pStyle w:val="a3"/>
        <w:numPr>
          <w:ilvl w:val="0"/>
          <w:numId w:val="7"/>
        </w:numPr>
        <w:spacing w:after="0" w:line="360" w:lineRule="auto"/>
        <w:ind w:left="0" w:firstLine="709"/>
        <w:jc w:val="both"/>
        <w:rPr>
          <w:lang w:val="en-US"/>
        </w:rPr>
      </w:pPr>
      <w:proofErr w:type="gramStart"/>
      <w:r w:rsidRPr="00EB4D80">
        <w:rPr>
          <w:lang w:val="en-US"/>
        </w:rPr>
        <w:t>proactively</w:t>
      </w:r>
      <w:proofErr w:type="gramEnd"/>
      <w:r w:rsidRPr="00EB4D80">
        <w:rPr>
          <w:lang w:val="en-US"/>
        </w:rPr>
        <w:t xml:space="preserve"> addressing investors’</w:t>
      </w:r>
      <w:r w:rsidRPr="00EB4D80">
        <w:rPr>
          <w:lang w:val="en-US"/>
        </w:rPr>
        <w:t xml:space="preserve"> </w:t>
      </w:r>
      <w:r w:rsidRPr="00EB4D80">
        <w:rPr>
          <w:lang w:val="en-US"/>
        </w:rPr>
        <w:t>demand for climate-related</w:t>
      </w:r>
      <w:r w:rsidRPr="00EB4D80">
        <w:rPr>
          <w:lang w:val="en-US"/>
        </w:rPr>
        <w:t xml:space="preserve"> </w:t>
      </w:r>
      <w:r w:rsidRPr="00EB4D80">
        <w:rPr>
          <w:lang w:val="en-US"/>
        </w:rPr>
        <w:t>information in a framework that</w:t>
      </w:r>
      <w:r w:rsidRPr="00EB4D80">
        <w:rPr>
          <w:lang w:val="en-US"/>
        </w:rPr>
        <w:t xml:space="preserve"> </w:t>
      </w:r>
      <w:r w:rsidRPr="00EB4D80">
        <w:rPr>
          <w:lang w:val="en-US"/>
        </w:rPr>
        <w:t>investors are increasingly asking</w:t>
      </w:r>
      <w:r w:rsidRPr="00EB4D80">
        <w:rPr>
          <w:lang w:val="en-US"/>
        </w:rPr>
        <w:t xml:space="preserve"> </w:t>
      </w:r>
      <w:r w:rsidRPr="00EB4D80">
        <w:rPr>
          <w:lang w:val="en-US"/>
        </w:rPr>
        <w:t>for, which could ultimately reduce</w:t>
      </w:r>
      <w:r w:rsidRPr="00EB4D80">
        <w:rPr>
          <w:lang w:val="en-US"/>
        </w:rPr>
        <w:t xml:space="preserve"> </w:t>
      </w:r>
      <w:r w:rsidRPr="00EB4D80">
        <w:rPr>
          <w:lang w:val="en-US"/>
        </w:rPr>
        <w:t>the number of climate-related</w:t>
      </w:r>
      <w:r>
        <w:rPr>
          <w:lang w:val="en-US"/>
        </w:rPr>
        <w:t xml:space="preserve"> </w:t>
      </w:r>
      <w:r w:rsidRPr="00EB4D80">
        <w:rPr>
          <w:lang w:val="en-US"/>
        </w:rPr>
        <w:t>information requests received.</w:t>
      </w:r>
    </w:p>
    <w:p w:rsidR="00A3448C" w:rsidRDefault="00A3448C" w:rsidP="00A3448C">
      <w:pPr>
        <w:pStyle w:val="a3"/>
        <w:spacing w:after="0" w:line="360" w:lineRule="auto"/>
        <w:ind w:left="0" w:firstLine="709"/>
        <w:jc w:val="both"/>
        <w:rPr>
          <w:lang w:val="en-US"/>
        </w:rPr>
      </w:pPr>
      <w:r>
        <w:rPr>
          <w:lang w:val="en-US"/>
        </w:rPr>
        <w:t xml:space="preserve">Nowadays the Task Force’s 31 international members, led by Michael R. Bloomberg, include providers of capital, </w:t>
      </w:r>
      <w:proofErr w:type="gramStart"/>
      <w:r>
        <w:rPr>
          <w:lang w:val="en-US"/>
        </w:rPr>
        <w:t>insurers</w:t>
      </w:r>
      <w:proofErr w:type="gramEnd"/>
      <w:r>
        <w:rPr>
          <w:lang w:val="en-US"/>
        </w:rPr>
        <w:t xml:space="preserve"> large non-financial companies, consulting and accounting firms, and credit agencies. It has 3400 supporters from 95 countries all over the world. The top five countries are Japan, United Kingdom, the United States, Australia and France. </w:t>
      </w:r>
    </w:p>
    <w:p w:rsidR="00A3448C" w:rsidRDefault="00A3448C" w:rsidP="00A3448C">
      <w:pPr>
        <w:pStyle w:val="a3"/>
        <w:spacing w:after="0" w:line="360" w:lineRule="auto"/>
        <w:ind w:left="0" w:firstLine="709"/>
        <w:jc w:val="both"/>
        <w:rPr>
          <w:lang w:val="en-US"/>
        </w:rPr>
      </w:pPr>
      <w:r>
        <w:rPr>
          <w:lang w:val="en-US"/>
        </w:rPr>
        <w:t xml:space="preserve">By the way, </w:t>
      </w:r>
      <w:r w:rsidRPr="00A3448C">
        <w:rPr>
          <w:lang w:val="en-US"/>
        </w:rPr>
        <w:t>The UK has</w:t>
      </w:r>
      <w:r>
        <w:rPr>
          <w:lang w:val="en-US"/>
        </w:rPr>
        <w:t xml:space="preserve"> already</w:t>
      </w:r>
      <w:r w:rsidRPr="00A3448C">
        <w:rPr>
          <w:lang w:val="en-US"/>
        </w:rPr>
        <w:t xml:space="preserve"> announced its intention to make TCFD-aligned disclosures mandatory across the economy by 2025, with a significant portion of mandatory</w:t>
      </w:r>
      <w:r>
        <w:rPr>
          <w:lang w:val="en-US"/>
        </w:rPr>
        <w:t xml:space="preserve"> requirements in place by 2023.</w:t>
      </w:r>
    </w:p>
    <w:p w:rsidR="00A3448C" w:rsidRPr="00A3448C" w:rsidRDefault="003A1208" w:rsidP="00A3448C">
      <w:pPr>
        <w:pStyle w:val="a3"/>
        <w:spacing w:after="0" w:line="360" w:lineRule="auto"/>
        <w:ind w:left="0" w:firstLine="709"/>
        <w:jc w:val="both"/>
        <w:rPr>
          <w:lang w:val="en-US"/>
        </w:rPr>
      </w:pPr>
      <w:proofErr w:type="gramStart"/>
      <w:r>
        <w:rPr>
          <w:lang w:val="en-US"/>
        </w:rPr>
        <w:t>So</w:t>
      </w:r>
      <w:proofErr w:type="gramEnd"/>
      <w:r>
        <w:rPr>
          <w:lang w:val="en-US"/>
        </w:rPr>
        <w:t>, the TCF</w:t>
      </w:r>
      <w:bookmarkStart w:id="0" w:name="_GoBack"/>
      <w:bookmarkEnd w:id="0"/>
      <w:r w:rsidR="00A3448C">
        <w:rPr>
          <w:lang w:val="en-US"/>
        </w:rPr>
        <w:t xml:space="preserve">D reports are essential to businesses for their own understanding </w:t>
      </w:r>
      <w:r w:rsidR="00592561">
        <w:rPr>
          <w:lang w:val="en-US"/>
        </w:rPr>
        <w:t>of long-term climate-related prospects, risks and opportunities. As Michael R. Bloomberg said, such disclosures are the critical tool that helps investors and business leaders to make more informed and sustainable financial decisions, which would definitely strengthen global economy, improve health and address the climate crisis.</w:t>
      </w:r>
    </w:p>
    <w:p w:rsidR="00D04C83" w:rsidRDefault="00D04C83" w:rsidP="00592561">
      <w:pPr>
        <w:spacing w:after="0" w:line="360" w:lineRule="auto"/>
        <w:ind w:firstLine="709"/>
        <w:jc w:val="center"/>
        <w:rPr>
          <w:lang w:val="en-US"/>
        </w:rPr>
      </w:pPr>
    </w:p>
    <w:p w:rsidR="00592561" w:rsidRDefault="00592561" w:rsidP="00592561">
      <w:pPr>
        <w:spacing w:after="0" w:line="360" w:lineRule="auto"/>
        <w:ind w:firstLine="709"/>
        <w:jc w:val="center"/>
        <w:rPr>
          <w:lang w:val="en-US"/>
        </w:rPr>
      </w:pPr>
      <w:r>
        <w:rPr>
          <w:lang w:val="en-US"/>
        </w:rPr>
        <w:t>References</w:t>
      </w:r>
    </w:p>
    <w:p w:rsidR="00592561" w:rsidRDefault="00592561" w:rsidP="00592561">
      <w:pPr>
        <w:pStyle w:val="a3"/>
        <w:numPr>
          <w:ilvl w:val="0"/>
          <w:numId w:val="8"/>
        </w:numPr>
        <w:spacing w:after="0" w:line="360" w:lineRule="auto"/>
        <w:rPr>
          <w:lang w:val="en-US"/>
        </w:rPr>
      </w:pPr>
      <w:hyperlink r:id="rId5" w:history="1">
        <w:r w:rsidRPr="00494E13">
          <w:rPr>
            <w:rStyle w:val="a5"/>
            <w:lang w:val="en-US"/>
          </w:rPr>
          <w:t>https://assets.bbhub.io/company/sites/60/2022/05/TCFD_Overview_Booklet_Digital.pdf</w:t>
        </w:r>
      </w:hyperlink>
    </w:p>
    <w:p w:rsidR="00592561" w:rsidRDefault="00592561" w:rsidP="00592561">
      <w:pPr>
        <w:pStyle w:val="a3"/>
        <w:numPr>
          <w:ilvl w:val="0"/>
          <w:numId w:val="8"/>
        </w:numPr>
        <w:spacing w:after="0" w:line="360" w:lineRule="auto"/>
        <w:rPr>
          <w:lang w:val="en-US"/>
        </w:rPr>
      </w:pPr>
      <w:hyperlink r:id="rId6" w:history="1">
        <w:r w:rsidRPr="00494E13">
          <w:rPr>
            <w:rStyle w:val="a5"/>
            <w:lang w:val="en-US"/>
          </w:rPr>
          <w:t>https://www.fsb-tcfd.org/about/#task-force-members</w:t>
        </w:r>
      </w:hyperlink>
    </w:p>
    <w:p w:rsidR="00592561" w:rsidRDefault="00592561" w:rsidP="00592561">
      <w:pPr>
        <w:pStyle w:val="a3"/>
        <w:numPr>
          <w:ilvl w:val="0"/>
          <w:numId w:val="8"/>
        </w:numPr>
        <w:spacing w:after="0" w:line="360" w:lineRule="auto"/>
        <w:rPr>
          <w:lang w:val="en-US"/>
        </w:rPr>
      </w:pPr>
      <w:hyperlink r:id="rId7" w:history="1">
        <w:r w:rsidRPr="00494E13">
          <w:rPr>
            <w:rStyle w:val="a5"/>
            <w:lang w:val="en-US"/>
          </w:rPr>
          <w:t>https://www.gov.uk/government/publications/uk-joint-regulator-and-government-tcfd-taskforce-interim-report-and-roadmap</w:t>
        </w:r>
      </w:hyperlink>
    </w:p>
    <w:p w:rsidR="00592561" w:rsidRDefault="00592561" w:rsidP="00592561">
      <w:pPr>
        <w:pStyle w:val="a3"/>
        <w:numPr>
          <w:ilvl w:val="0"/>
          <w:numId w:val="8"/>
        </w:numPr>
        <w:spacing w:after="0" w:line="360" w:lineRule="auto"/>
        <w:rPr>
          <w:lang w:val="en-US"/>
        </w:rPr>
      </w:pPr>
      <w:hyperlink r:id="rId8" w:history="1">
        <w:r w:rsidRPr="00494E13">
          <w:rPr>
            <w:rStyle w:val="a5"/>
            <w:lang w:val="en-US"/>
          </w:rPr>
          <w:t>https://msfz.ligazakon.ua/magazine_article/FZ001541</w:t>
        </w:r>
      </w:hyperlink>
    </w:p>
    <w:p w:rsidR="00592561" w:rsidRPr="00592561" w:rsidRDefault="00592561" w:rsidP="00592561">
      <w:pPr>
        <w:pStyle w:val="a3"/>
        <w:numPr>
          <w:ilvl w:val="0"/>
          <w:numId w:val="8"/>
        </w:numPr>
        <w:spacing w:after="0" w:line="360" w:lineRule="auto"/>
        <w:rPr>
          <w:lang w:val="en-US"/>
        </w:rPr>
      </w:pPr>
      <w:r w:rsidRPr="00592561">
        <w:rPr>
          <w:lang w:val="en-US"/>
        </w:rPr>
        <w:t>https://www2.deloitte.com/ch/en/pages/risk/articles/tcfd-and-why-does-it-matter.html</w:t>
      </w:r>
    </w:p>
    <w:sectPr w:rsidR="00592561" w:rsidRPr="00592561"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C2946"/>
    <w:multiLevelType w:val="hybridMultilevel"/>
    <w:tmpl w:val="D16495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4323E79"/>
    <w:multiLevelType w:val="hybridMultilevel"/>
    <w:tmpl w:val="D2300D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32D15BA"/>
    <w:multiLevelType w:val="hybridMultilevel"/>
    <w:tmpl w:val="7C1A89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32D70ED"/>
    <w:multiLevelType w:val="hybridMultilevel"/>
    <w:tmpl w:val="0A025E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7A032DA"/>
    <w:multiLevelType w:val="hybridMultilevel"/>
    <w:tmpl w:val="04D0E0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57F6DF0"/>
    <w:multiLevelType w:val="hybridMultilevel"/>
    <w:tmpl w:val="C28E5C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0687703"/>
    <w:multiLevelType w:val="hybridMultilevel"/>
    <w:tmpl w:val="1DF6D590"/>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7">
    <w:nsid w:val="63F62104"/>
    <w:multiLevelType w:val="hybridMultilevel"/>
    <w:tmpl w:val="9856A3DC"/>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num w:numId="1">
    <w:abstractNumId w:val="4"/>
  </w:num>
  <w:num w:numId="2">
    <w:abstractNumId w:val="2"/>
  </w:num>
  <w:num w:numId="3">
    <w:abstractNumId w:val="5"/>
  </w:num>
  <w:num w:numId="4">
    <w:abstractNumId w:val="1"/>
  </w:num>
  <w:num w:numId="5">
    <w:abstractNumId w:val="7"/>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A94"/>
    <w:rsid w:val="000F6DEE"/>
    <w:rsid w:val="001A68F9"/>
    <w:rsid w:val="001D4F72"/>
    <w:rsid w:val="001F18A1"/>
    <w:rsid w:val="00287A39"/>
    <w:rsid w:val="00290D3F"/>
    <w:rsid w:val="002A0C01"/>
    <w:rsid w:val="002F5476"/>
    <w:rsid w:val="00302E7B"/>
    <w:rsid w:val="003A1208"/>
    <w:rsid w:val="003B3624"/>
    <w:rsid w:val="00407A94"/>
    <w:rsid w:val="00443C51"/>
    <w:rsid w:val="004B0231"/>
    <w:rsid w:val="00592561"/>
    <w:rsid w:val="005E7E38"/>
    <w:rsid w:val="006B4F57"/>
    <w:rsid w:val="006C0B77"/>
    <w:rsid w:val="0077281A"/>
    <w:rsid w:val="008218E9"/>
    <w:rsid w:val="008242FF"/>
    <w:rsid w:val="00870751"/>
    <w:rsid w:val="008C3F96"/>
    <w:rsid w:val="009133AB"/>
    <w:rsid w:val="00922C48"/>
    <w:rsid w:val="009724FD"/>
    <w:rsid w:val="009D37EC"/>
    <w:rsid w:val="00A129C5"/>
    <w:rsid w:val="00A3448C"/>
    <w:rsid w:val="00A70D42"/>
    <w:rsid w:val="00B42D83"/>
    <w:rsid w:val="00B71400"/>
    <w:rsid w:val="00B915B7"/>
    <w:rsid w:val="00BB1C73"/>
    <w:rsid w:val="00BF467B"/>
    <w:rsid w:val="00CF0836"/>
    <w:rsid w:val="00D04C83"/>
    <w:rsid w:val="00D12C04"/>
    <w:rsid w:val="00D86E9D"/>
    <w:rsid w:val="00E36A51"/>
    <w:rsid w:val="00E90B7F"/>
    <w:rsid w:val="00EA59DF"/>
    <w:rsid w:val="00EB4D80"/>
    <w:rsid w:val="00EE4070"/>
    <w:rsid w:val="00F12C76"/>
    <w:rsid w:val="00F50D37"/>
    <w:rsid w:val="00FB5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1A410-B12D-4640-A9CD-F450D5A0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0D42"/>
    <w:pPr>
      <w:ind w:left="720"/>
      <w:contextualSpacing/>
    </w:pPr>
  </w:style>
  <w:style w:type="table" w:styleId="a4">
    <w:name w:val="Table Grid"/>
    <w:basedOn w:val="a1"/>
    <w:uiPriority w:val="39"/>
    <w:rsid w:val="00E90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5925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fz.ligazakon.ua/magazine_article/FZ001541" TargetMode="External"/><Relationship Id="rId3" Type="http://schemas.openxmlformats.org/officeDocument/2006/relationships/settings" Target="settings.xml"/><Relationship Id="rId7" Type="http://schemas.openxmlformats.org/officeDocument/2006/relationships/hyperlink" Target="https://www.gov.uk/government/publications/uk-joint-regulator-and-government-tcfd-taskforce-interim-report-and-roadma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sb-tcfd.org/about/#task-force-members" TargetMode="External"/><Relationship Id="rId5" Type="http://schemas.openxmlformats.org/officeDocument/2006/relationships/hyperlink" Target="https://assets.bbhub.io/company/sites/60/2022/05/TCFD_Overview_Booklet_Digital.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5006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Intel-GTX</dc:creator>
  <cp:keywords/>
  <dc:description/>
  <cp:lastModifiedBy>Intel-GTX</cp:lastModifiedBy>
  <cp:revision>3</cp:revision>
  <dcterms:created xsi:type="dcterms:W3CDTF">2022-07-21T13:56:00Z</dcterms:created>
  <dcterms:modified xsi:type="dcterms:W3CDTF">2022-07-21T13:57:00Z</dcterms:modified>
</cp:coreProperties>
</file>