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7050"/>
        <w:tblGridChange w:id="0">
          <w:tblGrid>
            <w:gridCol w:w="1950"/>
            <w:gridCol w:w="7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Інфографіка: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49 сторінок; 20 таблиць; 13 графіків та діаграм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Шрифт: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Arial, 11</w:t>
            </w:r>
          </w:p>
        </w:tc>
      </w:tr>
      <w:tr>
        <w:trPr>
          <w:cantSplit w:val="0"/>
          <w:trHeight w:val="491.010742187500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Мова проекту: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Українська, російська, англійська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after="20" w:before="20" w:line="264" w:lineRule="auto"/>
        <w:rPr/>
      </w:pPr>
      <w:bookmarkStart w:colFirst="0" w:colLast="0" w:name="_nbfkhw2yh8et" w:id="0"/>
      <w:bookmarkEnd w:id="0"/>
      <w:r w:rsidDel="00000000" w:rsidR="00000000" w:rsidRPr="00000000">
        <w:rPr>
          <w:rtl w:val="0"/>
        </w:rPr>
        <w:t xml:space="preserve">Бизнес-план разработки месторождения пегматита</w:t>
      </w:r>
    </w:p>
    <w:p w:rsidR="00000000" w:rsidDel="00000000" w:rsidP="00000000" w:rsidRDefault="00000000" w:rsidRPr="00000000" w14:paraId="0000000A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Украина обладает крупными запасами пегматита — ценного сырья. </w:t>
      </w:r>
      <w:r w:rsidDel="00000000" w:rsidR="00000000" w:rsidRPr="00000000">
        <w:rPr>
          <w:highlight w:val="white"/>
          <w:rtl w:val="0"/>
        </w:rPr>
        <w:t xml:space="preserve">Пегматит 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highlight w:val="white"/>
          <w:rtl w:val="0"/>
        </w:rPr>
        <w:t xml:space="preserve"> является основным компонентом для производства фарфора, керамики и стекла. </w:t>
      </w:r>
      <w:r w:rsidDel="00000000" w:rsidR="00000000" w:rsidRPr="00000000">
        <w:rPr>
          <w:rtl w:val="0"/>
        </w:rPr>
        <w:t xml:space="preserve">Основные залежи — в пределах Украинского щита: Житомирщина, Кировоградщина, Приазовье, Приднепровье. Кировоградская область — стратегическая площадка для ГОК свыше 30 000 т в год. Породы докембрийские: в Ингульском мегаблоке — метапегматиты с петалитом, у р. Синюха — </w:t>
      </w:r>
      <w:r w:rsidDel="00000000" w:rsidR="00000000" w:rsidRPr="00000000">
        <w:rPr>
          <w:rtl w:val="0"/>
        </w:rPr>
        <w:t xml:space="preserve">промышленной концентрации </w:t>
      </w:r>
      <w:r w:rsidDel="00000000" w:rsidR="00000000" w:rsidRPr="00000000">
        <w:rPr>
          <w:rtl w:val="0"/>
        </w:rPr>
        <w:t xml:space="preserve">минералов.</w:t>
      </w:r>
    </w:p>
    <w:p w:rsidR="00000000" w:rsidDel="00000000" w:rsidP="00000000" w:rsidRDefault="00000000" w:rsidRPr="00000000" w14:paraId="0000000C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before="20" w:line="264" w:lineRule="auto"/>
        <w:rPr>
          <w:i w:val="1"/>
          <w:iCs w:val="1"/>
          <w:color w:val="4a86e8"/>
        </w:rPr>
      </w:pPr>
      <w:r w:rsidDel="00000000" w:rsidR="00000000" w:rsidRPr="00000000">
        <w:rPr>
          <w:i w:val="1"/>
          <w:iCs w:val="1"/>
          <w:color w:val="4a86e8"/>
          <w:rtl w:val="0"/>
        </w:rPr>
        <w:t xml:space="preserve">                          Узнайте о разработке бизнес-плана по международным стандартам</w:t>
      </w:r>
    </w:p>
    <w:p w:rsidR="00000000" w:rsidDel="00000000" w:rsidP="00000000" w:rsidRDefault="00000000" w:rsidRPr="00000000" w14:paraId="0000000E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Ключевые регионы и участки: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Волынское месторождение (Житомирская область) — известное в мире гигантскими кристаллами берилла и пьезокварца. Разрабатывается компанией VOLYN GEMS с 1931 года.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Приазовье (Донецкая и Запорожская области) — литиеносные пегматиты, в частности Шевченковское поле и «Крутая балка».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Ингульский мегаблок (Кировоградская область) — месторождения Полоховское, Надежда, Станкуватское.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20" w:before="0" w:beforeAutospacing="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Приднепровье — перспективные площади с полевошпатовым сырьем.</w:t>
      </w:r>
    </w:p>
    <w:p w:rsidR="00000000" w:rsidDel="00000000" w:rsidP="00000000" w:rsidRDefault="00000000" w:rsidRPr="00000000" w14:paraId="00000014">
      <w:pPr>
        <w:spacing w:after="180" w:before="180" w:line="264" w:lineRule="auto"/>
        <w:rPr/>
      </w:pPr>
      <w:r w:rsidDel="00000000" w:rsidR="00000000" w:rsidRPr="00000000">
        <w:rPr>
          <w:rtl w:val="0"/>
        </w:rPr>
        <w:t xml:space="preserve">Кировоградщина — центр распространения пегматитов: древняя основа Украинского щита обеспечивает благоприятные условия, а заброшенные карьеры имеют научную ценность. Регион сочетает ресурсы, логистику и кадры, что делает его логичным для нового ГОКа. Успех обеспечивают качественная геология, современное обогащение и продуманная стратегия сбыта.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По данным Государственной службы геологии и недр Украины, в Инвестиционном атласе недропользователя зафиксированы следующие участки:</w:t>
      </w:r>
    </w:p>
    <w:p w:rsidR="00000000" w:rsidDel="00000000" w:rsidP="00000000" w:rsidRDefault="00000000" w:rsidRPr="00000000" w14:paraId="00000016">
      <w:pPr>
        <w:spacing w:after="20" w:before="20" w:line="264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" w:before="20" w:line="264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Инвестиционный атлас недропользователя неметаллических полезных ископаемых в Украине (пегматит)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Название участка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Полезное ископаемое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Регион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Площадь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Старогутовская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Пегматит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Житомирская обл.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49,2 га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Марковская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Пегматит (полевой шпат)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Житомирская обл.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12,95 га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Северо-Владимировская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Пегматит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Кировоградская обл.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22,4 га</w:t>
            </w:r>
          </w:p>
        </w:tc>
      </w:tr>
    </w:tbl>
    <w:p w:rsidR="00000000" w:rsidDel="00000000" w:rsidP="00000000" w:rsidRDefault="00000000" w:rsidRPr="00000000" w14:paraId="00000028">
      <w:pPr>
        <w:spacing w:after="20" w:before="20" w:line="264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                                         Источник: Государственная служба геологии и недр Украины</w:t>
      </w:r>
    </w:p>
    <w:p w:rsidR="00000000" w:rsidDel="00000000" w:rsidP="00000000" w:rsidRDefault="00000000" w:rsidRPr="00000000" w14:paraId="00000029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Эти цифры — не просто статистика. Это конкретные возможности для инвестора.</w:t>
      </w:r>
    </w:p>
    <w:p w:rsidR="00000000" w:rsidDel="00000000" w:rsidP="00000000" w:rsidRDefault="00000000" w:rsidRPr="00000000" w14:paraId="0000002B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Любой проект стартует с получения спецразрешения на пользование недрами через аукцион. Далее проводятся геологическая разведка, подсчет запасов по стандартам JORC или NI 43-101, оценка воздействия на окружающую среду и согласование с общинами. После этого начинается проектирование карьера и ГОКа. </w:t>
      </w:r>
    </w:p>
    <w:p w:rsidR="00000000" w:rsidDel="00000000" w:rsidP="00000000" w:rsidRDefault="00000000" w:rsidRPr="00000000" w14:paraId="0000002C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Для мощности более 30 000 тонн пегматита в год необходимо:</w:t>
      </w:r>
    </w:p>
    <w:p w:rsidR="00000000" w:rsidDel="00000000" w:rsidP="00000000" w:rsidRDefault="00000000" w:rsidRPr="00000000" w14:paraId="0000002E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before="2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карьер с дробильно-сортировочным узлом;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линия флотации или гравитационного обогащения;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склад готовой продукции;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инфраструктура (электроснабжение, вода, дороги);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20" w:before="0" w:beforeAutospacing="0" w:line="264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система экологического мониторинга.</w:t>
      </w:r>
    </w:p>
    <w:p w:rsidR="00000000" w:rsidDel="00000000" w:rsidP="00000000" w:rsidRDefault="00000000" w:rsidRPr="00000000" w14:paraId="00000034">
      <w:pPr>
        <w:spacing w:after="20" w:before="20" w:line="264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" w:before="20" w:line="264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Внимание: </w:t>
      </w:r>
      <w:r w:rsidDel="00000000" w:rsidR="00000000" w:rsidRPr="00000000">
        <w:rPr>
          <w:i w:val="1"/>
          <w:iCs w:val="1"/>
          <w:rtl w:val="0"/>
        </w:rPr>
        <w:t xml:space="preserve">з</w:t>
      </w:r>
      <w:r w:rsidDel="00000000" w:rsidR="00000000" w:rsidRPr="00000000">
        <w:rPr>
          <w:i w:val="1"/>
          <w:iCs w:val="1"/>
          <w:rtl w:val="0"/>
        </w:rPr>
        <w:t xml:space="preserve">аконодательство 2026 года существенно усилило контроль за добывающими предприятиями.</w:t>
      </w:r>
    </w:p>
    <w:p w:rsidR="00000000" w:rsidDel="00000000" w:rsidP="00000000" w:rsidRDefault="00000000" w:rsidRPr="00000000" w14:paraId="00000036">
      <w:pPr>
        <w:spacing w:after="20" w:before="20" w:line="264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Поэтому экологические расходы — экспертиза, рекультивация, соблюдение нормативов — закладываются в основу экономической стратегии и напрямую влияют на инвестиции и окупаемость. С учетом этого формируется финансовая модель, включающая капитальные и операционные затраты, рыночные цены, экспорт, налоги и ренту.</w:t>
      </w:r>
    </w:p>
    <w:p w:rsidR="00000000" w:rsidDel="00000000" w:rsidP="00000000" w:rsidRDefault="00000000" w:rsidRPr="00000000" w14:paraId="00000038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" w:before="20" w:line="26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Структура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1. Резюме проекта</w:t>
      </w:r>
    </w:p>
    <w:p w:rsidR="00000000" w:rsidDel="00000000" w:rsidP="00000000" w:rsidRDefault="00000000" w:rsidRPr="00000000" w14:paraId="0000003B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2. Описание проекта</w:t>
      </w:r>
    </w:p>
    <w:p w:rsidR="00000000" w:rsidDel="00000000" w:rsidP="00000000" w:rsidRDefault="00000000" w:rsidRPr="00000000" w14:paraId="0000003C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3. Характеристика целевого рынка</w:t>
      </w:r>
    </w:p>
    <w:p w:rsidR="00000000" w:rsidDel="00000000" w:rsidP="00000000" w:rsidRDefault="00000000" w:rsidRPr="00000000" w14:paraId="0000003D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4. Описание продукции</w:t>
      </w:r>
    </w:p>
    <w:p w:rsidR="00000000" w:rsidDel="00000000" w:rsidP="00000000" w:rsidRDefault="00000000" w:rsidRPr="00000000" w14:paraId="0000003E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5. Организационный план</w:t>
      </w:r>
    </w:p>
    <w:p w:rsidR="00000000" w:rsidDel="00000000" w:rsidP="00000000" w:rsidRDefault="00000000" w:rsidRPr="00000000" w14:paraId="0000003F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6. Инвестиционный план</w:t>
      </w:r>
    </w:p>
    <w:p w:rsidR="00000000" w:rsidDel="00000000" w:rsidP="00000000" w:rsidRDefault="00000000" w:rsidRPr="00000000" w14:paraId="00000040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7. Анализ ресурсов</w:t>
      </w:r>
    </w:p>
    <w:p w:rsidR="00000000" w:rsidDel="00000000" w:rsidP="00000000" w:rsidRDefault="00000000" w:rsidRPr="00000000" w14:paraId="00000041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7.1. Необходимое оборудование и другие активы</w:t>
      </w:r>
    </w:p>
    <w:p w:rsidR="00000000" w:rsidDel="00000000" w:rsidP="00000000" w:rsidRDefault="00000000" w:rsidRPr="00000000" w14:paraId="00000042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7.2. Организационная структура</w:t>
      </w:r>
    </w:p>
    <w:p w:rsidR="00000000" w:rsidDel="00000000" w:rsidP="00000000" w:rsidRDefault="00000000" w:rsidRPr="00000000" w14:paraId="00000043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 Финансовый план</w:t>
      </w:r>
    </w:p>
    <w:p w:rsidR="00000000" w:rsidDel="00000000" w:rsidP="00000000" w:rsidRDefault="00000000" w:rsidRPr="00000000" w14:paraId="00000044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8.1. Входные параметры расчетов</w:t>
      </w:r>
    </w:p>
    <w:p w:rsidR="00000000" w:rsidDel="00000000" w:rsidP="00000000" w:rsidRDefault="00000000" w:rsidRPr="00000000" w14:paraId="00000045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8.2. Доходы проекта</w:t>
      </w:r>
    </w:p>
    <w:p w:rsidR="00000000" w:rsidDel="00000000" w:rsidP="00000000" w:rsidRDefault="00000000" w:rsidRPr="00000000" w14:paraId="00000046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8.3. Расходы проекта</w:t>
      </w:r>
    </w:p>
    <w:p w:rsidR="00000000" w:rsidDel="00000000" w:rsidP="00000000" w:rsidRDefault="00000000" w:rsidRPr="00000000" w14:paraId="00000047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8.4. Отчет о прибылях и убытках</w:t>
      </w:r>
    </w:p>
    <w:p w:rsidR="00000000" w:rsidDel="00000000" w:rsidP="00000000" w:rsidRDefault="00000000" w:rsidRPr="00000000" w14:paraId="00000048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8.5. Отчет о движении денежных средств</w:t>
      </w:r>
    </w:p>
    <w:p w:rsidR="00000000" w:rsidDel="00000000" w:rsidP="00000000" w:rsidRDefault="00000000" w:rsidRPr="00000000" w14:paraId="00000049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8.6. Финансовые показатели проекта</w:t>
      </w:r>
    </w:p>
    <w:p w:rsidR="00000000" w:rsidDel="00000000" w:rsidP="00000000" w:rsidRDefault="00000000" w:rsidRPr="00000000" w14:paraId="0000004A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9. Оценка эффективности проекта</w:t>
      </w:r>
    </w:p>
    <w:p w:rsidR="00000000" w:rsidDel="00000000" w:rsidP="00000000" w:rsidRDefault="00000000" w:rsidRPr="00000000" w14:paraId="0000004B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10. Выводы</w:t>
      </w:r>
    </w:p>
    <w:p w:rsidR="00000000" w:rsidDel="00000000" w:rsidP="00000000" w:rsidRDefault="00000000" w:rsidRPr="00000000" w14:paraId="0000004C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10.1. SWOT-анализ проекта</w:t>
      </w:r>
    </w:p>
    <w:p w:rsidR="00000000" w:rsidDel="00000000" w:rsidP="00000000" w:rsidRDefault="00000000" w:rsidRPr="00000000" w14:paraId="0000004D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10.2. Анализ рисков проекта</w:t>
      </w:r>
    </w:p>
    <w:p w:rsidR="00000000" w:rsidDel="00000000" w:rsidP="00000000" w:rsidRDefault="00000000" w:rsidRPr="00000000" w14:paraId="0000004E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10.3. Общие выводы проекта</w:t>
      </w:r>
    </w:p>
    <w:p w:rsidR="00000000" w:rsidDel="00000000" w:rsidP="00000000" w:rsidRDefault="00000000" w:rsidRPr="00000000" w14:paraId="0000004F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0" w:before="20" w:line="26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Перечень графиков и диаграмм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1. Инвестиционный атлас недропользователя. Неметаллические полезные ископаемые в кировоградской области</w:t>
      </w:r>
    </w:p>
    <w:p w:rsidR="00000000" w:rsidDel="00000000" w:rsidP="00000000" w:rsidRDefault="00000000" w:rsidRPr="00000000" w14:paraId="00000052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2. Инвестиционный атлас недропользователя. Неметаллические полезные ископаемые. Пегматит</w:t>
      </w:r>
    </w:p>
    <w:p w:rsidR="00000000" w:rsidDel="00000000" w:rsidP="00000000" w:rsidRDefault="00000000" w:rsidRPr="00000000" w14:paraId="00000053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3. График финансирования проекта, грн</w:t>
      </w:r>
    </w:p>
    <w:p w:rsidR="00000000" w:rsidDel="00000000" w:rsidP="00000000" w:rsidRDefault="00000000" w:rsidRPr="00000000" w14:paraId="00000054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4. Инвестиционные затраты проекта</w:t>
      </w:r>
    </w:p>
    <w:p w:rsidR="00000000" w:rsidDel="00000000" w:rsidP="00000000" w:rsidRDefault="00000000" w:rsidRPr="00000000" w14:paraId="00000055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5. Перечень оборудования</w:t>
      </w:r>
    </w:p>
    <w:p w:rsidR="00000000" w:rsidDel="00000000" w:rsidP="00000000" w:rsidRDefault="00000000" w:rsidRPr="00000000" w14:paraId="00000056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6. Перечень строительных работ</w:t>
      </w:r>
    </w:p>
    <w:p w:rsidR="00000000" w:rsidDel="00000000" w:rsidP="00000000" w:rsidRDefault="00000000" w:rsidRPr="00000000" w14:paraId="00000057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7. Список оборудования</w:t>
      </w:r>
    </w:p>
    <w:p w:rsidR="00000000" w:rsidDel="00000000" w:rsidP="00000000" w:rsidRDefault="00000000" w:rsidRPr="00000000" w14:paraId="00000058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 Среднеучетная численность постоянного персонала</w:t>
      </w:r>
    </w:p>
    <w:p w:rsidR="00000000" w:rsidDel="00000000" w:rsidP="00000000" w:rsidRDefault="00000000" w:rsidRPr="00000000" w14:paraId="00000059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9. ФЗП по проекту, грн</w:t>
      </w:r>
    </w:p>
    <w:p w:rsidR="00000000" w:rsidDel="00000000" w:rsidP="00000000" w:rsidRDefault="00000000" w:rsidRPr="00000000" w14:paraId="0000005A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10. Параметры доходов</w:t>
      </w:r>
    </w:p>
    <w:p w:rsidR="00000000" w:rsidDel="00000000" w:rsidP="00000000" w:rsidRDefault="00000000" w:rsidRPr="00000000" w14:paraId="0000005B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11. План продаж</w:t>
      </w:r>
    </w:p>
    <w:p w:rsidR="00000000" w:rsidDel="00000000" w:rsidP="00000000" w:rsidRDefault="00000000" w:rsidRPr="00000000" w14:paraId="0000005C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12. Производственные и общепроизводственные расходы</w:t>
      </w:r>
    </w:p>
    <w:p w:rsidR="00000000" w:rsidDel="00000000" w:rsidP="00000000" w:rsidRDefault="00000000" w:rsidRPr="00000000" w14:paraId="0000005D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13. Текущие расходы и расходы на продвижение</w:t>
      </w:r>
    </w:p>
    <w:p w:rsidR="00000000" w:rsidDel="00000000" w:rsidP="00000000" w:rsidRDefault="00000000" w:rsidRPr="00000000" w14:paraId="0000005E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14. Расходы на продвижение</w:t>
      </w:r>
    </w:p>
    <w:p w:rsidR="00000000" w:rsidDel="00000000" w:rsidP="00000000" w:rsidRDefault="00000000" w:rsidRPr="00000000" w14:paraId="0000005F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15. Отчет о прибылях и убытках по проекту</w:t>
      </w:r>
    </w:p>
    <w:p w:rsidR="00000000" w:rsidDel="00000000" w:rsidP="00000000" w:rsidRDefault="00000000" w:rsidRPr="00000000" w14:paraId="00000060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16. Отчет о движении денежных средств</w:t>
      </w:r>
    </w:p>
    <w:p w:rsidR="00000000" w:rsidDel="00000000" w:rsidP="00000000" w:rsidRDefault="00000000" w:rsidRPr="00000000" w14:paraId="00000061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17. Дисконтированный поток, грн</w:t>
      </w:r>
    </w:p>
    <w:p w:rsidR="00000000" w:rsidDel="00000000" w:rsidP="00000000" w:rsidRDefault="00000000" w:rsidRPr="00000000" w14:paraId="00000062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18. Эффективность полных инвестиционных вложений</w:t>
      </w:r>
    </w:p>
    <w:p w:rsidR="00000000" w:rsidDel="00000000" w:rsidP="00000000" w:rsidRDefault="00000000" w:rsidRPr="00000000" w14:paraId="00000063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19. Сравнение нормативных и фактических значений</w:t>
      </w:r>
    </w:p>
    <w:p w:rsidR="00000000" w:rsidDel="00000000" w:rsidP="00000000" w:rsidRDefault="00000000" w:rsidRPr="00000000" w14:paraId="00000064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20. Риски по проекту и возможные пути их снижения</w:t>
      </w:r>
    </w:p>
    <w:p w:rsidR="00000000" w:rsidDel="00000000" w:rsidP="00000000" w:rsidRDefault="00000000" w:rsidRPr="00000000" w14:paraId="00000065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0" w:before="20" w:line="264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Перечень таблиц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1. Месторасположение</w:t>
      </w:r>
    </w:p>
    <w:p w:rsidR="00000000" w:rsidDel="00000000" w:rsidP="00000000" w:rsidRDefault="00000000" w:rsidRPr="00000000" w14:paraId="00000069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2. Схема обогащения пегматитового сырья</w:t>
      </w:r>
    </w:p>
    <w:p w:rsidR="00000000" w:rsidDel="00000000" w:rsidP="00000000" w:rsidRDefault="00000000" w:rsidRPr="00000000" w14:paraId="0000006A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3. Общий вид линии и компоновка оборудования</w:t>
      </w:r>
    </w:p>
    <w:p w:rsidR="00000000" w:rsidDel="00000000" w:rsidP="00000000" w:rsidRDefault="00000000" w:rsidRPr="00000000" w14:paraId="0000006B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4. Схема цепи аппаратов линии обогащения пегматитов 8т/ч</w:t>
      </w:r>
    </w:p>
    <w:p w:rsidR="00000000" w:rsidDel="00000000" w:rsidP="00000000" w:rsidRDefault="00000000" w:rsidRPr="00000000" w14:paraId="0000006C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5. Административный персонал</w:t>
      </w:r>
    </w:p>
    <w:p w:rsidR="00000000" w:rsidDel="00000000" w:rsidP="00000000" w:rsidRDefault="00000000" w:rsidRPr="00000000" w14:paraId="0000006D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6. Производство пегматита, тонн</w:t>
      </w:r>
    </w:p>
    <w:p w:rsidR="00000000" w:rsidDel="00000000" w:rsidP="00000000" w:rsidRDefault="00000000" w:rsidRPr="00000000" w14:paraId="0000006E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7. Выручка, грн</w:t>
      </w:r>
    </w:p>
    <w:p w:rsidR="00000000" w:rsidDel="00000000" w:rsidP="00000000" w:rsidRDefault="00000000" w:rsidRPr="00000000" w14:paraId="0000006F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8. Коэффициент рентабельности валовой прибыли</w:t>
      </w:r>
    </w:p>
    <w:p w:rsidR="00000000" w:rsidDel="00000000" w:rsidP="00000000" w:rsidRDefault="00000000" w:rsidRPr="00000000" w14:paraId="00000070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9. Коэффициент рентабельности EBITDA</w:t>
      </w:r>
    </w:p>
    <w:p w:rsidR="00000000" w:rsidDel="00000000" w:rsidP="00000000" w:rsidRDefault="00000000" w:rsidRPr="00000000" w14:paraId="00000071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10. Коэффициент рентабельности ЧП</w:t>
      </w:r>
    </w:p>
    <w:p w:rsidR="00000000" w:rsidDel="00000000" w:rsidP="00000000" w:rsidRDefault="00000000" w:rsidRPr="00000000" w14:paraId="00000072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11. Срок окупаемости</w:t>
      </w:r>
    </w:p>
    <w:p w:rsidR="00000000" w:rsidDel="00000000" w:rsidP="00000000" w:rsidRDefault="00000000" w:rsidRPr="00000000" w14:paraId="00000073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12. Дисконтированный срок окупаемости</w:t>
      </w:r>
    </w:p>
    <w:p w:rsidR="00000000" w:rsidDel="00000000" w:rsidP="00000000" w:rsidRDefault="00000000" w:rsidRPr="00000000" w14:paraId="00000074">
      <w:pPr>
        <w:spacing w:after="20" w:before="20" w:line="264" w:lineRule="auto"/>
        <w:rPr/>
      </w:pPr>
      <w:r w:rsidDel="00000000" w:rsidR="00000000" w:rsidRPr="00000000">
        <w:rPr>
          <w:rtl w:val="0"/>
        </w:rPr>
        <w:t xml:space="preserve">13. Показатели доходности за 8 лет, долл.</w:t>
      </w:r>
    </w:p>
    <w:p w:rsidR="00000000" w:rsidDel="00000000" w:rsidP="00000000" w:rsidRDefault="00000000" w:rsidRPr="00000000" w14:paraId="00000075">
      <w:pPr>
        <w:spacing w:after="180" w:before="180" w:line="26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" w:before="20" w:line="264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2616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" w:before="20" w:line="264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27940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keepNext w:val="0"/>
        <w:keepLines w:val="0"/>
        <w:spacing w:before="480" w:lineRule="auto"/>
        <w:rPr>
          <w:sz w:val="46"/>
          <w:szCs w:val="46"/>
        </w:rPr>
      </w:pPr>
      <w:bookmarkStart w:colFirst="0" w:colLast="0" w:name="_oowxx9wv84k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keepNext w:val="0"/>
        <w:keepLines w:val="0"/>
        <w:spacing w:before="480" w:lineRule="auto"/>
        <w:rPr>
          <w:sz w:val="46"/>
          <w:szCs w:val="46"/>
        </w:rPr>
      </w:pPr>
      <w:bookmarkStart w:colFirst="0" w:colLast="0" w:name="_bjv5u1lqgzh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keepNext w:val="0"/>
        <w:keepLines w:val="0"/>
        <w:spacing w:before="480" w:lineRule="auto"/>
        <w:rPr>
          <w:sz w:val="46"/>
          <w:szCs w:val="46"/>
        </w:rPr>
      </w:pPr>
      <w:bookmarkStart w:colFirst="0" w:colLast="0" w:name="_cys84mz2bkjk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keepNext w:val="0"/>
        <w:keepLines w:val="0"/>
        <w:spacing w:before="480" w:lineRule="auto"/>
        <w:rPr>
          <w:sz w:val="46"/>
          <w:szCs w:val="46"/>
        </w:rPr>
      </w:pPr>
      <w:bookmarkStart w:colFirst="0" w:colLast="0" w:name="_n7ftexvdadiv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0" w:before="20" w:line="264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7050"/>
        <w:tblGridChange w:id="0">
          <w:tblGrid>
            <w:gridCol w:w="1950"/>
            <w:gridCol w:w="7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Інфографіка: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49 сторінок; 20 таблиць; 13 графіків та діаграм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Шрифт: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Arial, 11</w:t>
            </w:r>
          </w:p>
        </w:tc>
      </w:tr>
      <w:tr>
        <w:trPr>
          <w:cantSplit w:val="0"/>
          <w:trHeight w:val="491.010742187500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Мова проекту: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0" w:before="20" w:line="264" w:lineRule="auto"/>
              <w:rPr/>
            </w:pPr>
            <w:r w:rsidDel="00000000" w:rsidR="00000000" w:rsidRPr="00000000">
              <w:rPr>
                <w:rtl w:val="0"/>
              </w:rPr>
              <w:t xml:space="preserve">Українська, російська, англійська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pStyle w:val="Heading1"/>
        <w:keepNext w:val="0"/>
        <w:keepLines w:val="0"/>
        <w:spacing w:before="480" w:lineRule="auto"/>
        <w:rPr>
          <w:sz w:val="46"/>
          <w:szCs w:val="46"/>
        </w:rPr>
      </w:pPr>
      <w:bookmarkStart w:colFirst="0" w:colLast="0" w:name="_ucx91t2sgvjg" w:id="5"/>
      <w:bookmarkEnd w:id="5"/>
      <w:r w:rsidDel="00000000" w:rsidR="00000000" w:rsidRPr="00000000">
        <w:rPr>
          <w:sz w:val="46"/>
          <w:szCs w:val="46"/>
          <w:rtl w:val="0"/>
        </w:rPr>
        <w:t xml:space="preserve">Бізнес-план розробки родовища пегматиту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80" w:before="180" w:lineRule="auto"/>
        <w:rPr/>
      </w:pPr>
      <w:r w:rsidDel="00000000" w:rsidR="00000000" w:rsidRPr="00000000">
        <w:rPr>
          <w:rtl w:val="0"/>
        </w:rPr>
        <w:t xml:space="preserve">Україна має великі запаси пегматиту — цінної сировини. Пегматит — є основним компонентом для виробництва порцеляни, кераміки та скла. Основні поклади — у межах Українського щита: Житомирщина, Кіровоградщина, Приазов'я, Придніпров'я. Кіровоградська область — стратегічний майданчик для ГЗК понад 30 000 т на рік. Породи докембрійські: в Інгульському мегаблоці —  метапегматити з петалітом, біля р. Синюха — промислової концентрації мінералів.</w:t>
      </w:r>
    </w:p>
    <w:p w:rsidR="00000000" w:rsidDel="00000000" w:rsidP="00000000" w:rsidRDefault="00000000" w:rsidRPr="00000000" w14:paraId="00000085">
      <w:pPr>
        <w:spacing w:after="180" w:before="180" w:lineRule="auto"/>
        <w:rPr>
          <w:i w:val="1"/>
          <w:iCs w:val="1"/>
          <w:color w:val="4a86e8"/>
        </w:rPr>
      </w:pPr>
      <w:r w:rsidDel="00000000" w:rsidR="00000000" w:rsidRPr="00000000">
        <w:rPr>
          <w:i w:val="1"/>
          <w:iCs w:val="1"/>
          <w:color w:val="4a86e8"/>
          <w:rtl w:val="0"/>
        </w:rPr>
        <w:t xml:space="preserve">                         Дізнайтеся про розробку бізнес-плану за міжнародними стандартами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spacing w:before="280" w:lineRule="auto"/>
        <w:rPr/>
      </w:pPr>
      <w:r w:rsidDel="00000000" w:rsidR="00000000" w:rsidRPr="00000000">
        <w:rPr>
          <w:rtl w:val="0"/>
        </w:rPr>
        <w:t xml:space="preserve">Ключові регіони та ділянки: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spacing w:after="0" w:afterAutospacing="0" w:before="180" w:lineRule="auto"/>
        <w:ind w:left="720" w:hanging="360"/>
        <w:rPr/>
      </w:pPr>
      <w:r w:rsidDel="00000000" w:rsidR="00000000" w:rsidRPr="00000000">
        <w:rPr>
          <w:rtl w:val="0"/>
        </w:rPr>
        <w:t xml:space="preserve">Волинське родовище (Житомирська область) — відоме у світі гігантськими кристалами берилу та п’єзокварцу. Розробляється компанією VOLYN GEMS з 1931 року.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Приазов’я (Донецька та Запорізька області) — літієносні пегматити, зокрема Шевченківське поле та «Крута балка».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Інгульський мегаблок (Кіровоградська область) — родовища Полохівське, Надія, Станкуватське.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spacing w:after="18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Придніпров’я — перспективні площі з польовошпатовою сировиною.</w:t>
      </w:r>
    </w:p>
    <w:p w:rsidR="00000000" w:rsidDel="00000000" w:rsidP="00000000" w:rsidRDefault="00000000" w:rsidRPr="00000000" w14:paraId="0000008B">
      <w:pPr>
        <w:spacing w:after="180" w:before="180" w:lineRule="auto"/>
        <w:rPr/>
      </w:pPr>
      <w:r w:rsidDel="00000000" w:rsidR="00000000" w:rsidRPr="00000000">
        <w:rPr>
          <w:rtl w:val="0"/>
        </w:rPr>
        <w:t xml:space="preserve">Кіровоградщина — центр поширення пегматитів: давня основа Українського щита забезпечує сприятливі умови, а занедбані кар'єри мають наукову цінність. Регіон поєднує ресурси, логістику та кадри, що робить його логічним для нового ГЗК. Успіх забезпечують якісна геологія, сучасне збагачення та продумана стратегія збуту.</w:t>
      </w:r>
    </w:p>
    <w:p w:rsidR="00000000" w:rsidDel="00000000" w:rsidP="00000000" w:rsidRDefault="00000000" w:rsidRPr="00000000" w14:paraId="0000008C">
      <w:pPr>
        <w:spacing w:after="180" w:before="180" w:lineRule="auto"/>
        <w:rPr/>
      </w:pPr>
      <w:r w:rsidDel="00000000" w:rsidR="00000000" w:rsidRPr="00000000">
        <w:rPr>
          <w:rtl w:val="0"/>
        </w:rPr>
        <w:t xml:space="preserve">За даними Державної служби геології та надр України, в Інвестиційному атласі надрокористувача зафіксовані такі ділянки:</w:t>
      </w:r>
    </w:p>
    <w:p w:rsidR="00000000" w:rsidDel="00000000" w:rsidP="00000000" w:rsidRDefault="00000000" w:rsidRPr="00000000" w14:paraId="0000008D">
      <w:pPr>
        <w:spacing w:after="180" w:before="1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Інвестиційний атлас надрокористувача неметалічних корисних копалин в Україні (пегматит)</w:t>
      </w: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Назва ділянки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Корисна копалина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Регіон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Площа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Старогутівська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Пегматит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Житомирська обл.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49,2 га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Марківська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Пегматит (польовий шпат)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Житомирська обл.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12,95 га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Північно-Володимирівська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Пегматит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Кіровоградська обл.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22,4 га</w:t>
            </w:r>
          </w:p>
        </w:tc>
      </w:tr>
    </w:tbl>
    <w:p w:rsidR="00000000" w:rsidDel="00000000" w:rsidP="00000000" w:rsidRDefault="00000000" w:rsidRPr="00000000" w14:paraId="0000009E">
      <w:pPr>
        <w:spacing w:after="180" w:before="18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Джерело: Державна служба геології та надр України</w:t>
      </w:r>
    </w:p>
    <w:p w:rsidR="00000000" w:rsidDel="00000000" w:rsidP="00000000" w:rsidRDefault="00000000" w:rsidRPr="00000000" w14:paraId="0000009F">
      <w:pPr>
        <w:spacing w:after="180" w:before="180" w:lineRule="auto"/>
        <w:rPr/>
      </w:pPr>
      <w:r w:rsidDel="00000000" w:rsidR="00000000" w:rsidRPr="00000000">
        <w:rPr>
          <w:rtl w:val="0"/>
        </w:rPr>
        <w:t xml:space="preserve">Ці цифри — не просто статистика. Це конкретні можливості для інвестора. </w:t>
      </w:r>
      <w:r w:rsidDel="00000000" w:rsidR="00000000" w:rsidRPr="00000000">
        <w:rPr>
          <w:rtl w:val="0"/>
        </w:rPr>
        <w:t xml:space="preserve">Будь-який проєкт стартує з отримання спецдозволу на користування надрами через аукціон. Далі проводяться геологічна розвідка, підрахунок запасів за стандартами JORC або NI 43-101, оцінка впливу на довкілля та погодження з громадами. Після цього розпочинається проєктування кар’єру і ГЗК. </w:t>
      </w:r>
    </w:p>
    <w:p w:rsidR="00000000" w:rsidDel="00000000" w:rsidP="00000000" w:rsidRDefault="00000000" w:rsidRPr="00000000" w14:paraId="000000A0">
      <w:pPr>
        <w:spacing w:after="180" w:before="180" w:lineRule="auto"/>
        <w:rPr/>
      </w:pPr>
      <w:r w:rsidDel="00000000" w:rsidR="00000000" w:rsidRPr="00000000">
        <w:rPr>
          <w:rtl w:val="0"/>
        </w:rPr>
        <w:t xml:space="preserve">Для потужності понад 30 000 тон пегматиту на рік необхідно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spacing w:after="0" w:afterAutospacing="0" w:before="180" w:lineRule="auto"/>
        <w:ind w:left="720" w:hanging="360"/>
        <w:rPr/>
      </w:pPr>
      <w:r w:rsidDel="00000000" w:rsidR="00000000" w:rsidRPr="00000000">
        <w:rPr>
          <w:rtl w:val="0"/>
        </w:rPr>
        <w:t xml:space="preserve">кар’єр з дробильно-сортувальним вузлом;</w:t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лінія флотації або гравітаційного збагачення;</w:t>
      </w:r>
    </w:p>
    <w:p w:rsidR="00000000" w:rsidDel="00000000" w:rsidP="00000000" w:rsidRDefault="00000000" w:rsidRPr="00000000" w14:paraId="000000A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склад готової продукції;</w:t>
      </w:r>
    </w:p>
    <w:p w:rsidR="00000000" w:rsidDel="00000000" w:rsidP="00000000" w:rsidRDefault="00000000" w:rsidRPr="00000000" w14:paraId="000000A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інфраструктура (електропостачання, вода, дороги);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spacing w:after="18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система екологічного моніторингу.</w:t>
      </w:r>
    </w:p>
    <w:p w:rsidR="00000000" w:rsidDel="00000000" w:rsidP="00000000" w:rsidRDefault="00000000" w:rsidRPr="00000000" w14:paraId="000000A6">
      <w:pPr>
        <w:spacing w:after="180" w:before="180" w:lineRule="auto"/>
        <w:ind w:left="0" w:right="600" w:firstLine="0"/>
        <w:rPr>
          <w:i w:val="1"/>
          <w:iCs w:val="1"/>
          <w:sz w:val="34"/>
          <w:szCs w:val="34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Увага:</w:t>
      </w:r>
      <w:r w:rsidDel="00000000" w:rsidR="00000000" w:rsidRPr="00000000">
        <w:rPr>
          <w:i w:val="1"/>
          <w:iCs w:val="1"/>
          <w:rtl w:val="0"/>
        </w:rPr>
        <w:t xml:space="preserve"> законодавство 2026 року суттєво посилило контроль за видобувними підприємствами.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80" w:before="180" w:lineRule="auto"/>
        <w:ind w:left="0" w:firstLine="0"/>
        <w:rPr/>
      </w:pPr>
      <w:r w:rsidDel="00000000" w:rsidR="00000000" w:rsidRPr="00000000">
        <w:rPr>
          <w:rtl w:val="0"/>
        </w:rPr>
        <w:t xml:space="preserve">Тому екологічні витрати — експертиза, рекультивація, дотримання нормативів — закладаються в основу економічної стратегії і безпосередньо впливають на інвестиції та окупність. З огляду на це формується фінансова модель, що включає капітальні та операційні витрати, ринкові ціни, експорт, податки і ренту.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80" w:before="1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Структура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1. Резюме проєкту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2. Опис проєкту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3. Характеристика цільового ринку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4. Опис продукції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5. Організаційний план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6. Інвестиційний план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7. Аналіз ресурсів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7.1. Необхідне обладнання та інші активи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7.2. Організаційна структура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8. Фінансовий план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8.1. Вхідні параметри розрахунків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8.2. Доходи проєкту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8.3. Витрати проєкту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8.4. Звіт про прибутки та збитки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8.5. Звіт про рух грошових коштів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8.6. Фінансові показники проєкту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9. Оцінка ефективності проєкту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10. Висновки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10.1. SWOT-аналіз проєкту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10.2. Аналіз ризиків проєкту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10.3. Загальні висновки проєкту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1. Інвестиційний атлас надрокористувача. Неметалічні корисні копалини в кіровоградській області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2. Інвестиційний атлас надрокористувача. Неметалічні корисні копалини. Пегматит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3. Графік фінансування проєкту, грн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4. Інвестиційні витрати проєкту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5. Перелік обладнання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6. Перелік будівельних робіт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7. Список обладнання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8. Середньооблікова чисельність постійного персоналу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9. ФЗП по проєкту, грн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10. Параметри доходів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11. План продажів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12. Виробничі та загальновиробничі витрати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13. Поточні витрати та витрати на просування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14. Витрати на просування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15. Звіт про прибутки та збитки за проєктом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16. Звіт про рух грошових коштів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17. Дисконтований потік, грн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18. Ефективність повних інвестиційних вкладень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19. Порівняння нормативних і фактичних значень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20. Ризики за проєктом та можливі шляхи їх зниження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Перелік таблиць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1. Місцерозташування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2. Схема збагачення пегматитової сировини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3. Загальний вигляд лінії та компонування обладнання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4. Схема ланцюга апаратів лінії збагачення пегматитів 8т/год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5. Адміністративний персонал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6. Виробництво пегматиту, тон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7. Виручка, грн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8. Коефіцієнт рентабельності валового прибутку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9. Коефіцієнт рентабельності EBITDA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10. Коефіцієнт рентабельності ЧП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11. Термін окупності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12. Дисконтований термін окупності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13. Показники прибутковості за 8 років, дол.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