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EA402">
      <w:pPr>
        <w:pStyle w:val="2"/>
        <w:rPr>
          <w:rFonts w:ascii="Times New Roman" w:hAnsi="Times New Roman" w:cs="Times New Roman"/>
        </w:rPr>
      </w:pPr>
      <w:bookmarkStart w:id="0" w:name="_Toc3866"/>
      <w:r>
        <w:rPr>
          <w:rFonts w:ascii="Times New Roman" w:hAnsi="Times New Roman" w:cs="Times New Roman"/>
        </w:rPr>
        <w:t>Вступ</w:t>
      </w:r>
      <w:bookmarkEnd w:id="0"/>
    </w:p>
    <w:p w14:paraId="43B6D816">
      <w:pPr>
        <w:rPr>
          <w:lang w:val="uk-UA"/>
        </w:rPr>
      </w:pPr>
    </w:p>
    <w:p w14:paraId="588CAB64">
      <w:pPr>
        <w:rPr>
          <w:lang w:val="uk-UA"/>
        </w:rPr>
      </w:pPr>
    </w:p>
    <w:p w14:paraId="27980EA5">
      <w:pPr>
        <w:spacing w:line="360" w:lineRule="auto"/>
        <w:ind w:firstLine="720"/>
        <w:jc w:val="both"/>
        <w:rPr>
          <w:rFonts w:ascii="Times New Roman" w:hAnsi="Times New Roman" w:eastAsia="Times New Roman"/>
          <w:sz w:val="28"/>
          <w:szCs w:val="28"/>
          <w:lang w:val="uk-UA" w:eastAsia="ru-RU"/>
        </w:rPr>
      </w:pPr>
      <w:r>
        <w:rPr>
          <w:rFonts w:ascii="Times New Roman" w:hAnsi="Times New Roman" w:eastAsia="Times New Roman"/>
          <w:b/>
          <w:bCs/>
          <w:sz w:val="28"/>
          <w:szCs w:val="28"/>
          <w:lang w:val="uk-UA" w:eastAsia="ru-RU"/>
        </w:rPr>
        <w:t xml:space="preserve">Актуальність теми </w:t>
      </w:r>
      <w:r>
        <w:rPr>
          <w:rFonts w:ascii="Times New Roman" w:hAnsi="Times New Roman" w:eastAsia="Times New Roman"/>
          <w:sz w:val="28"/>
          <w:szCs w:val="28"/>
          <w:lang w:val="uk-UA" w:eastAsia="ru-RU"/>
        </w:rPr>
        <w:t>полягає у тому, що робота присвячена аналізу простих характеристик ходи (час двооопорої фази ходи; швидкість ходи; асиметрія ходи) у здорових людей молодого віку. Адже зменшення рухливості досить частко спостерігають в осіб з порушенями опорно- рухового апарату та неврологічних хворобах. Аналіз часово-просторих параметрів ходи в умовах поза клінічною лабораторією  за допомогою смарт приладів допоможе покращити реабілітацію хворих та розуміння локомоції людини.</w:t>
      </w:r>
    </w:p>
    <w:p w14:paraId="0F769853">
      <w:pPr>
        <w:spacing w:line="360" w:lineRule="auto"/>
        <w:ind w:firstLine="72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Пересування людини у просторі є послідовним з почерговою зміною провідної нижньої кінцівки. Оскільки на відміну від більшості представників тваринного світу людині притаманна двонога локомоція важливим аспектом у лікуванні захворювання опорно-рухового апарату та порушення ходи важливу роль відіграє  відслідковування циклу  ходи.  У циклі ходьби виокремлюють  моменти, коли з опорою стикаються тільки одна нога ("одноопорний період") і обидві ноги, коли передня кінцівка вже торкнулася опори, а задня ще не відірвалася ("двоопорний період"). Період перенесення ноги називається "переносним періодом". Повний цикл ходьби - період подвійного кроку - складається для кожної ноги з опорного і переносного інтервалів.  Дослідження ходи проводили ще з античних часів та на противагу сучасним методам був не достатньо точним, адже грунтувався на суб’єктивному сприйнятті спостерігача за ходою хворого. З розвитком технологій аналіз ходи набув більшої об’єктивності. Спочатку для аналізу ходи дослідники здійснювали запис локомоції на камеру, однак і цей метод дослідження має багато недоліків та не усуває людського фактору. Таким чином, існує потреба в розробці обладнання,що точно фіксує усі відхилення при здійсненні циклу ходи під час реабілітації хворого пацієнта.</w:t>
      </w:r>
      <w:r>
        <w:rPr>
          <w:rFonts w:ascii="Times New Roman" w:hAnsi="Times New Roman" w:eastAsia="Times New Roman" w:cs="Times New Roman"/>
          <w:sz w:val="28"/>
          <w:szCs w:val="28"/>
          <w:lang w:val="uk-UA" w:eastAsia="ru-RU"/>
        </w:rPr>
        <w:tab/>
      </w:r>
    </w:p>
    <w:p w14:paraId="53BE6D76">
      <w:pPr>
        <w:spacing w:line="360" w:lineRule="auto"/>
        <w:ind w:firstLine="720"/>
        <w:jc w:val="both"/>
        <w:rPr>
          <w:rFonts w:ascii="Times New Roman" w:hAnsi="Times New Roman" w:eastAsia="Times New Roman" w:cs="Times New Roman"/>
          <w:iCs/>
          <w:color w:val="000000"/>
          <w:sz w:val="28"/>
          <w:szCs w:val="28"/>
          <w:lang w:val="uk-UA" w:eastAsia="ru-RU"/>
        </w:rPr>
      </w:pPr>
      <w:r>
        <w:rPr>
          <w:rFonts w:ascii="Times New Roman" w:hAnsi="Times New Roman" w:eastAsia="Times New Roman" w:cs="Times New Roman"/>
          <w:sz w:val="28"/>
          <w:szCs w:val="28"/>
          <w:lang w:val="uk-UA" w:eastAsia="ru-RU"/>
        </w:rPr>
        <w:t>На сьогодні існує велика кількість систем, які фіксують дані про локомоцію людини.</w:t>
      </w:r>
      <w:r>
        <w:rPr>
          <w:rFonts w:ascii="Times New Roman" w:hAnsi="Times New Roman" w:eastAsia="Times New Roman" w:cs="Times New Roman"/>
          <w:lang w:val="ru-RU" w:eastAsia="ru-RU"/>
        </w:rPr>
        <w:t xml:space="preserve"> </w:t>
      </w:r>
      <w:r>
        <w:rPr>
          <w:rFonts w:ascii="Times New Roman" w:hAnsi="Times New Roman" w:eastAsia="Times New Roman" w:cs="Times New Roman"/>
          <w:sz w:val="28"/>
          <w:szCs w:val="28"/>
          <w:lang w:val="uk-UA" w:eastAsia="ru-RU"/>
        </w:rPr>
        <w:t>Найчастіше для вивчення порушень  ходи в клінічній практиці використовують загальні рейтингові шкали. Незважаючи на їхнє загальне використання в клінічному контексті, ці шкали зазнавали критики, оскільки їм бракує специфічності, чутливості та/або надійності, а також вони вимагають високого рівня кваліфікації клініцистів. З цих причин інструменти спостережної оцінки ходи та клінічні шкали можуть бути корисними для одновимірної або неспецифічної оцінки ходи, але вони не підходять для багатовимірного аналізу ходи, який виконується за допомогою технологій, пов’язаних з ходою. Ці пристрої класифікуються як такі, які не носить людина (NWS - non-wearable sensors), тобто лабораторні системи захоплення руху, пластини та платформи. Однак їхнім істотним недоліком є громідзкий дизайн та потреба у постійному контролю з боку дослідників. Тому існує потреба у розробці легкого переносимого (портативного) обладнання для контролю показників ходьби,</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val="uk-UA" w:eastAsia="ru-RU"/>
        </w:rPr>
        <w:t xml:space="preserve">аби пацієнт самостійно міг фіксувати дані про локомоцію та стежити за станом свого здоров’я. Носимі датчики існують у кількох варіаціях, зокрема як натільні присторії або вбудовані у смарт прилади акселерометри (Акселерометр — це тип інерційного датчика, який може вимірювати прискорення вздовж своєї чутливої осі. Загальний принцип роботи акселерометрів базується на механічному чутливому елементі, який містить пробну масу, прикріплену до механічної системи підвіски відносно системи відліку, які забезпечують фіксацію даних про ходу за кількома найпоширенішими показниками). </w:t>
      </w:r>
      <w:r>
        <w:rPr>
          <w:rFonts w:ascii="Times New Roman" w:hAnsi="Times New Roman" w:eastAsia="Times New Roman" w:cs="Times New Roman"/>
          <w:sz w:val="28"/>
          <w:szCs w:val="28"/>
          <w:lang w:val="ru-RU" w:eastAsia="ru-RU"/>
        </w:rPr>
        <w:t xml:space="preserve">Використовуючи ці інструменти, фізіотерапевти та неврологи мають більш об’єктивні вимірювання рухової функції та можуть планувати індивідуальні та спеціальні тренування ходи та рівноваги на ранній стадії для досягнення кращих результатів та покращення якості життя пацієнтів </w:t>
      </w:r>
      <w:r>
        <w:rPr>
          <w:rFonts w:ascii="Times New Roman" w:hAnsi="Times New Roman" w:eastAsia="Times New Roman" w:cs="Times New Roman"/>
          <w:sz w:val="28"/>
          <w:szCs w:val="28"/>
          <w:lang w:eastAsia="ru-RU"/>
        </w:rPr>
        <w:t>[1]</w:t>
      </w:r>
      <w:r>
        <w:rPr>
          <w:rFonts w:ascii="Times New Roman" w:hAnsi="Times New Roman" w:eastAsia="Times New Roman" w:cs="Times New Roman"/>
          <w:sz w:val="28"/>
          <w:szCs w:val="28"/>
          <w:lang w:val="ru-RU" w:eastAsia="ru-RU"/>
        </w:rPr>
        <w:t xml:space="preserve">. </w:t>
      </w:r>
      <w:r>
        <w:rPr>
          <w:rFonts w:ascii="Times New Roman" w:hAnsi="Times New Roman" w:eastAsia="Times New Roman" w:cs="Times New Roman"/>
          <w:sz w:val="28"/>
          <w:szCs w:val="28"/>
          <w:lang w:val="uk-UA" w:eastAsia="ru-RU"/>
        </w:rPr>
        <w:t>Окрім того дослідження ходи є важливим для пацієнтів похилого віку, адже через обмежену рухливість суглобів існує істотний ризик до зростання падіння під час пересування таких осіб. Тому відстежують  прості параметри ходи, а саме:</w:t>
      </w:r>
      <w:r>
        <w:rPr>
          <w:rFonts w:ascii="Times New Roman" w:hAnsi="Times New Roman" w:eastAsia="Times New Roman" w:cs="Times New Roman"/>
          <w:i/>
          <w:color w:val="000000"/>
          <w:sz w:val="28"/>
          <w:szCs w:val="28"/>
          <w:lang w:val="uk-UA" w:eastAsia="ru-RU"/>
        </w:rPr>
        <w:t xml:space="preserve"> </w:t>
      </w:r>
      <w:bookmarkStart w:id="1" w:name="_Hlk152760657"/>
      <w:r>
        <w:rPr>
          <w:rFonts w:ascii="Times New Roman" w:hAnsi="Times New Roman" w:eastAsia="Times New Roman" w:cs="Times New Roman"/>
          <w:iCs/>
          <w:color w:val="000000"/>
          <w:sz w:val="28"/>
          <w:szCs w:val="28"/>
          <w:lang w:val="uk-UA" w:eastAsia="ru-RU"/>
        </w:rPr>
        <w:t>швидкість ходи (км/год)</w:t>
      </w:r>
      <w:r>
        <w:rPr>
          <w:rFonts w:ascii="Times New Roman" w:hAnsi="Times New Roman" w:eastAsia="Times New Roman" w:cs="Times New Roman"/>
          <w:iCs/>
          <w:color w:val="000000"/>
          <w:sz w:val="28"/>
          <w:szCs w:val="28"/>
          <w:lang w:val="ru-RU" w:eastAsia="ru-RU"/>
        </w:rPr>
        <w:t>,</w:t>
      </w:r>
      <w:r>
        <w:rPr>
          <w:rFonts w:ascii="Times New Roman" w:hAnsi="Times New Roman" w:eastAsia="Times New Roman" w:cs="Times New Roman"/>
          <w:iCs/>
          <w:color w:val="000000"/>
          <w:sz w:val="28"/>
          <w:szCs w:val="28"/>
          <w:lang w:val="uk-UA" w:eastAsia="ru-RU"/>
        </w:rPr>
        <w:t xml:space="preserve"> асиметрію ходи (%)  та час двоопорної фази хо</w:t>
      </w:r>
      <w:r>
        <w:rPr>
          <w:rFonts w:ascii="Times New Roman" w:hAnsi="Times New Roman" w:eastAsia="Times New Roman" w:cs="Times New Roman"/>
          <w:iCs/>
          <w:color w:val="000000"/>
          <w:sz w:val="28"/>
          <w:szCs w:val="28"/>
          <w:lang w:val="ru-RU" w:eastAsia="ru-RU"/>
        </w:rPr>
        <w:t>д</w:t>
      </w:r>
      <w:r>
        <w:rPr>
          <w:rFonts w:ascii="Times New Roman" w:hAnsi="Times New Roman" w:eastAsia="Times New Roman" w:cs="Times New Roman"/>
          <w:iCs/>
          <w:color w:val="000000"/>
          <w:sz w:val="28"/>
          <w:szCs w:val="28"/>
          <w:lang w:val="uk-UA" w:eastAsia="ru-RU"/>
        </w:rPr>
        <w:t>ьби</w:t>
      </w:r>
      <w:r>
        <w:rPr>
          <w:rFonts w:ascii="Times New Roman" w:hAnsi="Times New Roman" w:eastAsia="Times New Roman" w:cs="Times New Roman"/>
          <w:iCs/>
          <w:color w:val="000000"/>
          <w:sz w:val="28"/>
          <w:szCs w:val="28"/>
          <w:lang w:val="ru-RU" w:eastAsia="ru-RU"/>
        </w:rPr>
        <w:t xml:space="preserve"> </w:t>
      </w:r>
      <w:r>
        <w:rPr>
          <w:rFonts w:ascii="Times New Roman" w:hAnsi="Times New Roman" w:eastAsia="Times New Roman" w:cs="Times New Roman"/>
          <w:iCs/>
          <w:color w:val="000000"/>
          <w:sz w:val="28"/>
          <w:szCs w:val="28"/>
          <w:lang w:val="uk-UA" w:eastAsia="ru-RU"/>
        </w:rPr>
        <w:t>(%)</w:t>
      </w:r>
      <w:bookmarkEnd w:id="1"/>
      <w:r>
        <w:rPr>
          <w:rFonts w:ascii="Times New Roman" w:hAnsi="Times New Roman" w:eastAsia="Times New Roman" w:cs="Times New Roman"/>
          <w:iCs/>
          <w:color w:val="000000"/>
          <w:sz w:val="28"/>
          <w:szCs w:val="28"/>
          <w:lang w:val="uk-UA" w:eastAsia="ru-RU"/>
        </w:rPr>
        <w:t>. За допомогою додатків для  смартфонів чи сенсорних смартодинників можна одержати інформацію про особливості постурального контролю у похилих осіб, що є корисним для клініцистів геріатрії.</w:t>
      </w:r>
    </w:p>
    <w:p w14:paraId="4B7A2261">
      <w:pPr>
        <w:spacing w:line="360" w:lineRule="auto"/>
        <w:ind w:firstLine="720"/>
        <w:jc w:val="both"/>
        <w:rPr>
          <w:rFonts w:ascii="Times New Roman" w:hAnsi="Times New Roman" w:eastAsia="SimSun" w:cs="Times New Roman"/>
          <w:color w:val="222222"/>
          <w:sz w:val="28"/>
          <w:szCs w:val="28"/>
          <w:shd w:val="clear" w:color="auto" w:fill="FFFFFF"/>
          <w:lang w:val="ru-RU" w:eastAsia="ru-RU"/>
        </w:rPr>
      </w:pPr>
      <w:r>
        <w:rPr>
          <w:rFonts w:ascii="Times New Roman" w:hAnsi="Times New Roman" w:eastAsia="Times New Roman" w:cs="Times New Roman"/>
          <w:bCs/>
          <w:iCs/>
          <w:color w:val="000000"/>
          <w:sz w:val="28"/>
          <w:szCs w:val="28"/>
          <w:lang w:val="uk-UA" w:eastAsia="ru-RU"/>
        </w:rPr>
        <w:t xml:space="preserve">Окрім того, </w:t>
      </w:r>
      <w:r>
        <w:rPr>
          <w:rFonts w:ascii="Times New Roman" w:hAnsi="Times New Roman" w:eastAsia="SimSun" w:cs="Times New Roman"/>
          <w:bCs/>
          <w:color w:val="222222"/>
          <w:sz w:val="28"/>
          <w:szCs w:val="28"/>
          <w:shd w:val="clear" w:color="auto" w:fill="FFFFFF"/>
          <w:lang w:val="uk-UA" w:eastAsia="ru-RU"/>
        </w:rPr>
        <w:t>п</w:t>
      </w:r>
      <w:r>
        <w:rPr>
          <w:rFonts w:ascii="Times New Roman" w:hAnsi="Times New Roman" w:eastAsia="SimSun" w:cs="Times New Roman"/>
          <w:bCs/>
          <w:color w:val="222222"/>
          <w:sz w:val="28"/>
          <w:szCs w:val="28"/>
          <w:shd w:val="clear" w:color="auto" w:fill="FFFFFF"/>
          <w:lang w:val="ru-RU" w:eastAsia="ru-RU"/>
        </w:rPr>
        <w:t>орушення ходи та постави є найчастішими симптомами неврологічних захворювань (НД), включаючи набуту травму головного мозку (інсульт і черепно-мозкову травму (ЧМТ)), а також нейродегенеративні розлади, включаючи хворобу Паркінсона (ХП), мозочкову атаксію (КА) та розсіяний</w:t>
      </w:r>
      <w:r>
        <w:rPr>
          <w:rFonts w:ascii="Times New Roman" w:hAnsi="Times New Roman" w:eastAsia="SimSun" w:cs="Times New Roman"/>
          <w:color w:val="222222"/>
          <w:sz w:val="28"/>
          <w:szCs w:val="28"/>
          <w:shd w:val="clear" w:color="auto" w:fill="FFFFFF"/>
          <w:lang w:val="ru-RU" w:eastAsia="ru-RU"/>
        </w:rPr>
        <w:t xml:space="preserve"> склероз (РС). Ці порушення часто знижують якість життя людей, уражених НД, обмежуючи повсякденну діяльність [</w:t>
      </w:r>
      <w:r>
        <w:rPr>
          <w:rFonts w:ascii="Times New Roman" w:hAnsi="Times New Roman" w:eastAsia="SimSun" w:cs="Times New Roman"/>
          <w:color w:val="222222"/>
          <w:sz w:val="28"/>
          <w:szCs w:val="28"/>
          <w:shd w:val="clear" w:color="auto" w:fill="FFFFFF"/>
          <w:lang w:eastAsia="ru-RU"/>
        </w:rPr>
        <w:t>2</w:t>
      </w:r>
      <w:r>
        <w:rPr>
          <w:rFonts w:ascii="Times New Roman" w:hAnsi="Times New Roman" w:eastAsia="SimSun" w:cs="Times New Roman"/>
          <w:color w:val="222222"/>
          <w:sz w:val="28"/>
          <w:szCs w:val="28"/>
          <w:shd w:val="clear" w:color="auto" w:fill="FFFFFF"/>
          <w:lang w:val="ru-RU" w:eastAsia="ru-RU"/>
        </w:rPr>
        <w:t>]. Змінені моделі ходи у тих, хто переніс інсульт, включають зменшену фазу стійки та подовжену фазу розгойдування на паретичну сторону, на додаток до зменшення швидкості ходьби та коротшої довжини кроку [</w:t>
      </w:r>
      <w:r>
        <w:rPr>
          <w:rFonts w:ascii="Times New Roman" w:hAnsi="Times New Roman" w:eastAsia="SimSun" w:cs="Times New Roman"/>
          <w:color w:val="222222"/>
          <w:sz w:val="28"/>
          <w:szCs w:val="28"/>
          <w:shd w:val="clear" w:color="auto" w:fill="FFFFFF"/>
          <w:lang w:eastAsia="ru-RU"/>
        </w:rPr>
        <w:t>3</w:t>
      </w:r>
      <w:r>
        <w:rPr>
          <w:rFonts w:ascii="Times New Roman" w:hAnsi="Times New Roman" w:eastAsia="SimSun" w:cs="Times New Roman"/>
          <w:color w:val="222222"/>
          <w:sz w:val="28"/>
          <w:szCs w:val="28"/>
          <w:shd w:val="clear" w:color="auto" w:fill="FFFFFF"/>
          <w:lang w:val="ru-RU" w:eastAsia="ru-RU"/>
        </w:rPr>
        <w:t>]. При ЧМТ характер ходи дуже схожий на інсульт, залежно від ступеня травми (тобто легкої, середньої та важкої). Як правило, спостерігається зниження швидкості ходьби, з серйозними труднощами при ходьбі в тандемі та підтримці рівноваги. При нейродегенеративних розладах, таких як ХП, на зміни ходи впливають ригідність і постуральна нестабільність, що впливає на рух кінцівок вперед і на просторово-часові параметри ходи, включаючи швидкість і довжину кроку. Усі ці вади ходи можна об’єктивно дослідити за допомогою систем аналізу ходи та інших технологій, здатних фіксувати рухи під час ходьби.</w:t>
      </w:r>
    </w:p>
    <w:p w14:paraId="2785CD43">
      <w:pPr>
        <w:spacing w:line="360" w:lineRule="auto"/>
        <w:ind w:firstLine="720"/>
        <w:jc w:val="both"/>
        <w:rPr>
          <w:rFonts w:ascii="Times New Roman" w:hAnsi="Times New Roman" w:eastAsia="Times New Roman" w:cs="Times New Roman"/>
          <w:bCs/>
          <w:iCs/>
          <w:color w:val="000000"/>
          <w:sz w:val="28"/>
          <w:szCs w:val="28"/>
          <w:lang w:val="uk-UA" w:eastAsia="ru-RU"/>
        </w:rPr>
      </w:pPr>
      <w:r>
        <w:rPr>
          <w:rFonts w:ascii="Times New Roman" w:hAnsi="Times New Roman" w:eastAsia="Times New Roman" w:cs="Times New Roman"/>
          <w:bCs/>
          <w:iCs/>
          <w:color w:val="000000"/>
          <w:sz w:val="28"/>
          <w:szCs w:val="28"/>
          <w:lang w:val="uk-UA" w:eastAsia="ru-RU"/>
        </w:rPr>
        <w:t>У наш час такі переносні системи все ще не є надто поширеними у клінічній практиці, тож існує велика необхідність додаткових досліджень та тестів смарт систем захоплення параметрів ходи серед здорової популяції населення. Зокрема це дослідження у цій дипломній роботі зосереджене на вибірці здорових студентів у віковому діапазоні 17-21 років, які носили смарт годинники та користувались спеціальними додатками на смартфонах, які фіксували базові показники ходи:</w:t>
      </w:r>
      <w:r>
        <w:rPr>
          <w:rFonts w:ascii="Times New Roman" w:hAnsi="Times New Roman" w:eastAsia="Times New Roman" w:cs="Times New Roman"/>
          <w:lang w:val="ru-RU" w:eastAsia="ru-RU"/>
        </w:rPr>
        <w:t xml:space="preserve"> </w:t>
      </w:r>
      <w:r>
        <w:rPr>
          <w:rFonts w:ascii="Times New Roman" w:hAnsi="Times New Roman" w:eastAsia="Times New Roman" w:cs="Times New Roman"/>
          <w:bCs/>
          <w:iCs/>
          <w:color w:val="000000"/>
          <w:sz w:val="28"/>
          <w:szCs w:val="28"/>
          <w:lang w:val="uk-UA" w:eastAsia="ru-RU"/>
        </w:rPr>
        <w:t>швидкість ходи (км/год), асиметрію ходи(%)  та час двоопорної фази ходьби (%).</w:t>
      </w:r>
    </w:p>
    <w:p w14:paraId="53205E01">
      <w:pPr>
        <w:spacing w:line="360" w:lineRule="auto"/>
        <w:ind w:firstLine="1800"/>
        <w:jc w:val="both"/>
        <w:rPr>
          <w:rFonts w:ascii="Times New Roman" w:hAnsi="Times New Roman" w:eastAsia="Times New Roman" w:cs="Times New Roman"/>
          <w:bCs/>
          <w:iCs/>
          <w:color w:val="000000"/>
          <w:sz w:val="28"/>
          <w:szCs w:val="28"/>
          <w:lang w:val="uk-UA" w:eastAsia="ru-RU"/>
        </w:rPr>
      </w:pPr>
    </w:p>
    <w:p w14:paraId="1BC31DF6">
      <w:pPr>
        <w:spacing w:line="360" w:lineRule="auto"/>
        <w:jc w:val="both"/>
        <w:rPr>
          <w:rFonts w:ascii="Times New Roman" w:hAnsi="Times New Roman" w:eastAsia="Times New Roman" w:cs="Times New Roman"/>
          <w:bCs/>
          <w:iCs/>
          <w:color w:val="000000"/>
          <w:sz w:val="28"/>
          <w:szCs w:val="28"/>
          <w:lang w:val="uk-UA" w:eastAsia="ru-RU"/>
        </w:rPr>
      </w:pPr>
      <w:r>
        <w:rPr>
          <w:rFonts w:ascii="Times New Roman" w:hAnsi="Times New Roman" w:eastAsia="Times New Roman" w:cs="Times New Roman"/>
          <w:b/>
          <w:iCs/>
          <w:color w:val="000000"/>
          <w:sz w:val="28"/>
          <w:szCs w:val="28"/>
          <w:lang w:val="uk-UA" w:eastAsia="ru-RU"/>
        </w:rPr>
        <w:t>Мета роботи:</w:t>
      </w:r>
      <w:r>
        <w:rPr>
          <w:rFonts w:ascii="Times New Roman" w:hAnsi="Times New Roman" w:eastAsia="Times New Roman" w:cs="Times New Roman"/>
          <w:bCs/>
          <w:iCs/>
          <w:color w:val="000000"/>
          <w:sz w:val="28"/>
          <w:szCs w:val="28"/>
          <w:lang w:val="uk-UA" w:eastAsia="ru-RU"/>
        </w:rPr>
        <w:t xml:space="preserve"> проаналізувати показники ходи студентів на підставі даних, одержаних за допомогою фітнес-браслетів та відповідних застосунків на смартфонах.</w:t>
      </w:r>
    </w:p>
    <w:p w14:paraId="276138CA">
      <w:pPr>
        <w:spacing w:line="360" w:lineRule="auto"/>
        <w:jc w:val="both"/>
        <w:rPr>
          <w:rFonts w:ascii="Times New Roman" w:hAnsi="Times New Roman" w:eastAsia="Times New Roman" w:cs="Times New Roman"/>
          <w:bCs/>
          <w:iCs/>
          <w:color w:val="000000"/>
          <w:sz w:val="28"/>
          <w:szCs w:val="28"/>
          <w:lang w:val="uk-UA" w:eastAsia="ru-RU"/>
        </w:rPr>
      </w:pPr>
    </w:p>
    <w:p w14:paraId="57CC6FBA">
      <w:pPr>
        <w:spacing w:line="360" w:lineRule="auto"/>
        <w:jc w:val="both"/>
        <w:rPr>
          <w:rFonts w:ascii="Times New Roman" w:hAnsi="Times New Roman" w:eastAsia="SimSun" w:cs="Times New Roman"/>
          <w:color w:val="000000"/>
          <w:sz w:val="28"/>
          <w:szCs w:val="28"/>
        </w:rPr>
      </w:pPr>
      <w:r>
        <w:rPr>
          <w:rFonts w:ascii="Times New Roman" w:hAnsi="Times New Roman" w:eastAsia="SimSun" w:cs="Times New Roman"/>
          <w:b/>
          <w:bCs/>
          <w:color w:val="000000"/>
          <w:sz w:val="28"/>
          <w:szCs w:val="28"/>
        </w:rPr>
        <w:t>Об’єкт досліження:</w:t>
      </w:r>
      <w:r>
        <w:rPr>
          <w:rFonts w:ascii="Times New Roman" w:hAnsi="Times New Roman" w:eastAsia="SimSun" w:cs="Times New Roman"/>
          <w:color w:val="000000"/>
          <w:sz w:val="28"/>
          <w:szCs w:val="28"/>
        </w:rPr>
        <w:t xml:space="preserve"> хода як моторна функція людини.</w:t>
      </w:r>
    </w:p>
    <w:p w14:paraId="24BF1C17">
      <w:pPr>
        <w:spacing w:line="360" w:lineRule="auto"/>
        <w:jc w:val="both"/>
        <w:rPr>
          <w:rFonts w:ascii="Times New Roman" w:hAnsi="Times New Roman" w:eastAsia="Times New Roman" w:cs="Times New Roman"/>
          <w:bCs/>
          <w:iCs/>
          <w:color w:val="000000"/>
          <w:sz w:val="28"/>
          <w:szCs w:val="28"/>
          <w:lang w:val="uk-UA" w:eastAsia="ru-RU"/>
        </w:rPr>
      </w:pPr>
      <w:r>
        <w:rPr>
          <w:rFonts w:ascii="Times New Roman" w:hAnsi="Times New Roman" w:eastAsia="SimSun" w:cs="Times New Roman"/>
          <w:b/>
          <w:bCs/>
          <w:color w:val="000000"/>
          <w:sz w:val="28"/>
          <w:szCs w:val="28"/>
          <w:lang w:val="uk-UA"/>
        </w:rPr>
        <w:t>Предмет дослідження:</w:t>
      </w:r>
      <w:r>
        <w:rPr>
          <w:rFonts w:ascii="Times New Roman" w:hAnsi="Times New Roman" w:eastAsia="SimSun" w:cs="Times New Roman"/>
          <w:color w:val="000000"/>
          <w:sz w:val="28"/>
          <w:szCs w:val="28"/>
          <w:lang w:val="uk-UA"/>
        </w:rPr>
        <w:t xml:space="preserve"> моніторинг окремих показників ходи та виявлення залежності між ними.</w:t>
      </w:r>
    </w:p>
    <w:p w14:paraId="58E7244F">
      <w:pPr>
        <w:autoSpaceDE w:val="0"/>
        <w:adjustRightInd w:val="0"/>
        <w:spacing w:before="100" w:beforeAutospacing="1" w:after="200" w:line="273" w:lineRule="auto"/>
        <w:rPr>
          <w:rFonts w:ascii="Times New Roman" w:hAnsi="Times New Roman" w:eastAsia="Times New Roman" w:cs="Times New Roman"/>
          <w:b/>
          <w:bCs/>
          <w:sz w:val="28"/>
          <w:szCs w:val="28"/>
          <w:lang w:val="ru-RU" w:eastAsia="ru-RU"/>
        </w:rPr>
      </w:pPr>
      <w:r>
        <w:rPr>
          <w:rFonts w:ascii="Times New Roman" w:hAnsi="Times New Roman" w:eastAsia="Times New Roman" w:cs="Times New Roman"/>
          <w:b/>
          <w:bCs/>
          <w:sz w:val="28"/>
          <w:szCs w:val="28"/>
          <w:lang w:val="ru-RU" w:eastAsia="ru-RU"/>
        </w:rPr>
        <w:t>Завдання:</w:t>
      </w:r>
    </w:p>
    <w:p w14:paraId="3668E090">
      <w:pPr>
        <w:pStyle w:val="5"/>
        <w:numPr>
          <w:ilvl w:val="0"/>
          <w:numId w:val="1"/>
        </w:numPr>
        <w:tabs>
          <w:tab w:val="left" w:pos="425"/>
        </w:tabs>
        <w:autoSpaceDE w:val="0"/>
        <w:adjustRightInd w:val="0"/>
        <w:spacing w:before="100" w:beforeAutospacing="1" w:after="200" w:line="274" w:lineRule="auto"/>
        <w:ind w:left="357" w:hanging="357"/>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ru-RU" w:eastAsia="ru-RU"/>
        </w:rPr>
        <w:t>Здійснити аналіз показників ходи (швидкість ходи, асиметрія ходи  та час двоопорної фази ходьби) серед студентів.</w:t>
      </w:r>
    </w:p>
    <w:p w14:paraId="707BC36F">
      <w:pPr>
        <w:pStyle w:val="5"/>
        <w:numPr>
          <w:ilvl w:val="0"/>
          <w:numId w:val="1"/>
        </w:numPr>
        <w:tabs>
          <w:tab w:val="left" w:pos="425"/>
        </w:tabs>
        <w:autoSpaceDE w:val="0"/>
        <w:adjustRightInd w:val="0"/>
        <w:spacing w:before="100" w:beforeAutospacing="1" w:after="200" w:line="274" w:lineRule="auto"/>
        <w:ind w:left="357" w:hanging="357"/>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ru-RU" w:eastAsia="ru-RU"/>
        </w:rPr>
        <w:t xml:space="preserve">Розраховувати кореляційні залежності між </w:t>
      </w:r>
      <w:r>
        <w:rPr>
          <w:rFonts w:ascii="Times New Roman" w:hAnsi="Times New Roman" w:eastAsia="Times New Roman" w:cs="Times New Roman"/>
          <w:sz w:val="28"/>
          <w:szCs w:val="28"/>
          <w:lang w:val="uk-UA" w:eastAsia="ru-RU"/>
        </w:rPr>
        <w:t>а</w:t>
      </w:r>
      <w:r>
        <w:rPr>
          <w:rFonts w:ascii="Times New Roman" w:hAnsi="Times New Roman" w:eastAsia="Times New Roman" w:cs="Times New Roman"/>
          <w:sz w:val="28"/>
          <w:szCs w:val="28"/>
          <w:lang w:val="ru-RU" w:eastAsia="ru-RU"/>
        </w:rPr>
        <w:t xml:space="preserve">симетрією ходи </w:t>
      </w:r>
      <w:r>
        <w:rPr>
          <w:rFonts w:ascii="Times New Roman" w:hAnsi="Times New Roman" w:eastAsia="Times New Roman" w:cs="Times New Roman"/>
          <w:sz w:val="28"/>
          <w:szCs w:val="28"/>
          <w:lang w:val="uk-UA" w:eastAsia="ru-RU"/>
        </w:rPr>
        <w:t xml:space="preserve"> та </w:t>
      </w:r>
      <w:r>
        <w:rPr>
          <w:rFonts w:ascii="Times New Roman" w:hAnsi="Times New Roman" w:eastAsia="Times New Roman" w:cs="Times New Roman"/>
          <w:sz w:val="28"/>
          <w:szCs w:val="28"/>
          <w:lang w:val="ru-RU" w:eastAsia="ru-RU"/>
        </w:rPr>
        <w:t>довжиною крок</w:t>
      </w:r>
      <w:r>
        <w:rPr>
          <w:rFonts w:ascii="Times New Roman" w:hAnsi="Times New Roman" w:eastAsia="Times New Roman" w:cs="Times New Roman"/>
          <w:sz w:val="28"/>
          <w:szCs w:val="28"/>
          <w:lang w:val="uk-UA" w:eastAsia="ru-RU"/>
        </w:rPr>
        <w:t>у студентів природничого та гуманітарного профілю.</w:t>
      </w:r>
    </w:p>
    <w:p w14:paraId="57057255">
      <w:pPr>
        <w:pStyle w:val="5"/>
        <w:numPr>
          <w:ilvl w:val="0"/>
          <w:numId w:val="1"/>
        </w:numPr>
        <w:tabs>
          <w:tab w:val="left" w:pos="425"/>
        </w:tabs>
        <w:autoSpaceDE w:val="0"/>
        <w:adjustRightInd w:val="0"/>
        <w:spacing w:before="100" w:beforeAutospacing="1" w:after="200" w:line="274" w:lineRule="auto"/>
        <w:ind w:left="357" w:hanging="357"/>
        <w:rPr>
          <w:rFonts w:ascii="Times New Roman" w:hAnsi="Times New Roman" w:eastAsia="Times New Roman" w:cs="Times New Roman"/>
          <w:sz w:val="28"/>
          <w:szCs w:val="28"/>
          <w:lang w:val="ru-RU" w:eastAsia="ru-RU"/>
        </w:rPr>
      </w:pPr>
      <w:r>
        <w:rPr>
          <w:rFonts w:ascii="Times New Roman" w:hAnsi="Times New Roman" w:eastAsia="SimSun" w:cs="Times New Roman"/>
          <w:color w:val="000000"/>
          <w:sz w:val="28"/>
          <w:szCs w:val="28"/>
          <w:shd w:val="clear" w:color="auto" w:fill="FFFFFF"/>
          <w:lang w:val="ru-RU" w:eastAsia="ru-RU"/>
        </w:rPr>
        <w:t xml:space="preserve">Встановити кореляційний зв'язок між показником асиметрії ходи та швидкістю ходи студентів біологів та психологів. </w:t>
      </w:r>
      <w:r>
        <w:rPr>
          <w:rFonts w:ascii="Times New Roman" w:hAnsi="Times New Roman" w:eastAsia="Times New Roman" w:cs="Times New Roman"/>
          <w:sz w:val="28"/>
          <w:szCs w:val="28"/>
          <w:lang w:val="ru-RU" w:eastAsia="ru-RU"/>
        </w:rPr>
        <w:t xml:space="preserve"> </w:t>
      </w:r>
    </w:p>
    <w:p w14:paraId="07000E35">
      <w:pPr>
        <w:pStyle w:val="5"/>
        <w:numPr>
          <w:ilvl w:val="0"/>
          <w:numId w:val="1"/>
        </w:numPr>
        <w:tabs>
          <w:tab w:val="left" w:pos="425"/>
        </w:tabs>
        <w:autoSpaceDE w:val="0"/>
        <w:adjustRightInd w:val="0"/>
        <w:spacing w:before="100" w:beforeAutospacing="1" w:after="200" w:line="274" w:lineRule="auto"/>
        <w:ind w:left="357" w:hanging="357"/>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uk-UA" w:eastAsia="ru-RU"/>
        </w:rPr>
        <w:t xml:space="preserve">Встановити кореляційний зв’язок між  швидкістю ходи та показниками двоопорної фази ходи. </w:t>
      </w:r>
    </w:p>
    <w:p w14:paraId="282DCD3D">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002769AB">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030D63B2">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33B65B57">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75DAD8E1">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67BF2A35">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2BC31C3B">
      <w:pPr>
        <w:autoSpaceDE w:val="0"/>
        <w:adjustRightInd w:val="0"/>
        <w:spacing w:before="100" w:beforeAutospacing="1" w:after="200" w:line="273" w:lineRule="auto"/>
        <w:rPr>
          <w:rFonts w:ascii="Times New Roman" w:hAnsi="Times New Roman" w:eastAsia="Times New Roman" w:cs="Times New Roman"/>
          <w:sz w:val="28"/>
          <w:szCs w:val="28"/>
          <w:lang w:val="ru-RU" w:eastAsia="ru-RU"/>
        </w:rPr>
      </w:pPr>
    </w:p>
    <w:p w14:paraId="4D8A9928">
      <w:bookmarkStart w:id="2" w:name="_GoBack"/>
      <w:bookmarkEnd w:id="2"/>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93193"/>
    <w:multiLevelType w:val="multilevel"/>
    <w:tmpl w:val="24993193"/>
    <w:lvl w:ilvl="0" w:tentative="0">
      <w:start w:val="1"/>
      <w:numFmt w:val="decimal"/>
      <w:lvlText w:val="%1."/>
      <w:lvlJc w:val="left"/>
      <w:pPr>
        <w:ind w:left="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A9678A"/>
    <w:rsid w:val="06A96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qFormat/>
    <w:uiPriority w:val="0"/>
    <w:pPr>
      <w:keepNext/>
      <w:jc w:val="center"/>
      <w:outlineLvl w:val="1"/>
    </w:pPr>
    <w:rPr>
      <w:rFonts w:asciiTheme="minorHAnsi" w:hAnsiTheme="minorHAnsi" w:eastAsiaTheme="minorEastAsia" w:cstheme="minorBidi"/>
      <w:b/>
      <w:sz w:val="32"/>
      <w:lang w:val="uk-UA" w:eastAsia="zh-CN" w:bidi="ar-SA"/>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List Paragraph"/>
    <w:basedOn w:val="1"/>
    <w:qFormat/>
    <w:uiPriority w:val="0"/>
    <w:pPr>
      <w:ind w:left="7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2025-01-21T17:32:00Z</dcterms:created>
  <dc:creator>Niacia</dc:creator>
  <cp:lastModifiedBy>Niacia</cp:lastModifiedBy>
  <dcterms:modified xsi:type="dcterms:W3CDTF">2025-01-21T17:32:43Z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80A1D61222424227BE638A2CA319EAF9_11</vt:lpwstr>
  </property>
</Properties>
</file>