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505"/>
        <w:gridCol w:w="4704"/>
      </w:tblGrid>
      <w:tr w:rsidR="00ED7B7F" w14:paraId="368BDA61" w14:textId="77777777" w:rsidTr="009C0C00">
        <w:tc>
          <w:tcPr>
            <w:tcW w:w="4505" w:type="dxa"/>
          </w:tcPr>
          <w:p w14:paraId="323116D7" w14:textId="77777777" w:rsidR="00ED7B7F" w:rsidRDefault="00ED7B7F" w:rsidP="00ED7B7F">
            <w:pPr>
              <w:jc w:val="center"/>
            </w:pPr>
            <w:bookmarkStart w:id="0" w:name="_GoBack"/>
            <w:bookmarkEnd w:id="0"/>
            <w:r w:rsidRPr="002509BE">
              <w:rPr>
                <w:b/>
                <w:lang w:val="en-US"/>
              </w:rPr>
              <w:t>Source Text</w:t>
            </w:r>
          </w:p>
        </w:tc>
        <w:tc>
          <w:tcPr>
            <w:tcW w:w="4704" w:type="dxa"/>
          </w:tcPr>
          <w:p w14:paraId="2045F319" w14:textId="77777777" w:rsidR="00ED7B7F" w:rsidRDefault="00ED7B7F" w:rsidP="00ED7B7F">
            <w:pPr>
              <w:jc w:val="center"/>
            </w:pPr>
            <w:r w:rsidRPr="002509BE">
              <w:rPr>
                <w:b/>
                <w:lang w:val="en-US"/>
              </w:rPr>
              <w:t>Target text</w:t>
            </w:r>
          </w:p>
        </w:tc>
      </w:tr>
      <w:tr w:rsidR="00ED7B7F" w14:paraId="594DCC34" w14:textId="77777777" w:rsidTr="009C0C00">
        <w:tc>
          <w:tcPr>
            <w:tcW w:w="4505" w:type="dxa"/>
          </w:tcPr>
          <w:p w14:paraId="2E457BFA" w14:textId="77777777" w:rsidR="00ED7B7F" w:rsidRDefault="00ED7B7F" w:rsidP="00ED7B7F">
            <w:pPr>
              <w:jc w:val="center"/>
            </w:pPr>
            <w:r>
              <w:rPr>
                <w:rFonts w:ascii="Calibri" w:hAnsi="Calibri" w:cs="Calibri"/>
                <w:b/>
                <w:lang w:val="en-US"/>
              </w:rPr>
              <w:t>EN</w:t>
            </w:r>
          </w:p>
        </w:tc>
        <w:tc>
          <w:tcPr>
            <w:tcW w:w="4704" w:type="dxa"/>
          </w:tcPr>
          <w:p w14:paraId="3AB1FD43" w14:textId="77777777" w:rsidR="00ED7B7F" w:rsidRDefault="00ED7B7F" w:rsidP="00ED7B7F">
            <w:pPr>
              <w:jc w:val="center"/>
            </w:pPr>
            <w:r>
              <w:rPr>
                <w:rFonts w:ascii="Calibri" w:hAnsi="Calibri" w:cs="Calibri"/>
                <w:b/>
                <w:lang w:val="en-US"/>
              </w:rPr>
              <w:t>UA</w:t>
            </w:r>
          </w:p>
        </w:tc>
      </w:tr>
      <w:tr w:rsidR="00ED7B7F" w14:paraId="2584995F" w14:textId="77777777" w:rsidTr="009C0C00">
        <w:tc>
          <w:tcPr>
            <w:tcW w:w="4505" w:type="dxa"/>
          </w:tcPr>
          <w:p w14:paraId="189FD111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b/>
                <w:bCs/>
                <w:color w:val="856D00"/>
                <w:lang w:val="en-US"/>
              </w:rPr>
            </w:pPr>
            <w:r w:rsidRPr="009D7CD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«</w:t>
            </w:r>
            <w:r w:rsidRPr="00ED7B7F">
              <w:rPr>
                <w:b/>
                <w:bCs/>
                <w:color w:val="856D00"/>
                <w:lang w:val="en-US"/>
              </w:rPr>
              <w:t>MECHANICAL SEAL CATALOG</w:t>
            </w:r>
          </w:p>
          <w:p w14:paraId="46243B6A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color w:val="231F20"/>
                <w:lang w:val="uk-UA"/>
              </w:rPr>
            </w:pPr>
            <w:r w:rsidRPr="00ED7B7F">
              <w:rPr>
                <w:rFonts w:ascii="Times New Roman" w:hAnsi="Times New Roman" w:cs="Times New Roman"/>
                <w:color w:val="231F20"/>
                <w:lang w:val="en-US"/>
              </w:rPr>
              <w:t>The Mechanical Seal Catalog is a starter reference source to help users identify standard</w:t>
            </w:r>
            <w:r w:rsidRPr="00ED7B7F">
              <w:rPr>
                <w:rFonts w:ascii="Times New Roman" w:hAnsi="Times New Roman" w:cs="Times New Roman"/>
                <w:color w:val="231F20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color w:val="231F20"/>
                <w:lang w:val="en-US"/>
              </w:rPr>
              <w:t>mechanical seal recommendations. This comprehensive catalog includes product</w:t>
            </w:r>
            <w:r w:rsidRPr="00ED7B7F">
              <w:rPr>
                <w:rFonts w:ascii="Times New Roman" w:hAnsi="Times New Roman" w:cs="Times New Roman"/>
                <w:color w:val="231F20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color w:val="231F20"/>
                <w:lang w:val="en-US"/>
              </w:rPr>
              <w:t>overviews,</w:t>
            </w:r>
            <w:r w:rsidRPr="00ED7B7F">
              <w:rPr>
                <w:rFonts w:ascii="Times New Roman" w:hAnsi="Times New Roman" w:cs="Times New Roman"/>
                <w:color w:val="231F20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color w:val="231F20"/>
                <w:lang w:val="en-US"/>
              </w:rPr>
              <w:t>installation data, seal recommendations by fluid, environmental control plans, and technical</w:t>
            </w:r>
            <w:r w:rsidRPr="00ED7B7F">
              <w:rPr>
                <w:rFonts w:ascii="Times New Roman" w:hAnsi="Times New Roman" w:cs="Times New Roman"/>
                <w:color w:val="231F20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color w:val="231F20"/>
                <w:lang w:val="en-US"/>
              </w:rPr>
              <w:t>reference sections.</w:t>
            </w:r>
          </w:p>
          <w:p w14:paraId="77081ADC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color w:val="231F20"/>
                <w:lang w:val="uk-UA"/>
              </w:rPr>
            </w:pPr>
          </w:p>
          <w:p w14:paraId="0CFB6376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556A81"/>
                <w:lang w:val="en-US"/>
              </w:rPr>
            </w:pPr>
            <w:r w:rsidRPr="00ED7B7F">
              <w:rPr>
                <w:rFonts w:ascii="Times New Roman" w:hAnsi="Times New Roman" w:cs="Times New Roman"/>
                <w:b/>
                <w:bCs/>
                <w:color w:val="556A81"/>
                <w:lang w:val="en-US"/>
              </w:rPr>
              <w:t>Heavy Duty Single Seal</w:t>
            </w:r>
          </w:p>
          <w:p w14:paraId="23234AF5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ED7B7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Offering maximum reliability in a wide application range</w:t>
            </w:r>
          </w:p>
          <w:p w14:paraId="1BFF6F79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gramStart"/>
            <w:r w:rsidRPr="00ED7B7F">
              <w:rPr>
                <w:rFonts w:ascii="Times New Roman" w:hAnsi="Times New Roman" w:cs="Times New Roman"/>
                <w:lang w:val="en-US"/>
              </w:rPr>
              <w:t>180 compact</w:t>
            </w:r>
            <w:proofErr w:type="gramEnd"/>
            <w:r w:rsidRPr="00ED7B7F">
              <w:rPr>
                <w:rFonts w:ascii="Times New Roman" w:hAnsi="Times New Roman" w:cs="Times New Roman"/>
                <w:lang w:val="en-US"/>
              </w:rPr>
              <w:t xml:space="preserve"> chassis is designed to fit ANSI and API610 pumps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with no modifications for ease of use. Advanced design features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 xml:space="preserve">combined with a rigorous testing regime have yielded this “next </w:t>
            </w:r>
            <w:proofErr w:type="spellStart"/>
            <w:proofErr w:type="gramStart"/>
            <w:r w:rsidRPr="00ED7B7F">
              <w:rPr>
                <w:rFonts w:ascii="Times New Roman" w:hAnsi="Times New Roman" w:cs="Times New Roman"/>
                <w:lang w:val="en-US"/>
              </w:rPr>
              <w:t>step”single</w:t>
            </w:r>
            <w:proofErr w:type="spellEnd"/>
            <w:proofErr w:type="gramEnd"/>
            <w:r w:rsidRPr="00ED7B7F">
              <w:rPr>
                <w:rFonts w:ascii="Times New Roman" w:hAnsi="Times New Roman" w:cs="Times New Roman"/>
                <w:lang w:val="en-US"/>
              </w:rPr>
              <w:t xml:space="preserve"> seal technology.</w:t>
            </w:r>
          </w:p>
          <w:p w14:paraId="31643FF6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Testing to ISO standards has shown the 180 to be a top performer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for emissions control. Using finite element analysis, face designs have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proven the dynamic emissions to be extremely low. The full featured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gland provides quench and drain capability.</w:t>
            </w:r>
          </w:p>
          <w:p w14:paraId="6DF69363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</w:p>
          <w:p w14:paraId="278120B2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FD01D84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E09040F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AED6248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D7B7F">
              <w:rPr>
                <w:rFonts w:ascii="Times New Roman" w:hAnsi="Times New Roman" w:cs="Times New Roman"/>
                <w:b/>
                <w:bCs/>
                <w:lang w:val="en-US"/>
              </w:rPr>
              <w:t>Maximum performance for demanding,</w:t>
            </w:r>
            <w:r w:rsidRPr="00ED7B7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b/>
                <w:bCs/>
                <w:lang w:val="en-US"/>
              </w:rPr>
              <w:t>high-torque applications</w:t>
            </w:r>
          </w:p>
          <w:p w14:paraId="4FE02BC9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color w:val="CEC193"/>
                <w:lang w:val="en-US"/>
              </w:rPr>
              <w:t xml:space="preserve">_ </w:t>
            </w:r>
            <w:r w:rsidRPr="00ED7B7F">
              <w:rPr>
                <w:rFonts w:ascii="Times New Roman" w:hAnsi="Times New Roman" w:cs="Times New Roman"/>
                <w:lang w:val="en-US"/>
              </w:rPr>
              <w:t>Cushioned, high strength drives</w:t>
            </w:r>
          </w:p>
          <w:p w14:paraId="65FCB0BC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color w:val="CEC193"/>
                <w:lang w:val="en-US"/>
              </w:rPr>
              <w:t xml:space="preserve">_ </w:t>
            </w:r>
            <w:r w:rsidRPr="00ED7B7F">
              <w:rPr>
                <w:rFonts w:ascii="Times New Roman" w:hAnsi="Times New Roman" w:cs="Times New Roman"/>
                <w:lang w:val="en-US"/>
              </w:rPr>
              <w:t>Rugged, high torque monolithic</w:t>
            </w:r>
          </w:p>
          <w:p w14:paraId="2A14F9A9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seal faces</w:t>
            </w:r>
          </w:p>
          <w:p w14:paraId="01BA8850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D7B7F">
              <w:rPr>
                <w:rFonts w:ascii="Times New Roman" w:hAnsi="Times New Roman" w:cs="Times New Roman"/>
                <w:b/>
                <w:bCs/>
                <w:lang w:val="en-US"/>
              </w:rPr>
              <w:t>Reliable sealing of slurries</w:t>
            </w:r>
          </w:p>
          <w:p w14:paraId="6C0C1637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color w:val="CEC193"/>
                <w:lang w:val="en-US"/>
              </w:rPr>
              <w:t xml:space="preserve">_ </w:t>
            </w:r>
            <w:proofErr w:type="spellStart"/>
            <w:r w:rsidRPr="00ED7B7F">
              <w:rPr>
                <w:rFonts w:ascii="Times New Roman" w:hAnsi="Times New Roman" w:cs="Times New Roman"/>
                <w:lang w:val="en-US"/>
              </w:rPr>
              <w:t>Micropolished</w:t>
            </w:r>
            <w:proofErr w:type="spellEnd"/>
            <w:r w:rsidRPr="00ED7B7F">
              <w:rPr>
                <w:rFonts w:ascii="Times New Roman" w:hAnsi="Times New Roman" w:cs="Times New Roman"/>
                <w:lang w:val="en-US"/>
              </w:rPr>
              <w:t xml:space="preserve"> O-ring surfaces</w:t>
            </w:r>
          </w:p>
          <w:p w14:paraId="26BD1BD1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eliminate O-ring hang-up</w:t>
            </w:r>
          </w:p>
          <w:p w14:paraId="3FE0F79E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color w:val="CEC193"/>
                <w:lang w:val="en-US"/>
              </w:rPr>
              <w:t xml:space="preserve">_ </w:t>
            </w:r>
            <w:r w:rsidRPr="00ED7B7F">
              <w:rPr>
                <w:rFonts w:ascii="Times New Roman" w:hAnsi="Times New Roman" w:cs="Times New Roman"/>
                <w:lang w:val="en-US"/>
              </w:rPr>
              <w:t>Stationary springs</w:t>
            </w:r>
          </w:p>
          <w:p w14:paraId="3488484F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color w:val="CEC193"/>
                <w:lang w:val="en-US"/>
              </w:rPr>
              <w:t xml:space="preserve">_ </w:t>
            </w:r>
            <w:r w:rsidRPr="00ED7B7F">
              <w:rPr>
                <w:rFonts w:ascii="Times New Roman" w:hAnsi="Times New Roman" w:cs="Times New Roman"/>
                <w:lang w:val="en-US"/>
              </w:rPr>
              <w:t>Narrow rotating face prevents wiping</w:t>
            </w:r>
          </w:p>
          <w:p w14:paraId="6B4AC55B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of solids</w:t>
            </w:r>
          </w:p>
          <w:p w14:paraId="2E8218EA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D7B7F">
              <w:rPr>
                <w:rFonts w:ascii="Times New Roman" w:hAnsi="Times New Roman" w:cs="Times New Roman"/>
                <w:b/>
                <w:bCs/>
                <w:lang w:val="en-US"/>
              </w:rPr>
              <w:t>Suited for the broadest range</w:t>
            </w:r>
            <w:r w:rsidRPr="00ED7B7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b/>
                <w:bCs/>
                <w:lang w:val="en-US"/>
              </w:rPr>
              <w:t>of applications</w:t>
            </w:r>
          </w:p>
          <w:p w14:paraId="50028F5D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color w:val="CEC193"/>
                <w:lang w:val="en-US"/>
              </w:rPr>
              <w:t xml:space="preserve">_ </w:t>
            </w:r>
            <w:r w:rsidRPr="00ED7B7F">
              <w:rPr>
                <w:rFonts w:ascii="Times New Roman" w:hAnsi="Times New Roman" w:cs="Times New Roman"/>
                <w:lang w:val="en-US"/>
              </w:rPr>
              <w:t>Full featured gland with quench/drain</w:t>
            </w:r>
          </w:p>
          <w:p w14:paraId="0D42D222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and floating bushing</w:t>
            </w:r>
          </w:p>
          <w:p w14:paraId="578412AE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color w:val="CEC193"/>
                <w:lang w:val="en-US"/>
              </w:rPr>
              <w:t xml:space="preserve">_ </w:t>
            </w:r>
            <w:r w:rsidRPr="00ED7B7F">
              <w:rPr>
                <w:rFonts w:ascii="Times New Roman" w:hAnsi="Times New Roman" w:cs="Times New Roman"/>
                <w:lang w:val="en-US"/>
              </w:rPr>
              <w:t>Special metals available for corrosive</w:t>
            </w:r>
          </w:p>
          <w:p w14:paraId="00CD7D20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services</w:t>
            </w:r>
          </w:p>
          <w:p w14:paraId="6645D4EB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color w:val="CEC193"/>
                <w:lang w:val="en-US"/>
              </w:rPr>
              <w:t xml:space="preserve">_ </w:t>
            </w:r>
            <w:r w:rsidRPr="00ED7B7F">
              <w:rPr>
                <w:rFonts w:ascii="Times New Roman" w:hAnsi="Times New Roman" w:cs="Times New Roman"/>
                <w:lang w:val="en-US"/>
              </w:rPr>
              <w:t>Multi-port flush injection providing</w:t>
            </w:r>
          </w:p>
          <w:p w14:paraId="2006203A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optimized cooling</w:t>
            </w:r>
          </w:p>
          <w:p w14:paraId="260F22BE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</w:p>
          <w:p w14:paraId="2DB4AC6A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</w:p>
          <w:p w14:paraId="07472CBD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08BF40C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b/>
                <w:lang w:val="en-US"/>
              </w:rPr>
            </w:pPr>
            <w:r w:rsidRPr="00ED7B7F">
              <w:rPr>
                <w:rFonts w:ascii="Times New Roman" w:hAnsi="Times New Roman" w:cs="Times New Roman"/>
                <w:b/>
                <w:lang w:val="en-US"/>
              </w:rPr>
              <w:lastRenderedPageBreak/>
              <w:t>General Purpose Dual Seal</w:t>
            </w:r>
          </w:p>
          <w:p w14:paraId="241E62B4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D7B7F">
              <w:rPr>
                <w:rFonts w:ascii="Times New Roman" w:hAnsi="Times New Roman" w:cs="Times New Roman"/>
                <w:b/>
                <w:i/>
                <w:lang w:val="en-US"/>
              </w:rPr>
              <w:t>This dual seal is a value leader in its class</w:t>
            </w:r>
          </w:p>
          <w:p w14:paraId="3CBD4DE9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</w:p>
          <w:p w14:paraId="4562B82A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The 250 is designed for cost-effective upgrading from packing and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underperforming single seals—further increasing plant reliability.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The 250 is an ideal choice for baseline applications where the need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for special alloys doesn’t exist.</w:t>
            </w:r>
          </w:p>
          <w:p w14:paraId="773FF8E6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The off-set gland design is very efficient in barrier fluid exchange when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compared to most other cartridge seals in its class. This design has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improved heat removal. Seal face geometrics are optimized to ensure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reliable sealing under varying temperature and pressure changes.</w:t>
            </w:r>
          </w:p>
          <w:p w14:paraId="6C3C80FE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</w:p>
          <w:p w14:paraId="682D90C6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</w:p>
          <w:p w14:paraId="3717E98D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</w:p>
          <w:p w14:paraId="3F7040C9" w14:textId="77777777" w:rsidR="009C0C00" w:rsidRDefault="009C0C00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</w:p>
          <w:p w14:paraId="2B679619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  <w:lang w:val="en-US"/>
              </w:rPr>
            </w:pPr>
            <w:r w:rsidRPr="00ED7B7F">
              <w:rPr>
                <w:rFonts w:ascii="Times New Roman" w:hAnsi="Times New Roman" w:cs="Times New Roman"/>
                <w:lang w:val="en-US"/>
              </w:rPr>
              <w:t>Provides sealing security that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conventional single seals cannot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7B7F">
              <w:rPr>
                <w:rFonts w:ascii="Times New Roman" w:hAnsi="Times New Roman" w:cs="Times New Roman"/>
                <w:lang w:val="en-US"/>
              </w:rPr>
              <w:t>match</w:t>
            </w:r>
          </w:p>
          <w:p w14:paraId="3FF608AF" w14:textId="77777777" w:rsidR="00ED7B7F" w:rsidRPr="00ED7B7F" w:rsidRDefault="00ED7B7F" w:rsidP="00ED7B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7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Eliminates leakage associated with</w:t>
            </w:r>
          </w:p>
          <w:p w14:paraId="5CB805FA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</w:rPr>
            </w:pPr>
            <w:proofErr w:type="spellStart"/>
            <w:r w:rsidRPr="00ED7B7F">
              <w:rPr>
                <w:rFonts w:ascii="Times New Roman" w:hAnsi="Times New Roman" w:cs="Times New Roman"/>
              </w:rPr>
              <w:t>single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seal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failures</w:t>
            </w:r>
            <w:proofErr w:type="spellEnd"/>
          </w:p>
          <w:p w14:paraId="1ACA30F3" w14:textId="77777777" w:rsidR="00ED7B7F" w:rsidRPr="00ED7B7F" w:rsidRDefault="00ED7B7F" w:rsidP="00ED7B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7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Back-up seal provides opportunity</w:t>
            </w:r>
          </w:p>
          <w:p w14:paraId="59C487AF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</w:rPr>
            </w:pPr>
            <w:proofErr w:type="spellStart"/>
            <w:r w:rsidRPr="00ED7B7F">
              <w:rPr>
                <w:rFonts w:ascii="Times New Roman" w:hAnsi="Times New Roman" w:cs="Times New Roman"/>
              </w:rPr>
              <w:t>for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scheduled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maintenance</w:t>
            </w:r>
            <w:proofErr w:type="spellEnd"/>
          </w:p>
          <w:p w14:paraId="63962142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</w:rPr>
            </w:pPr>
            <w:proofErr w:type="spellStart"/>
            <w:r w:rsidRPr="00ED7B7F">
              <w:rPr>
                <w:rFonts w:ascii="Times New Roman" w:hAnsi="Times New Roman" w:cs="Times New Roman"/>
              </w:rPr>
              <w:t>Reliable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cartridge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design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that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increases</w:t>
            </w:r>
            <w:proofErr w:type="spellEnd"/>
          </w:p>
          <w:p w14:paraId="1186D545" w14:textId="77777777" w:rsidR="00ED7B7F" w:rsidRPr="00ED7B7F" w:rsidRDefault="00ED7B7F" w:rsidP="00ED7B7F">
            <w:pPr>
              <w:ind w:firstLine="284"/>
              <w:rPr>
                <w:rFonts w:ascii="Times New Roman" w:hAnsi="Times New Roman" w:cs="Times New Roman"/>
              </w:rPr>
            </w:pPr>
            <w:proofErr w:type="spellStart"/>
            <w:r w:rsidRPr="00ED7B7F">
              <w:rPr>
                <w:rFonts w:ascii="Times New Roman" w:hAnsi="Times New Roman" w:cs="Times New Roman"/>
              </w:rPr>
              <w:t>seal</w:t>
            </w:r>
            <w:proofErr w:type="spellEnd"/>
            <w:r w:rsidRPr="00ED7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</w:rPr>
              <w:t>life</w:t>
            </w:r>
            <w:proofErr w:type="spellEnd"/>
          </w:p>
          <w:p w14:paraId="7CB067F1" w14:textId="77777777" w:rsidR="00ED7B7F" w:rsidRPr="00ED7B7F" w:rsidRDefault="00ED7B7F" w:rsidP="00ED7B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7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Self-cleaning, </w:t>
            </w:r>
            <w:proofErr w:type="spellStart"/>
            <w:proofErr w:type="gramStart"/>
            <w:r w:rsidRPr="00ED7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 clogging</w:t>
            </w:r>
            <w:proofErr w:type="spellEnd"/>
            <w:proofErr w:type="gramEnd"/>
          </w:p>
          <w:p w14:paraId="16908B61" w14:textId="77777777" w:rsidR="00ED7B7F" w:rsidRPr="00ED7B7F" w:rsidRDefault="00ED7B7F" w:rsidP="00ED7B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7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Advanced face geometrics</w:t>
            </w:r>
          </w:p>
          <w:p w14:paraId="423FC169" w14:textId="77777777" w:rsidR="00ED7B7F" w:rsidRPr="00ED7B7F" w:rsidRDefault="00ED7B7F" w:rsidP="00ED7B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7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High torque capability</w:t>
            </w:r>
          </w:p>
          <w:p w14:paraId="22EBA353" w14:textId="77777777" w:rsidR="00ED7B7F" w:rsidRPr="00ED7B7F" w:rsidRDefault="00ED7B7F" w:rsidP="00ED7B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7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Enhanced barrier fluid circulation</w:t>
            </w:r>
          </w:p>
          <w:p w14:paraId="44E57A3F" w14:textId="77777777" w:rsidR="00ED7B7F" w:rsidRPr="00ED7B7F" w:rsidRDefault="00ED7B7F" w:rsidP="00ED7B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7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Double balanced</w:t>
            </w:r>
          </w:p>
          <w:p w14:paraId="328FAD96" w14:textId="77777777" w:rsidR="00ED7B7F" w:rsidRDefault="00ED7B7F"/>
        </w:tc>
        <w:tc>
          <w:tcPr>
            <w:tcW w:w="4704" w:type="dxa"/>
          </w:tcPr>
          <w:p w14:paraId="4D032025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uk-UA"/>
              </w:rPr>
            </w:pPr>
            <w:r>
              <w:rPr>
                <w:b/>
                <w:bCs/>
                <w:color w:val="856D00"/>
                <w:lang w:val="uk-UA"/>
              </w:rPr>
              <w:lastRenderedPageBreak/>
              <w:t>“</w:t>
            </w:r>
            <w:r w:rsidRPr="00E85E57">
              <w:rPr>
                <w:b/>
                <w:bCs/>
                <w:color w:val="856D00"/>
                <w:lang w:val="uk-UA"/>
              </w:rPr>
              <w:t xml:space="preserve">КАТАЛОГ МЕХАНІЧНИХ САЛЬНИКІВ” </w:t>
            </w:r>
            <w:r w:rsidRPr="00ED7B7F">
              <w:rPr>
                <w:rFonts w:ascii="Times New Roman" w:hAnsi="Times New Roman" w:cs="Times New Roman"/>
                <w:lang w:val="uk-UA"/>
              </w:rPr>
              <w:t xml:space="preserve">“Каталог механічних сальників” містить  необхідну інформацію, для ознайомлення користувачів зі стандартними характеристиками ущільнювачів. У даному каталозі подано всебічну інформацію про продукцію, вказівки по встановленню, рекомендації щодо контролю за рідинами і  оточуючим середовищем, а також розділ з технічним довідником. </w:t>
            </w:r>
          </w:p>
          <w:p w14:paraId="0BF4FE51" w14:textId="77777777" w:rsidR="00ED7B7F" w:rsidRPr="00ED7B7F" w:rsidRDefault="00ED7B7F" w:rsidP="00ED7B7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556A81"/>
                <w:lang w:val="uk-UA"/>
              </w:rPr>
            </w:pPr>
            <w:r w:rsidRPr="00ED7B7F">
              <w:rPr>
                <w:rFonts w:ascii="Times New Roman" w:hAnsi="Times New Roman" w:cs="Times New Roman"/>
                <w:b/>
                <w:bCs/>
                <w:color w:val="556A81"/>
                <w:lang w:val="uk-UA"/>
              </w:rPr>
              <w:t xml:space="preserve">Зносостійкий одинарний сальник </w:t>
            </w:r>
          </w:p>
          <w:p w14:paraId="50CD18DB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 w:rsidRPr="00ED7B7F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Гарантує максимальну надійність для широкого спектру застосувань</w:t>
            </w:r>
          </w:p>
          <w:p w14:paraId="673F6292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Компактний корпус 180-ї моделі розроблений для насосів ANSI  та AP610 без модифікацій, що полегшує використання. Новітній дизайн у поєднанні з жорстким режимом випробувань забезпечили “наступний крок” у технології одинарних сальників.</w:t>
            </w:r>
          </w:p>
          <w:p w14:paraId="05B57327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Тестування на відповідність до ISO продемонстрували найкращі показники 180-ї моделі щодо контролю викидів. Застосовуючи аналіз методів кінцевих елементів, доведено, що робочі викиди є мінімальними для такої форми поверхні. Ідеально припасований гартований сальник забезпечує ефективну дренажну потужність.</w:t>
            </w:r>
          </w:p>
          <w:p w14:paraId="1D0F592A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/>
                <w:bCs/>
                <w:lang w:val="uk-UA"/>
              </w:rPr>
              <w:t>Максимальна продуктивність, застосування при високих обертах</w:t>
            </w:r>
          </w:p>
          <w:p w14:paraId="70DC6A5C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 xml:space="preserve">- </w:t>
            </w:r>
            <w:proofErr w:type="spellStart"/>
            <w:r w:rsidRPr="00ED7B7F">
              <w:rPr>
                <w:rFonts w:ascii="Times New Roman" w:hAnsi="Times New Roman" w:cs="Times New Roman"/>
                <w:bCs/>
                <w:lang w:val="uk-UA"/>
              </w:rPr>
              <w:t>Демпфований</w:t>
            </w:r>
            <w:proofErr w:type="spellEnd"/>
            <w:r w:rsidRPr="00ED7B7F">
              <w:rPr>
                <w:rFonts w:ascii="Times New Roman" w:hAnsi="Times New Roman" w:cs="Times New Roman"/>
                <w:bCs/>
                <w:lang w:val="uk-UA"/>
              </w:rPr>
              <w:t>, міцні з’єднання</w:t>
            </w:r>
          </w:p>
          <w:p w14:paraId="52E93DE9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- Міцні, монолітні поверхні, придатні для високих обертів</w:t>
            </w:r>
          </w:p>
          <w:p w14:paraId="58F90276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/>
                <w:bCs/>
                <w:lang w:val="uk-UA"/>
              </w:rPr>
              <w:t>Надійний ущільнювач від шламу</w:t>
            </w:r>
          </w:p>
          <w:p w14:paraId="63E05B81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 xml:space="preserve">- </w:t>
            </w:r>
            <w:proofErr w:type="spellStart"/>
            <w:r w:rsidRPr="00ED7B7F">
              <w:rPr>
                <w:rFonts w:ascii="Times New Roman" w:hAnsi="Times New Roman" w:cs="Times New Roman"/>
                <w:bCs/>
                <w:lang w:val="uk-UA"/>
              </w:rPr>
              <w:t>Мікрошліфовані</w:t>
            </w:r>
            <w:proofErr w:type="spellEnd"/>
            <w:r w:rsidRPr="00ED7B7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ED7B7F">
              <w:rPr>
                <w:rFonts w:ascii="Times New Roman" w:hAnsi="Times New Roman" w:cs="Times New Roman"/>
                <w:bCs/>
                <w:lang w:val="uk-UA"/>
              </w:rPr>
              <w:t>торцьові</w:t>
            </w:r>
            <w:proofErr w:type="spellEnd"/>
            <w:r w:rsidRPr="00ED7B7F">
              <w:rPr>
                <w:rFonts w:ascii="Times New Roman" w:hAnsi="Times New Roman" w:cs="Times New Roman"/>
                <w:bCs/>
                <w:lang w:val="uk-UA"/>
              </w:rPr>
              <w:t xml:space="preserve"> поверхні унеможливлюють </w:t>
            </w:r>
            <w:proofErr w:type="spellStart"/>
            <w:r w:rsidRPr="00ED7B7F">
              <w:rPr>
                <w:rFonts w:ascii="Times New Roman" w:hAnsi="Times New Roman" w:cs="Times New Roman"/>
                <w:bCs/>
                <w:lang w:val="uk-UA"/>
              </w:rPr>
              <w:t>застрягання</w:t>
            </w:r>
            <w:proofErr w:type="spellEnd"/>
            <w:r w:rsidRPr="00ED7B7F">
              <w:rPr>
                <w:rFonts w:ascii="Times New Roman" w:hAnsi="Times New Roman" w:cs="Times New Roman"/>
                <w:bCs/>
                <w:lang w:val="uk-UA"/>
              </w:rPr>
              <w:t xml:space="preserve"> на торцях</w:t>
            </w:r>
          </w:p>
          <w:p w14:paraId="3123609F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- Стаціонарні пружини</w:t>
            </w:r>
          </w:p>
          <w:p w14:paraId="353E77CC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- Вузька обертальна поверхня запобігає засмоктуванню мікрочасток</w:t>
            </w:r>
          </w:p>
          <w:p w14:paraId="3886A440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/>
                <w:bCs/>
                <w:lang w:val="uk-UA"/>
              </w:rPr>
              <w:t>Придатний для найширшого застосування</w:t>
            </w:r>
          </w:p>
          <w:p w14:paraId="20580E9B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Ідеально припасована втулка сальника з положеннями для перекриття/дренажу та протоку</w:t>
            </w:r>
          </w:p>
          <w:p w14:paraId="6D35249A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Спеціальні метали стійкі при корозійних умовах експлуатації</w:t>
            </w:r>
          </w:p>
          <w:p w14:paraId="2ACA0F0C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Багатоканальні протоки забезпечують оптимальне охолодження</w:t>
            </w:r>
          </w:p>
          <w:p w14:paraId="24B016CD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</w:p>
          <w:p w14:paraId="28938C0B" w14:textId="77777777" w:rsidR="009C0C00" w:rsidRDefault="009C0C00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2678F57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 xml:space="preserve">Універсальний подвійний сальник </w:t>
            </w:r>
          </w:p>
          <w:p w14:paraId="29F2C06B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 w:rsidRPr="00ED7B7F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Даний подвійний сальник є лідером свого класу продукції</w:t>
            </w:r>
          </w:p>
          <w:p w14:paraId="60CC8B1B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</w:p>
          <w:p w14:paraId="22017A87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250-а модель є економним покращенням неефективного одинарного сальника, схильного до закупорювання – що в свою чергу збільшує надійність агрегату. 250 модель – ідеальний вибір для базових робіт, для яких не існує спеціальних сплавів.</w:t>
            </w:r>
          </w:p>
          <w:p w14:paraId="2DC66037" w14:textId="77777777" w:rsidR="00ED7B7F" w:rsidRPr="00ED7B7F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 xml:space="preserve"> Дизайн сальника зі зміщеним центром є набагато ефективнішім розподільником рідинних потоків, у порівнянні з іншими касетними сальниками цього класу. Дана розробка дозволяє покращити тепловіддачу. Форма поверхні сальника удосконалена, щоб забезпечити надійну герметичність при перепаді температури та тиску.</w:t>
            </w:r>
          </w:p>
          <w:p w14:paraId="66C46A2E" w14:textId="77777777" w:rsidR="009C0C00" w:rsidRDefault="00ED7B7F" w:rsidP="00ED7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 xml:space="preserve">   </w:t>
            </w:r>
          </w:p>
          <w:p w14:paraId="2E65E949" w14:textId="182A4486" w:rsidR="00ED7B7F" w:rsidRPr="00ED7B7F" w:rsidRDefault="00ED7B7F" w:rsidP="009C0C00">
            <w:pPr>
              <w:autoSpaceDE w:val="0"/>
              <w:autoSpaceDN w:val="0"/>
              <w:adjustRightInd w:val="0"/>
              <w:ind w:firstLine="208"/>
              <w:rPr>
                <w:rFonts w:ascii="Times New Roman" w:hAnsi="Times New Roman" w:cs="Times New Roman"/>
                <w:bCs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lang w:val="uk-UA"/>
              </w:rPr>
              <w:t>Забезпечує надійні якості, які не властиві одинарному стандартному сальнику:</w:t>
            </w:r>
          </w:p>
          <w:p w14:paraId="16B35E0E" w14:textId="77777777" w:rsidR="00ED7B7F" w:rsidRPr="00ED7B7F" w:rsidRDefault="00ED7B7F" w:rsidP="009C0C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Мінімізує просочування, яке є недоліком одинарного сальника</w:t>
            </w:r>
          </w:p>
          <w:p w14:paraId="7A2BEBF7" w14:textId="77777777" w:rsidR="00ED7B7F" w:rsidRPr="00ED7B7F" w:rsidRDefault="00ED7B7F" w:rsidP="009C0C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Технічний нагляд забезпечує плановий огляд і підтримку.</w:t>
            </w:r>
          </w:p>
          <w:p w14:paraId="02085B5E" w14:textId="77777777" w:rsidR="00ED7B7F" w:rsidRPr="00ED7B7F" w:rsidRDefault="00ED7B7F" w:rsidP="009C0C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Надійний дизайн картриджа подовжує термін експлуатації</w:t>
            </w:r>
          </w:p>
          <w:p w14:paraId="15A5E9B6" w14:textId="77777777" w:rsidR="00ED7B7F" w:rsidRPr="00ED7B7F" w:rsidRDefault="00ED7B7F" w:rsidP="009C0C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Самоочисний, не закупорюється</w:t>
            </w:r>
          </w:p>
          <w:p w14:paraId="1903A651" w14:textId="77777777" w:rsidR="00ED7B7F" w:rsidRPr="00ED7B7F" w:rsidRDefault="00ED7B7F" w:rsidP="009C0C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Покращена форма поверхні</w:t>
            </w:r>
          </w:p>
          <w:p w14:paraId="3C102893" w14:textId="77777777" w:rsidR="00ED7B7F" w:rsidRPr="00ED7B7F" w:rsidRDefault="00ED7B7F" w:rsidP="009C0C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Стійкість до високих обертів</w:t>
            </w:r>
          </w:p>
          <w:p w14:paraId="52F15D41" w14:textId="77777777" w:rsidR="00ED7B7F" w:rsidRPr="00ED7B7F" w:rsidRDefault="00ED7B7F" w:rsidP="009C0C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Покращений захист циркуляції рідин</w:t>
            </w:r>
          </w:p>
          <w:p w14:paraId="109355E4" w14:textId="77777777" w:rsidR="00ED7B7F" w:rsidRPr="00ED7B7F" w:rsidRDefault="00ED7B7F" w:rsidP="009C0C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7B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Подвійне балансування.</w:t>
            </w:r>
          </w:p>
          <w:p w14:paraId="7F52C60B" w14:textId="77777777" w:rsidR="00ED7B7F" w:rsidRDefault="00ED7B7F"/>
        </w:tc>
      </w:tr>
    </w:tbl>
    <w:p w14:paraId="6AFC9146" w14:textId="77777777" w:rsidR="001A23B7" w:rsidRPr="00ED7B7F" w:rsidRDefault="001A23B7">
      <w:pPr>
        <w:rPr>
          <w:lang w:val="en-US"/>
        </w:rPr>
      </w:pPr>
    </w:p>
    <w:sectPr w:rsidR="001A23B7" w:rsidRPr="00ED7B7F" w:rsidSect="009C0C00">
      <w:pgSz w:w="11900" w:h="16840"/>
      <w:pgMar w:top="5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69CF"/>
    <w:multiLevelType w:val="hybridMultilevel"/>
    <w:tmpl w:val="844CCCDE"/>
    <w:lvl w:ilvl="0" w:tplc="46D4B8C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7F"/>
    <w:rsid w:val="00002C0C"/>
    <w:rsid w:val="001A23B7"/>
    <w:rsid w:val="009C0C00"/>
    <w:rsid w:val="00E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B43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B7F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5">
    <w:name w:val="Revision"/>
    <w:hidden/>
    <w:uiPriority w:val="99"/>
    <w:semiHidden/>
    <w:rsid w:val="009C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952</Words>
  <Characters>4027</Characters>
  <Application>Microsoft Macintosh Word</Application>
  <DocSecurity>0</DocSecurity>
  <Lines>122</Lines>
  <Paragraphs>7</Paragraphs>
  <ScaleCrop>false</ScaleCrop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Ustymchuk</dc:creator>
  <cp:keywords/>
  <dc:description/>
  <cp:lastModifiedBy>Oksana Ustymchuk</cp:lastModifiedBy>
  <cp:revision>2</cp:revision>
  <dcterms:created xsi:type="dcterms:W3CDTF">2017-03-15T21:33:00Z</dcterms:created>
  <dcterms:modified xsi:type="dcterms:W3CDTF">2017-03-16T10:26:00Z</dcterms:modified>
</cp:coreProperties>
</file>