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Weirui Jia</w:t>
        <w:tab/>
      </w:r>
      <w:bookmarkStart w:id="0" w:name="_GoBack"/>
      <w:bookmarkEnd w:id="0"/>
    </w:p>
    <w:p>
      <w:pPr>
        <w:pStyle w:val="LOnormal"/>
        <w:spacing w:before="0" w:after="0"/>
        <w:rPr>
          <w:rFonts w:ascii="Times New Roman" w:hAnsi="Times New Roman" w:cs="Times New Roman"/>
        </w:rPr>
      </w:pPr>
      <w:r>
        <w:rPr>
          <w:rFonts w:cs="Times New Roman" w:ascii="Times New Roman" w:hAnsi="Times New Roman"/>
        </w:rPr>
        <w:t>Hayley Stefan</w:t>
      </w:r>
    </w:p>
    <w:p>
      <w:pPr>
        <w:pStyle w:val="LOnormal"/>
        <w:spacing w:before="0" w:after="0"/>
        <w:rPr>
          <w:rFonts w:ascii="Times New Roman" w:hAnsi="Times New Roman" w:cs="Times New Roman"/>
        </w:rPr>
      </w:pPr>
      <w:r>
        <w:rPr>
          <w:rFonts w:cs="Times New Roman" w:ascii="Times New Roman" w:hAnsi="Times New Roman"/>
        </w:rPr>
        <w:t>English 1010</w:t>
      </w:r>
    </w:p>
    <w:p>
      <w:pPr>
        <w:pStyle w:val="Normal"/>
        <w:rPr/>
      </w:pPr>
      <w:r>
        <w:rPr/>
        <w:t>11/03/2019</w:t>
      </w:r>
    </w:p>
    <w:p>
      <w:pPr>
        <w:pStyle w:val="Normal"/>
        <w:jc w:val="center"/>
        <w:rPr/>
      </w:pPr>
      <w:r>
        <w:rPr/>
        <w:t>Frame and Case Essay</w:t>
      </w:r>
    </w:p>
    <w:p>
      <w:pPr>
        <w:pStyle w:val="Normal"/>
        <w:rPr/>
      </w:pPr>
      <w:r>
        <w:rPr/>
        <w:tab/>
        <w:t>Following a school shooting in Parkland high school, which claimed numerous lives, there were distinct reactions among students. There were those filled with grief and basically incapacitated by the tragedy and those who tried to channel their rage and disappointment into activism. One of the most telling events that exemplified the nature of students’ involvement had a latter group start a movement and join the gun-control rally. Yet, in order to better understand students’ actions, it would be appropriate to place them within a broader framework of activism as developed by Jayne Rodgers and David Gauntlett, Rajini Srikanth as well as Deborah Martin and others. Despite the fact that these scholars all focus on the reactive action, they offer somewhat different views on what leads people to make a difference. In addition, social networks, with their collective awareness and resistance to monopoly of thought, together with issues of identity and status, provide additional perspectives to consider.</w:t>
      </w:r>
    </w:p>
    <w:p>
      <w:pPr>
        <w:pStyle w:val="Normal"/>
        <w:rPr/>
      </w:pPr>
      <w:r>
        <w:rPr/>
        <w:tab/>
        <w:t xml:space="preserve">First of all, it is important to mention that the Parkland High School incident illustrates well one way in which, as some activism theorists suggest, people become civilly engaged. To be fair, there exists two factors that incentivize activism, first of which, existing social networks or embeddedness, will be dealt later in this essay. Second way that brings people to act is often referred to as ‘moral shocks’ (Rodgers and Gauntlet 3). Broadly defined, these shocks motivate people to take matters into their own hands so as to prevent catastrophic events from happening. They serve as a wake-up call and reveal to those who have witnessed them the consequences of failure of any kind. Safe to say, a massacre at </w:t>
      </w:r>
      <w:r>
        <w:rPr/>
        <w:t xml:space="preserve">a </w:t>
      </w:r>
      <w:r>
        <w:rPr/>
        <w:t xml:space="preserve">high school claiming students’ lives would be a major source of shock. Considering the story of teenage activists before the accident, one would be hard pressed to find them engaged in any activism, at least of such scale as after the tragedy. However, following the shooting, many cannot imagine their lives will ever get back to normal. As Emma Gonzalez, </w:t>
      </w:r>
      <w:r>
        <w:rPr/>
        <w:t>who became the face of</w:t>
      </w:r>
      <w:r>
        <w:rPr/>
        <w:t xml:space="preserve"> the movement, put it: “This isn’t something we are ever going to forget about”. Spurred by the tragedy, teenage activists throughout the country already contributed greatly to passing bills intended to introduce extensive background checks when buying a gun and raise a minimum age for owning one. Although the change at the federal level is yet to come, it is unmistakable that “shock value” of the Parkland shooting inspired much of the action.</w:t>
      </w:r>
    </w:p>
    <w:p>
      <w:pPr>
        <w:pStyle w:val="Normal"/>
        <w:rPr/>
      </w:pPr>
      <w:r>
        <w:rPr/>
        <w:tab/>
        <w:t>Srikanth’s analysis, in its turn, reveals more reasons behind teenage activism. In her work on lawyers’ defense of detainees, Rajini Srikanth identifies the poor practices of the systems as the main cause behind activism (Srikanth 137). She then adds that some individuals, in light of that, would not want to stand by idly. Thus, she links systemic inadequacies with individual sentiments to present an explanation for why people engage in socially progressive action. Reading the account of teenage protest, their reasons seem to match Srikanth’ analysis. One of the activists mentioned above, Emma, expressed her dissatisfaction with the government officials and raised awareness about the consequences of being passive. As Lisa Miller writes in her piece on the movement in New York Magazine: “There, Emma stood [with] her tearful incredulity at what had just happened at her school, her fury at politicians’ complicity with the gun lobby… “(Miller). In another place, quoting Emma directly, Miller writes: “… if you actively do nothing, people will continually end up dead.”(Miller). Emma’s position, specifically her opinions expressed during the rally, reflect Srikanth’s overall conclusion about peoples’ involvement in activism. Simply witnessing the negative outcomes of poor management does not create change. What needed is an active involvement in the life of the community, especially in the aftermath of such tragedies. Stopping these horrific acts from happening may require collective effort, which brings us to Deborah Martin and others’ possible interpretation of the activism.</w:t>
      </w:r>
    </w:p>
    <w:p>
      <w:pPr>
        <w:pStyle w:val="Normal"/>
        <w:rPr/>
      </w:pPr>
      <w:r>
        <w:rPr/>
        <w:tab/>
        <w:t xml:space="preserve">One of the central notions of feminist geographers is the idea of embeddedness. Defined as individuals’ placement within and awareness of their identity and their social environment, the idea stresses the importance of creating political change through social networks. Although it is often assumed that the levels of individual relatively small-scale actions and broader collective political initiatives should be analyzed separately, these micro and macro levels are, to a large extent, closely linked. Routines that people engage </w:t>
      </w:r>
      <w:r>
        <w:rPr/>
        <w:t>in</w:t>
      </w:r>
      <w:r>
        <w:rPr/>
        <w:t xml:space="preserve"> form the fabric of social structures. Certainly, they do so only to a certain extent because any given social structure comprises traditions, expectations, norms of etiquette that are rather resistant to change. However, it is conceivable that people may want to ignore or replace these established ways of doing things. Therefore, people’s everyday actions</w:t>
      </w:r>
      <w:r>
        <w:rPr>
          <w:lang w:val="uk-UA"/>
        </w:rPr>
        <w:t>,</w:t>
      </w:r>
      <w:r>
        <w:rPr>
          <w:lang w:val="en-US"/>
        </w:rPr>
        <w:t xml:space="preserve"> which are influenced by their individuality, reinforce a set of expectations that make up </w:t>
      </w:r>
      <w:r>
        <w:rPr>
          <w:lang w:val="en-US"/>
        </w:rPr>
        <w:t>the structure of society</w:t>
      </w:r>
      <w:r>
        <w:rPr>
          <w:lang w:val="en-US"/>
        </w:rPr>
        <w:t xml:space="preserve">. </w:t>
      </w:r>
    </w:p>
    <w:p>
      <w:pPr>
        <w:pStyle w:val="Normal"/>
        <w:rPr/>
      </w:pPr>
      <w:r>
        <w:rPr>
          <w:lang w:val="en-US"/>
        </w:rPr>
        <w:tab/>
      </w:r>
      <w:r>
        <w:rPr/>
        <w:t xml:space="preserve">Thus, to suggest that gender to an extent influences individual’s self-expression and </w:t>
      </w:r>
      <w:r>
        <w:rPr/>
        <w:t>their</w:t>
      </w:r>
      <w:r>
        <w:rPr/>
        <w:t xml:space="preserve"> place in a community would not be an exaggeration. Such traits as idealism, compassion, hope, caring and kind attitude toward others, apart from being partly biological, to a large degree are socially coded and reinforced for women. Men, on average, are not expected to display these qualities. Whatever their subjective tendencies are, societal expectations do play a part in how one conducts himself. Assuming it is true, perhaps it is no accident that Emma Gonzalez came to be associated with the movement. The shock from what happened, her outrage coupled with empathy and compassion for those affected made her an outspoken figure that was needed at that moment. Interestingly, Emma’s external attributes, namely, how she was dressed, largely contributed to her appeal to the young audience. “In her black tank top, with raggedy friendship bracelets stacked on her wrist, Emma looked, as the comments said, so </w:t>
      </w:r>
      <w:r>
        <w:rPr>
          <w:i/>
          <w:iCs/>
        </w:rPr>
        <w:t xml:space="preserve">relatable, </w:t>
      </w:r>
      <w:r>
        <w:rPr>
          <w:rFonts w:eastAsia="Times New Roman" w:cs="Times New Roman"/>
          <w:i/>
          <w:iCs/>
        </w:rPr>
        <w:t>—</w:t>
      </w:r>
      <w:r>
        <w:rPr>
          <w:i/>
          <w:iCs/>
        </w:rPr>
        <w:t xml:space="preserve"> </w:t>
      </w:r>
      <w:r>
        <w:rPr/>
        <w:t>she could have been any teenager you know” (Miller). Thus, involuntarily, her wardrobe choice became an image that a considerable number of teenagers could associate themselves with, bringing them closer together. Given that how one dresses plays a part in one’s social presence, Martin and others would have probably brought attention to such external attributes with regard to establishing social networks. Apart from that, Emma also drew on common political concerns. As Miller observes: “… Emma spoke in a familiar cadence about power, corruption, and powerlessness…” (Miller). Situated firmly, in other words, embedded, in her community, she was able identify issues and relate them to a bigger picture so as to extend a conversation.</w:t>
      </w:r>
    </w:p>
    <w:p>
      <w:pPr>
        <w:pStyle w:val="Normal"/>
        <w:rPr/>
      </w:pPr>
      <w:r>
        <w:rPr/>
        <w:tab/>
        <w:t xml:space="preserve">Other forms of exposure also contributed significantly to the reception of the movement and showed how activism is done nowadays. Emma’s classmate, Sam Zeif, reached out to others with the help of Twitter. He posted the screen shot of the exchange with his younger brother Matthew, who was hiding in a classroom as the shooting was taking place. His tweet received about half a million likes in just two days. Explaining what drove him to share such an intimate thing, Sam explained: “That was just for — I guess, in a way, empathy or sympathy, because no one should have to have that conversation with anyone” (Miller). In our day and age, the extend of one’s empathetic understanding is not limited to a neighborhood or a community. With the advent of Internet social networks, the message can now be spread globally. As a result, the role in constructing the narrative about the event is not exclusive to those who were directly involved. Other users are free to add their interpretation and redefine the conversation. </w:t>
      </w:r>
    </w:p>
    <w:p>
      <w:pPr>
        <w:pStyle w:val="Normal"/>
        <w:rPr/>
      </w:pPr>
      <w:r>
        <w:rPr/>
        <w:tab/>
        <w:t xml:space="preserve">This peculiarity of social networks, to some extent, ensures that no single individual, media network or media personality can abuse the narrative. Rajini Srikanth’s observations are crucial here. Talking about Guantanamo Bay’s notoriety, she quotes the lawyer Clive Stafford Smith, who called this detention camp a “massive diversion” (Srikanth 137). By attracting all the attention and efforts of activists, the buzz around Guantanamo Bay drowned out the conversations around other detention camps throughout the country. The same is not likely to happen with the incident at Parkland High School. Emma, Sam and other students there are too aware of the global conversation to knowingly steal the spotlight from other similar tragedies around the country. Delaney Tarr, yet another student affected, says: “We just try to make a difference so that those who are not as affluent … as we are won’t have to deal with this either. Because if you look at Chicago, there’s such a high level of gun violence” (Miller). Delaney’s words also seem to point to the observation that people who are well off (such as Delaney) tend to focus more on external self-expression, </w:t>
      </w:r>
      <w:r>
        <w:rPr/>
        <w:t>for instance, activism</w:t>
      </w:r>
      <w:r>
        <w:rPr/>
        <w:t>. It is reasonable to say that a fairly rich family would provide necessary conditions and resources for the young person to engage in activist initiatives. Ultimately, as the movement continues onward, it remains to be seen how the socioeconomic status of those involved and the collective nature of social networks will shape the conversation.</w:t>
      </w:r>
    </w:p>
    <w:p>
      <w:pPr>
        <w:pStyle w:val="Normal"/>
        <w:rPr/>
      </w:pPr>
      <w:r>
        <w:rPr/>
        <w:tab/>
        <w:t>Although most people and media outlets look favorably on and welcome this instance of teenage activism, others are not so quick to jump on the bandwagon. They argue that under the guise of activism these are typical teenagers that crave attention. Miller observes: “The ghastly irony is that for some of these newly minted activists, as for many of their generation, viral exposure has been a youthful ambition” (Miller). Furthermore, the skeptics say, this generation of kids are privileged relative to older generations and, as a result, they cannot take no for an answer. While it is true that individuals involved in these activities may do so because of self-centered reasons, e.g. to gain social status, this argument ignores the many achievements of teenage initiatives. Moreover, it assumes that teenagers constitute a single well-defined group of like-minded individuals. To return to the idea of embeddedness by Manson and others, people that make up social forces differ, sometimes considerably. Despite the fact that outsiders may see teenagers as a fairly unanimous collection of individuals, for each person within this group, their experiences and interests are unique and distinctive. For example, one of the teenagers, Brooke Harrison, having witnessed the shooting first-hand, did not channel her emotions into activism: “… although Brooke recognizes the older activists from the halls and thinks they’re ‘amazing’ and hopes to join them in the future, ‘I feel like my friends at home and family need me right now. I just need to be home with the people I love”’ (Miller). Brooke is not alone in her decision to take time, which just underlies the diversity of the group and shows the exaggerated nature of naysayers’ claims.</w:t>
      </w:r>
    </w:p>
    <w:p>
      <w:pPr>
        <w:pStyle w:val="Normal"/>
        <w:rPr/>
      </w:pPr>
      <w:r>
        <w:rPr/>
        <w:tab/>
        <w:t xml:space="preserve">All in all, the case of students at Parkland provides a real-life example of enacting change. Using three academic sources helps to better understand students’ engagement as it relates to more general conditions under which activism arises. Srikanth observations are reflected in how students drew attention to legislative shortcomings and warned about the dangers of passivity. By relating to other like-minded people and creating networks of change, in this case, a movement, Emma and young activists remind of Martin and colleagues’ remarks about embeddedness. Finally, Rodgers and Gauntlett’s idea of a “moral shock” help explain why students who never were particularly outspoken became the agents of nationwide change. In their turn, social networks guarantee that no one can hijack the narrative surrounding the event and abuse it in their own interests. Additionally, the questions of gender and socioeconomic status also influence the likelihood of becoming an activist, as well as, though to a minor degree, self-interest. Overall, it goes to show how varied and complicated each instance of activism can be, </w:t>
      </w:r>
      <w:r>
        <w:rPr/>
        <w:t>as well as the necessity for the multi-faceted understanding of any given sight of change</w:t>
      </w:r>
      <w:r>
        <w:rPr/>
        <w:t>.</w:t>
      </w:r>
    </w:p>
    <w:p>
      <w:pPr>
        <w:pStyle w:val="Normal"/>
        <w:jc w:val="center"/>
        <w:rPr>
          <w:highlight w:val="yellow"/>
        </w:rPr>
      </w:pPr>
      <w:r>
        <w:rPr>
          <w:highlight w:val="yellow"/>
        </w:rPr>
      </w:r>
      <w:r>
        <w:br w:type="page"/>
      </w:r>
    </w:p>
    <w:p>
      <w:pPr>
        <w:pStyle w:val="Normal"/>
        <w:jc w:val="center"/>
        <w:rPr/>
      </w:pPr>
      <w:r>
        <w:rPr/>
        <w:t>Works Cited</w:t>
      </w:r>
    </w:p>
    <w:p>
      <w:pPr>
        <w:pStyle w:val="Normal"/>
        <w:rPr/>
      </w:pPr>
      <w:r>
        <w:rPr/>
        <w:t xml:space="preserve">Miller, L. </w:t>
      </w:r>
      <w:r>
        <w:rPr>
          <w:i/>
          <w:iCs/>
        </w:rPr>
        <w:t>On the Ground With Parkland Teens As They Plot a Revolution</w:t>
      </w:r>
      <w:r>
        <w:rPr/>
        <w:t>, 8 Mar. 2018,</w:t>
      </w:r>
    </w:p>
    <w:p>
      <w:pPr>
        <w:pStyle w:val="Normal"/>
        <w:ind w:left="709" w:right="0" w:hanging="0"/>
        <w:rPr/>
      </w:pPr>
      <w:r>
        <w:rPr/>
        <w:t>nymag.com/intelligencer/2018/03/on-the-ground-with-parkland-teens-as-they-plot-a-revolution.html</w:t>
      </w:r>
    </w:p>
    <w:p>
      <w:pPr>
        <w:pStyle w:val="Normal"/>
        <w:keepNext w:val="false"/>
        <w:widowControl/>
        <w:tabs>
          <w:tab w:val="clear" w:pos="709"/>
        </w:tabs>
        <w:ind w:left="720" w:right="0" w:hanging="720"/>
        <w:jc w:val="left"/>
        <w:rPr/>
      </w:pPr>
      <w:r>
        <w:rPr/>
        <w:t>Rodgers, J, Gauntlett D. “</w:t>
      </w:r>
      <w:r>
        <w:rPr>
          <w:i w:val="false"/>
          <w:iCs w:val="false"/>
        </w:rPr>
        <w:t xml:space="preserve">Teenage Intercultural Communications Online: A Redeployment of the Internet Activist Model, </w:t>
      </w:r>
      <w:r>
        <w:rPr>
          <w:i/>
          <w:iCs/>
        </w:rPr>
        <w:t>ResearchGate</w:t>
      </w:r>
      <w:r>
        <w:rPr>
          <w:i w:val="false"/>
          <w:iCs w:val="false"/>
        </w:rPr>
        <w:t>, Jan. 2003, https://www.researchgate.net/publication/241871715_Teenage_Intercultural_Communications_Online_A_Redeployment_of_the_Internet_Activist_Model</w:t>
      </w:r>
    </w:p>
    <w:p>
      <w:pPr>
        <w:pStyle w:val="LOnormal"/>
        <w:overflowPunct w:val="true"/>
        <w:spacing w:before="0" w:after="160"/>
        <w:ind w:left="720" w:right="0" w:hanging="720"/>
        <w:rPr/>
      </w:pPr>
      <w:r>
        <w:rPr>
          <w:rFonts w:ascii="Times New Roman" w:hAnsi="Times New Roman"/>
          <w:color w:val="000000"/>
        </w:rPr>
        <w:t xml:space="preserve">Srikanth, R. “Where Lawyers Connect with the ‘Worst of the Worst’”. </w:t>
      </w:r>
      <w:r>
        <w:rPr>
          <w:rFonts w:ascii="Times New Roman" w:hAnsi="Times New Roman"/>
          <w:i/>
          <w:color w:val="000000"/>
        </w:rPr>
        <w:t>Constructing the Enemy. Empathy/Antipathy in U.S. Literature and Law</w:t>
      </w:r>
      <w:r>
        <w:rPr>
          <w:rFonts w:ascii="Times New Roman" w:hAnsi="Times New Roman"/>
          <w:color w:val="000000"/>
        </w:rPr>
        <w:t>. Temple University Press, 2012, pp. 135-142, 152-153.</w:t>
      </w:r>
    </w:p>
    <w:sectPr>
      <w:headerReference w:type="default" r:id="rId2"/>
      <w:type w:val="nextPage"/>
      <w:pgSz w:w="12240" w:h="15840"/>
      <w:pgMar w:left="1440" w:right="1440" w:header="1440" w:top="1999" w:footer="720"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right"/>
      <w:rPr/>
    </w:pPr>
    <w:r>
      <w:rPr/>
      <w:t xml:space="preserve">Student’s Last Name </w:t>
    </w:r>
    <w:r>
      <w:rPr/>
      <w:fldChar w:fldCharType="begin"/>
    </w:r>
    <w:r>
      <w:rPr/>
      <w:instrText> PAGE </w:instrText>
    </w:r>
    <w:r>
      <w:rPr/>
      <w:fldChar w:fldCharType="separate"/>
    </w:r>
    <w:r>
      <w:rPr/>
      <w:t>8</w:t>
    </w:r>
    <w:r>
      <w:rPr/>
      <w:fldChar w:fldCharType="end"/>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en-US" w:eastAsia="zh-CN" w:bidi="hi-IN"/>
      </w:rPr>
    </w:rPrDefault>
    <w:pPrDefault>
      <w:pPr/>
    </w:pPrDefault>
  </w:docDefaults>
  <w:style w:type="paragraph" w:styleId="Normal">
    <w:name w:val="Normal"/>
    <w:qFormat/>
    <w:pPr>
      <w:widowControl/>
      <w:overflowPunct w:val="true"/>
      <w:bidi w:val="0"/>
      <w:spacing w:lineRule="auto" w:line="480"/>
      <w:jc w:val="left"/>
    </w:pPr>
    <w:rPr>
      <w:rFonts w:ascii="Times New Roman" w:hAnsi="Times New Roman" w:eastAsia="SimSun" w:cs="Mangal"/>
      <w:color w:val="auto"/>
      <w:kern w:val="2"/>
      <w:sz w:val="24"/>
      <w:szCs w:val="24"/>
      <w:lang w:val="en-US" w:eastAsia="zh-CN" w:bidi="hi-IN"/>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sz w:val="18"/>
      <w:szCs w:val="16"/>
    </w:rPr>
  </w:style>
  <w:style w:type="paragraph" w:styleId="Style14">
    <w:name w:val="Заголовок"/>
    <w:basedOn w:val="Normal"/>
    <w:next w:val="Style15"/>
    <w:qFormat/>
    <w:pPr>
      <w:keepNext w:val="true"/>
      <w:spacing w:before="240" w:after="120"/>
    </w:pPr>
    <w:rPr>
      <w:rFonts w:ascii="Liberation Sans" w:hAnsi="Liberation Sans" w:eastAsia="Microsoft YaHei"/>
      <w:sz w:val="28"/>
      <w:szCs w:val="28"/>
    </w:rPr>
  </w:style>
  <w:style w:type="paragraph" w:styleId="Style15">
    <w:name w:val="Body Text"/>
    <w:basedOn w:val="Normal"/>
    <w:pPr>
      <w:spacing w:lineRule="auto" w:line="288" w:before="0" w:after="140"/>
    </w:pPr>
    <w:rPr/>
  </w:style>
  <w:style w:type="paragraph" w:styleId="Style16">
    <w:name w:val="List"/>
    <w:basedOn w:val="Style15"/>
    <w:pPr/>
    <w:rPr/>
  </w:style>
  <w:style w:type="paragraph" w:styleId="Style17">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style>
  <w:style w:type="paragraph" w:styleId="Caption">
    <w:name w:val="caption"/>
    <w:basedOn w:val="Normal"/>
    <w:qFormat/>
    <w:pPr>
      <w:suppressLineNumbers/>
      <w:spacing w:before="120" w:after="120"/>
    </w:pPr>
    <w:rPr>
      <w:i/>
      <w:iCs/>
    </w:rPr>
  </w:style>
  <w:style w:type="paragraph" w:styleId="Style19">
    <w:name w:val="Header"/>
    <w:basedOn w:val="Normal"/>
    <w:pPr>
      <w:suppressLineNumbers/>
      <w:tabs>
        <w:tab w:val="clear" w:pos="709"/>
        <w:tab w:val="center" w:pos="4680" w:leader="none"/>
        <w:tab w:val="right" w:pos="9360" w:leader="none"/>
      </w:tabs>
    </w:pPr>
    <w:rPr/>
  </w:style>
  <w:style w:type="paragraph" w:styleId="LOnormal">
    <w:name w:val="LO-normal"/>
    <w:qFormat/>
    <w:pPr>
      <w:widowControl/>
      <w:overflowPunct w:val="false"/>
      <w:bidi w:val="0"/>
      <w:spacing w:lineRule="auto" w:line="480" w:before="240" w:after="160"/>
      <w:jc w:val="left"/>
    </w:pPr>
    <w:rPr>
      <w:rFonts w:ascii="Calibri" w:hAnsi="Calibri" w:eastAsia="NSimSun" w:cs="Arial"/>
      <w:color w:val="auto"/>
      <w:kern w:val="0"/>
      <w:sz w:val="24"/>
      <w:szCs w:val="24"/>
      <w:lang w:val="en-US" w:eastAsia="zh-CN" w:bidi="hi-IN"/>
    </w:rPr>
  </w:style>
  <w:style w:type="paragraph" w:styleId="Style20">
    <w:name w:val="Footer"/>
    <w:basedOn w:val="Normal"/>
    <w:pPr>
      <w:tabs>
        <w:tab w:val="clear" w:pos="709"/>
        <w:tab w:val="center" w:pos="4513" w:leader="none"/>
        <w:tab w:val="right" w:pos="9026" w:leader="none"/>
      </w:tabs>
      <w:snapToGrid w:val="false"/>
      <w:spacing w:lineRule="auto" w:line="240"/>
    </w:pPr>
    <w:rPr>
      <w:sz w:val="18"/>
      <w:szCs w:val="1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298</TotalTime>
  <Application>LibreOffice/6.2.0.3$Windows_X86_64 LibreOffice_project/98c6a8a1c6c7b144ce3cc729e34964b47ce25d62</Application>
  <Pages>8</Pages>
  <Words>2042</Words>
  <Characters>11151</Characters>
  <CharactersWithSpaces>13187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2017-10-20T23:40:00Z</dcterms:created>
  <dc:creator/>
  <dc:description/>
  <dc:language>uk-UA</dc:language>
  <cp:lastModifiedBy/>
  <dcterms:modified xsi:type="dcterms:W3CDTF">2019-03-23T13:57:16Z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