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Характеристика объекта недвижимости для размещения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магазина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8188"/>
        <w:gridCol w:w="7229"/>
      </w:tblGrid>
      <w:tr>
        <w:trPr>
          <w:trHeight w:val="1" w:hRule="atLeast"/>
          <w:jc w:val="left"/>
        </w:trPr>
        <w:tc>
          <w:tcPr>
            <w:tcW w:w="81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Наименование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г.Астана Сарыарка р-н</w:t>
            </w:r>
          </w:p>
        </w:tc>
      </w:tr>
      <w:tr>
        <w:trPr>
          <w:trHeight w:val="525" w:hRule="auto"/>
          <w:jc w:val="left"/>
        </w:trPr>
        <w:tc>
          <w:tcPr>
            <w:tcW w:w="81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Адрес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г.Астана Сарыарка р-н, Косшыгулулы 6ул 2</w:t>
            </w:r>
          </w:p>
        </w:tc>
      </w:tr>
      <w:tr>
        <w:trPr>
          <w:trHeight w:val="1" w:hRule="atLeast"/>
          <w:jc w:val="left"/>
        </w:trPr>
        <w:tc>
          <w:tcPr>
            <w:tcW w:w="81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Общая площадь помещения (Здание)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141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м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²</w:t>
            </w:r>
          </w:p>
        </w:tc>
      </w:tr>
      <w:tr>
        <w:trPr>
          <w:trHeight w:val="70" w:hRule="auto"/>
          <w:jc w:val="left"/>
        </w:trPr>
        <w:tc>
          <w:tcPr>
            <w:tcW w:w="81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Площадь в аренду 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141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м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²</w:t>
            </w:r>
          </w:p>
        </w:tc>
      </w:tr>
      <w:tr>
        <w:trPr>
          <w:trHeight w:val="1" w:hRule="atLeast"/>
          <w:jc w:val="left"/>
        </w:trPr>
        <w:tc>
          <w:tcPr>
            <w:tcW w:w="81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Стоимость аренды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3404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~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480 000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8188"/>
        <w:gridCol w:w="7229"/>
      </w:tblGrid>
      <w:tr>
        <w:trPr>
          <w:trHeight w:val="1" w:hRule="atLeast"/>
          <w:jc w:val="left"/>
        </w:trPr>
        <w:tc>
          <w:tcPr>
            <w:tcW w:w="81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Характеристика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1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Площадь арендуемая (кв.м.); в т.ч. которую невозможно использовать (лест.пролеты, теплоузлы и т.п.)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1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местонахождение (этаж) 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ый этаж</w:t>
            </w:r>
          </w:p>
        </w:tc>
      </w:tr>
      <w:tr>
        <w:trPr>
          <w:trHeight w:val="1" w:hRule="atLeast"/>
          <w:jc w:val="left"/>
        </w:trPr>
        <w:tc>
          <w:tcPr>
            <w:tcW w:w="81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входа: центральный (для покупателей) и загрузочный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  <w:t xml:space="preserve">с возможностью подъезда (выезда) автомобиля для разгрузки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, пожарный выход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+ </w:t>
            </w:r>
          </w:p>
        </w:tc>
      </w:tr>
      <w:tr>
        <w:trPr>
          <w:trHeight w:val="1" w:hRule="atLeast"/>
          <w:jc w:val="left"/>
        </w:trPr>
        <w:tc>
          <w:tcPr>
            <w:tcW w:w="81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подвод воды (Центральное водоснабжение/ скважина/др)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+</w:t>
            </w:r>
          </w:p>
        </w:tc>
      </w:tr>
      <w:tr>
        <w:trPr>
          <w:trHeight w:val="1" w:hRule="atLeast"/>
          <w:jc w:val="left"/>
        </w:trPr>
        <w:tc>
          <w:tcPr>
            <w:tcW w:w="81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пригодность полов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+</w:t>
            </w:r>
          </w:p>
        </w:tc>
      </w:tr>
      <w:tr>
        <w:trPr>
          <w:trHeight w:val="1" w:hRule="atLeast"/>
          <w:jc w:val="left"/>
        </w:trPr>
        <w:tc>
          <w:tcPr>
            <w:tcW w:w="81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Канализация (Туалет + подвод канализации в фасовочное отделение) септик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+ </w:t>
            </w:r>
          </w:p>
        </w:tc>
      </w:tr>
      <w:tr>
        <w:trPr>
          <w:trHeight w:val="1" w:hRule="atLeast"/>
          <w:jc w:val="left"/>
        </w:trPr>
        <w:tc>
          <w:tcPr>
            <w:tcW w:w="81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Отопление  газовое 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+</w:t>
            </w:r>
          </w:p>
        </w:tc>
      </w:tr>
      <w:tr>
        <w:trPr>
          <w:trHeight w:val="1" w:hRule="atLeast"/>
          <w:jc w:val="left"/>
        </w:trPr>
        <w:tc>
          <w:tcPr>
            <w:tcW w:w="81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электроснабжение мощностью не менее 40 кВт на напряжении 380 В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+</w:t>
            </w:r>
          </w:p>
        </w:tc>
      </w:tr>
      <w:tr>
        <w:trPr>
          <w:trHeight w:val="1" w:hRule="atLeast"/>
          <w:jc w:val="left"/>
        </w:trPr>
        <w:tc>
          <w:tcPr>
            <w:tcW w:w="81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расположение вдали от дошкольных, образ-х, учебных заведений, медицинских организация и организаций культуры (не менее 100 м.)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+</w:t>
            </w:r>
          </w:p>
        </w:tc>
      </w:tr>
      <w:tr>
        <w:trPr>
          <w:trHeight w:val="1" w:hRule="atLeast"/>
          <w:jc w:val="left"/>
        </w:trPr>
        <w:tc>
          <w:tcPr>
            <w:tcW w:w="81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наличие парковки не менее чем на 30 автомобилей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+</w:t>
            </w:r>
          </w:p>
        </w:tc>
      </w:tr>
      <w:tr>
        <w:trPr>
          <w:trHeight w:val="1" w:hRule="atLeast"/>
          <w:jc w:val="left"/>
        </w:trPr>
        <w:tc>
          <w:tcPr>
            <w:tcW w:w="81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наличие крупных городских магистралей, проходящих вблизи торговой точки;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  <w:t xml:space="preserve">Удобные и понятные подъездные пути 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+</w:t>
            </w:r>
          </w:p>
        </w:tc>
      </w:tr>
      <w:tr>
        <w:trPr>
          <w:trHeight w:val="1" w:hRule="atLeast"/>
          <w:jc w:val="left"/>
        </w:trPr>
        <w:tc>
          <w:tcPr>
            <w:tcW w:w="81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  <w:t xml:space="preserve">Визуализация объекта с дороги для потенциальных покупателей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+ </w:t>
            </w:r>
          </w:p>
        </w:tc>
      </w:tr>
      <w:tr>
        <w:trPr>
          <w:trHeight w:val="1" w:hRule="atLeast"/>
          <w:jc w:val="left"/>
        </w:trPr>
        <w:tc>
          <w:tcPr>
            <w:tcW w:w="81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возможность беспрепятственной работы торговой точки с 09.00 до 21.00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+</w:t>
            </w:r>
          </w:p>
        </w:tc>
      </w:tr>
      <w:tr>
        <w:trPr>
          <w:trHeight w:val="1" w:hRule="atLeast"/>
          <w:jc w:val="left"/>
        </w:trPr>
        <w:tc>
          <w:tcPr>
            <w:tcW w:w="81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тип площадей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нежилое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+</w:t>
            </w:r>
          </w:p>
        </w:tc>
      </w:tr>
      <w:tr>
        <w:trPr>
          <w:trHeight w:val="1" w:hRule="atLeast"/>
          <w:jc w:val="left"/>
        </w:trPr>
        <w:tc>
          <w:tcPr>
            <w:tcW w:w="81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охранная сигнализация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+</w:t>
            </w:r>
          </w:p>
        </w:tc>
      </w:tr>
      <w:tr>
        <w:trPr>
          <w:trHeight w:val="1" w:hRule="atLeast"/>
          <w:jc w:val="left"/>
        </w:trPr>
        <w:tc>
          <w:tcPr>
            <w:tcW w:w="81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пожарная сигнализация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+</w:t>
            </w:r>
          </w:p>
        </w:tc>
      </w:tr>
      <w:tr>
        <w:trPr>
          <w:trHeight w:val="1" w:hRule="atLeast"/>
          <w:jc w:val="left"/>
        </w:trPr>
        <w:tc>
          <w:tcPr>
            <w:tcW w:w="81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подведение сетей телефон и интернет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+</w:t>
            </w:r>
          </w:p>
        </w:tc>
      </w:tr>
      <w:tr>
        <w:trPr>
          <w:trHeight w:val="1" w:hRule="atLeast"/>
          <w:jc w:val="left"/>
        </w:trPr>
        <w:tc>
          <w:tcPr>
            <w:tcW w:w="81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высота потолка 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4м</w:t>
            </w:r>
          </w:p>
        </w:tc>
      </w:tr>
      <w:tr>
        <w:trPr>
          <w:trHeight w:val="1" w:hRule="atLeast"/>
          <w:jc w:val="left"/>
        </w:trPr>
        <w:tc>
          <w:tcPr>
            <w:tcW w:w="81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8188"/>
        <w:gridCol w:w="7229"/>
      </w:tblGrid>
      <w:tr>
        <w:trPr>
          <w:trHeight w:val="1" w:hRule="atLeast"/>
          <w:jc w:val="left"/>
        </w:trPr>
        <w:tc>
          <w:tcPr>
            <w:tcW w:w="81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документы на помещение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1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технический паспорт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+</w:t>
            </w:r>
          </w:p>
        </w:tc>
      </w:tr>
      <w:tr>
        <w:trPr>
          <w:trHeight w:val="1" w:hRule="atLeast"/>
          <w:jc w:val="left"/>
        </w:trPr>
        <w:tc>
          <w:tcPr>
            <w:tcW w:w="81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Выписка из ЕГРН 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+</w:t>
            </w:r>
          </w:p>
        </w:tc>
      </w:tr>
      <w:tr>
        <w:trPr>
          <w:trHeight w:val="1" w:hRule="atLeast"/>
          <w:jc w:val="left"/>
        </w:trPr>
        <w:tc>
          <w:tcPr>
            <w:tcW w:w="81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Документы на землю под парковку и заезд к объекту с дороги (свидетельство о правке собственности/ договор аренды)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+</w:t>
            </w:r>
          </w:p>
        </w:tc>
      </w:tr>
      <w:tr>
        <w:trPr>
          <w:trHeight w:val="1" w:hRule="atLeast"/>
          <w:jc w:val="left"/>
        </w:trPr>
        <w:tc>
          <w:tcPr>
            <w:tcW w:w="81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договор на установку и обслуживание пожарной сигнализации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+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Описание</w:t>
      </w:r>
    </w:p>
    <w:p>
      <w:pPr>
        <w:tabs>
          <w:tab w:val="left" w:pos="7260" w:leader="none"/>
        </w:tabs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1-я линия, 1 этаж, не цоколь, окна витражные на улицу и окна во двор;</w:t>
      </w:r>
    </w:p>
    <w:p>
      <w:pPr>
        <w:tabs>
          <w:tab w:val="left" w:pos="7260" w:leader="none"/>
        </w:tabs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Отдельная входная зона, тамбур; свободная планировка;  каникулы пердоставят.</w:t>
      </w:r>
    </w:p>
    <w:p>
      <w:pPr>
        <w:tabs>
          <w:tab w:val="left" w:pos="7260" w:leader="none"/>
        </w:tabs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000000" w:val="clear"/>
        </w:rPr>
      </w:pPr>
    </w:p>
    <w:p>
      <w:pPr>
        <w:tabs>
          <w:tab w:val="left" w:pos="7260" w:leader="none"/>
        </w:tabs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000000" w:val="clear"/>
        </w:rPr>
      </w:pPr>
      <w:r>
        <w:object w:dxaOrig="8640" w:dyaOrig="4889">
          <v:rect xmlns:o="urn:schemas-microsoft-com:office:office" xmlns:v="urn:schemas-microsoft-com:vml" id="rectole0000000000" style="width:432.000000pt;height:244.4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tabs>
          <w:tab w:val="left" w:pos="7260" w:leader="none"/>
        </w:tabs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000000" w:val="clear"/>
        </w:rPr>
      </w:pPr>
      <w:r>
        <w:rPr>
          <w:rFonts w:ascii="Times New Roman" w:hAnsi="Times New Roman" w:cs="Times New Roman" w:eastAsia="Times New Roman"/>
          <w:color w:val="FF0000"/>
          <w:spacing w:val="0"/>
          <w:position w:val="0"/>
          <w:sz w:val="22"/>
          <w:shd w:fill="000000" w:val="clear"/>
        </w:rPr>
        <w:t xml:space="preserve">Здание в свободной планировке можно сделать ремонт по вкусу. По фото видим что парковка большая и оживлена что может не радовать. </w:t>
      </w:r>
    </w:p>
    <w:p>
      <w:pPr>
        <w:tabs>
          <w:tab w:val="left" w:pos="7260" w:leader="none"/>
        </w:tabs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000000" w:val="clear"/>
        </w:rPr>
      </w:pPr>
    </w:p>
    <w:p>
      <w:pPr>
        <w:tabs>
          <w:tab w:val="left" w:pos="7260" w:leader="none"/>
        </w:tabs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000000" w:val="clear"/>
        </w:rPr>
      </w:pPr>
      <w:r>
        <w:object w:dxaOrig="6329" w:dyaOrig="10214">
          <v:rect xmlns:o="urn:schemas-microsoft-com:office:office" xmlns:v="urn:schemas-microsoft-com:vml" id="rectole0000000001" style="width:316.450000pt;height:510.70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tabs>
          <w:tab w:val="left" w:pos="7260" w:leader="none"/>
        </w:tabs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000000" w:val="clear"/>
        </w:rPr>
      </w:pPr>
    </w:p>
    <w:p>
      <w:pPr>
        <w:tabs>
          <w:tab w:val="left" w:pos="7260" w:leader="none"/>
        </w:tabs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FFFFFF"/>
          <w:spacing w:val="0"/>
          <w:position w:val="0"/>
          <w:sz w:val="22"/>
          <w:shd w:fill="000000" w:val="clear"/>
        </w:rPr>
      </w:pPr>
      <w:r>
        <w:object w:dxaOrig="6375" w:dyaOrig="9854">
          <v:rect xmlns:o="urn:schemas-microsoft-com:office:office" xmlns:v="urn:schemas-microsoft-com:vml" id="rectole0000000002" style="width:318.750000pt;height:492.70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</w:p>
    <w:p>
      <w:pPr>
        <w:tabs>
          <w:tab w:val="left" w:pos="7260" w:leader="none"/>
        </w:tabs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FFFFFF"/>
          <w:spacing w:val="0"/>
          <w:position w:val="0"/>
          <w:sz w:val="22"/>
          <w:shd w:fill="000000" w:val="clear"/>
        </w:rPr>
      </w:pPr>
    </w:p>
    <w:p>
      <w:pPr>
        <w:tabs>
          <w:tab w:val="left" w:pos="7260" w:leader="none"/>
        </w:tabs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000000" w:val="clear"/>
        </w:rPr>
      </w:pPr>
      <w:r>
        <w:object w:dxaOrig="6465" w:dyaOrig="10184">
          <v:rect xmlns:o="urn:schemas-microsoft-com:office:office" xmlns:v="urn:schemas-microsoft-com:vml" id="rectole0000000003" style="width:323.250000pt;height:509.20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6"/>
        </w:object>
      </w:r>
    </w:p>
    <w:p>
      <w:pPr>
        <w:tabs>
          <w:tab w:val="left" w:pos="7260" w:leader="none"/>
        </w:tabs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000000" w:val="clear"/>
        </w:rPr>
      </w:pPr>
    </w:p>
    <w:p>
      <w:pPr>
        <w:tabs>
          <w:tab w:val="left" w:pos="7260" w:leader="none"/>
        </w:tabs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000000" w:val="clear"/>
        </w:rPr>
      </w:pPr>
      <w:r>
        <w:object w:dxaOrig="6405" w:dyaOrig="10094">
          <v:rect xmlns:o="urn:schemas-microsoft-com:office:office" xmlns:v="urn:schemas-microsoft-com:vml" id="rectole0000000004" style="width:320.250000pt;height:504.700000pt" o:preferrelative="t" o:ole="">
            <o:lock v:ext="edit"/>
            <v:imagedata xmlns:r="http://schemas.openxmlformats.org/officeDocument/2006/relationships" r:id="docRId9" o:title=""/>
          </v:rect>
          <o:OLEObject xmlns:r="http://schemas.openxmlformats.org/officeDocument/2006/relationships" xmlns:o="urn:schemas-microsoft-com:office:office" Type="Embed" ProgID="StaticMetafile" DrawAspect="Content" ObjectID="0000000004" ShapeID="rectole0000000004" r:id="docRId8"/>
        </w:object>
      </w:r>
    </w:p>
    <w:p>
      <w:pPr>
        <w:tabs>
          <w:tab w:val="left" w:pos="7260" w:leader="none"/>
        </w:tabs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000000" w:val="clear"/>
        </w:rPr>
      </w:pPr>
    </w:p>
    <w:p>
      <w:pPr>
        <w:tabs>
          <w:tab w:val="left" w:pos="7260" w:leader="none"/>
        </w:tabs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000000" w:val="clear"/>
        </w:rPr>
      </w:pPr>
    </w:p>
    <w:p>
      <w:pPr>
        <w:tabs>
          <w:tab w:val="left" w:pos="7260" w:leader="none"/>
        </w:tabs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000000" w:val="clear"/>
        </w:rPr>
      </w:pPr>
    </w:p>
    <w:p>
      <w:pPr>
        <w:tabs>
          <w:tab w:val="left" w:pos="7260" w:leader="none"/>
        </w:tabs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000000" w:val="clear"/>
        </w:rPr>
      </w:pPr>
      <w:r>
        <w:object w:dxaOrig="8640" w:dyaOrig="5774">
          <v:rect xmlns:o="urn:schemas-microsoft-com:office:office" xmlns:v="urn:schemas-microsoft-com:vml" id="rectole0000000005" style="width:432.000000pt;height:288.700000pt" o:preferrelative="t" o:ole="">
            <o:lock v:ext="edit"/>
            <v:imagedata xmlns:r="http://schemas.openxmlformats.org/officeDocument/2006/relationships" r:id="docRId11" o:title=""/>
          </v:rect>
          <o:OLEObject xmlns:r="http://schemas.openxmlformats.org/officeDocument/2006/relationships" xmlns:o="urn:schemas-microsoft-com:office:office" Type="Embed" ProgID="StaticMetafile" DrawAspect="Content" ObjectID="0000000005" ShapeID="rectole0000000005" r:id="docRId10"/>
        </w:object>
      </w:r>
    </w:p>
    <w:p>
      <w:pPr>
        <w:tabs>
          <w:tab w:val="left" w:pos="7260" w:leader="none"/>
        </w:tabs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000000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карта наших потенциальных клиентов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цифры на зданиях количетсво квартир в домах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сопоставить число квартир по формуле средний статитеческой семьи 3 человек (отец, ребенок, мать) значит с каждой квартиры беремь 1 ед как измирения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470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человек потенциальные клиенты нашего будущего магазина.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Тем самым мы можем высчитать нашу выручку будущего магазина согласно среднему чеку в обычном магазине</w:t>
      </w:r>
    </w:p>
    <w:p>
      <w:pPr>
        <w:tabs>
          <w:tab w:val="left" w:pos="7260" w:leader="none"/>
        </w:tabs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000000" w:val="clear"/>
        </w:rPr>
      </w:pPr>
    </w:p>
    <w:p>
      <w:pPr>
        <w:tabs>
          <w:tab w:val="left" w:pos="7260" w:leader="none"/>
        </w:tabs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000000" w:val="clear"/>
        </w:rPr>
      </w:pPr>
      <w:r>
        <w:rPr>
          <w:rFonts w:ascii="Times New Roman" w:hAnsi="Times New Roman" w:cs="Times New Roman" w:eastAsia="Times New Roman"/>
          <w:color w:val="FF0000"/>
          <w:spacing w:val="0"/>
          <w:position w:val="0"/>
          <w:sz w:val="22"/>
          <w:shd w:fill="000000" w:val="clear"/>
        </w:rPr>
        <w:t xml:space="preserve">Также важно знать данное помещение имеет меньше потенциальных клиентов, но расположение дает возможность невелировать данную ситуацию. проезжая часть помещение расположенно на входящий трафик в спальный район. Расположена пешеходная  дорога. Также новостройки могут в будущем показать свой плюс. </w:t>
      </w:r>
    </w:p>
    <w:p>
      <w:pPr>
        <w:tabs>
          <w:tab w:val="left" w:pos="7260" w:leader="none"/>
        </w:tabs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000000" w:val="clear"/>
        </w:rPr>
      </w:pPr>
    </w:p>
    <w:p>
      <w:pPr>
        <w:tabs>
          <w:tab w:val="left" w:pos="7260" w:leader="none"/>
        </w:tabs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000000" w:val="clear"/>
        </w:rPr>
      </w:pPr>
    </w:p>
    <w:p>
      <w:pPr>
        <w:tabs>
          <w:tab w:val="left" w:pos="7260" w:leader="none"/>
        </w:tabs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000000" w:val="clear"/>
        </w:rPr>
      </w:pPr>
    </w:p>
    <w:p>
      <w:pPr>
        <w:tabs>
          <w:tab w:val="left" w:pos="7260" w:leader="none"/>
        </w:tabs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000000" w:val="clear"/>
        </w:rPr>
      </w:pPr>
    </w:p>
    <w:p>
      <w:pPr>
        <w:tabs>
          <w:tab w:val="left" w:pos="7260" w:leader="none"/>
        </w:tabs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000000" w:val="clear"/>
        </w:rPr>
      </w:pPr>
    </w:p>
    <w:p>
      <w:pPr>
        <w:tabs>
          <w:tab w:val="left" w:pos="7260" w:leader="none"/>
        </w:tabs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000000" w:val="clear"/>
        </w:rPr>
      </w:pPr>
    </w:p>
    <w:p>
      <w:pPr>
        <w:tabs>
          <w:tab w:val="left" w:pos="7260" w:leader="none"/>
        </w:tabs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000000" w:val="clear"/>
        </w:rPr>
      </w:pPr>
    </w:p>
    <w:p>
      <w:pPr>
        <w:tabs>
          <w:tab w:val="left" w:pos="7260" w:leader="none"/>
        </w:tabs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000000" w:val="clear"/>
        </w:rPr>
      </w:pPr>
    </w:p>
    <w:p>
      <w:pPr>
        <w:tabs>
          <w:tab w:val="left" w:pos="7260" w:leader="none"/>
        </w:tabs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000000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styles.xml" Id="docRId13" Type="http://schemas.openxmlformats.org/officeDocument/2006/relationships/styles" /><Relationship Target="media/image1.wmf" Id="docRId3" Type="http://schemas.openxmlformats.org/officeDocument/2006/relationships/image" /><Relationship Target="media/image3.wmf" Id="docRId7" Type="http://schemas.openxmlformats.org/officeDocument/2006/relationships/image" /><Relationship Target="embeddings/oleObject5.bin" Id="docRId10" Type="http://schemas.openxmlformats.org/officeDocument/2006/relationships/oleObject" /><Relationship Target="embeddings/oleObject1.bin" Id="docRId2" Type="http://schemas.openxmlformats.org/officeDocument/2006/relationships/oleObject" /><Relationship Target="embeddings/oleObject3.bin" Id="docRId6" Type="http://schemas.openxmlformats.org/officeDocument/2006/relationships/oleObject" /><Relationship Target="media/image0.wmf" Id="docRId1" Type="http://schemas.openxmlformats.org/officeDocument/2006/relationships/image" /><Relationship Target="media/image5.wmf" Id="docRId11" Type="http://schemas.openxmlformats.org/officeDocument/2006/relationships/image" /><Relationship Target="media/image2.wmf" Id="docRId5" Type="http://schemas.openxmlformats.org/officeDocument/2006/relationships/image" /><Relationship Target="media/image4.wmf" Id="docRId9" Type="http://schemas.openxmlformats.org/officeDocument/2006/relationships/image" /><Relationship Target="embeddings/oleObject0.bin" Id="docRId0" Type="http://schemas.openxmlformats.org/officeDocument/2006/relationships/oleObject" /><Relationship Target="numbering.xml" Id="docRId12" Type="http://schemas.openxmlformats.org/officeDocument/2006/relationships/numbering" /><Relationship Target="embeddings/oleObject2.bin" Id="docRId4" Type="http://schemas.openxmlformats.org/officeDocument/2006/relationships/oleObject" /><Relationship Target="embeddings/oleObject4.bin" Id="docRId8" Type="http://schemas.openxmlformats.org/officeDocument/2006/relationships/oleObject" /></Relationships>
</file>