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1124CC">
      <w:pPr>
        <w:pStyle w:val="2"/>
        <w:keepNext w:val="0"/>
        <w:keepLines w:val="0"/>
        <w:widowControl/>
        <w:suppressLineNumbers w:val="0"/>
        <w:rPr>
          <w:rFonts w:hint="default" w:ascii="Times New Roman" w:hAnsi="Times New Roman" w:cs="Times New Roman"/>
        </w:rPr>
      </w:pPr>
      <w:r>
        <w:rPr>
          <w:rFonts w:hint="default" w:ascii="Times New Roman" w:hAnsi="Times New Roman" w:cs="Times New Roman"/>
        </w:rPr>
        <w:t>Медичний переклад: Англійська → Українська</w:t>
      </w:r>
    </w:p>
    <w:p w14:paraId="7A4C1A15">
      <w:pPr>
        <w:pStyle w:val="3"/>
        <w:keepNext w:val="0"/>
        <w:keepLines w:val="0"/>
        <w:widowControl/>
        <w:suppressLineNumbers w:val="0"/>
        <w:rPr>
          <w:rFonts w:hint="default" w:ascii="Times New Roman" w:hAnsi="Times New Roman" w:cs="Times New Roman"/>
        </w:rPr>
      </w:pPr>
      <w:bookmarkStart w:id="0" w:name="_GoBack"/>
      <w:r>
        <w:rPr>
          <w:rFonts w:hint="default" w:ascii="Times New Roman" w:hAnsi="Times New Roman" w:cs="Times New Roman"/>
        </w:rPr>
        <w:t>Про проект</w:t>
      </w:r>
    </w:p>
    <w:p w14:paraId="587A333D">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Style w:val="7"/>
          <w:rFonts w:hint="default" w:ascii="Times New Roman" w:hAnsi="Times New Roman" w:cs="Times New Roman"/>
        </w:rPr>
        <w:t>Тип документа:</w:t>
      </w:r>
      <w:r>
        <w:rPr>
          <w:rFonts w:hint="default" w:ascii="Times New Roman" w:hAnsi="Times New Roman" w:cs="Times New Roman"/>
        </w:rPr>
        <w:t xml:space="preserve"> Фрагмент медичної статті</w:t>
      </w:r>
      <w:r>
        <w:rPr>
          <w:rFonts w:hint="default" w:ascii="Times New Roman" w:hAnsi="Times New Roman" w:cs="Times New Roman"/>
        </w:rPr>
        <w:br w:type="textWrapping"/>
      </w:r>
      <w:r>
        <w:rPr>
          <w:rStyle w:val="7"/>
          <w:rFonts w:hint="default" w:ascii="Times New Roman" w:hAnsi="Times New Roman" w:cs="Times New Roman"/>
        </w:rPr>
        <w:t>Обсяг:</w:t>
      </w:r>
      <w:r>
        <w:rPr>
          <w:rFonts w:hint="default" w:ascii="Times New Roman" w:hAnsi="Times New Roman" w:cs="Times New Roman"/>
        </w:rPr>
        <w:t xml:space="preserve"> 280 слів</w:t>
      </w:r>
      <w:r>
        <w:rPr>
          <w:rFonts w:hint="default" w:ascii="Times New Roman" w:hAnsi="Times New Roman" w:cs="Times New Roman"/>
        </w:rPr>
        <w:br w:type="textWrapping"/>
      </w:r>
      <w:r>
        <w:rPr>
          <w:rStyle w:val="7"/>
          <w:rFonts w:hint="default" w:ascii="Times New Roman" w:hAnsi="Times New Roman" w:cs="Times New Roman"/>
        </w:rPr>
        <w:t>Час виконання:</w:t>
      </w:r>
      <w:r>
        <w:rPr>
          <w:rFonts w:hint="default" w:ascii="Times New Roman" w:hAnsi="Times New Roman" w:cs="Times New Roman"/>
        </w:rPr>
        <w:t xml:space="preserve"> 3 години</w:t>
      </w:r>
      <w:r>
        <w:rPr>
          <w:rFonts w:hint="default" w:ascii="Times New Roman" w:hAnsi="Times New Roman" w:cs="Times New Roman"/>
        </w:rPr>
        <w:br w:type="textWrapping"/>
      </w:r>
      <w:r>
        <w:rPr>
          <w:rStyle w:val="7"/>
          <w:rFonts w:hint="default" w:ascii="Times New Roman" w:hAnsi="Times New Roman" w:cs="Times New Roman"/>
        </w:rPr>
        <w:t>Орієнтовна вартість:</w:t>
      </w:r>
      <w:r>
        <w:rPr>
          <w:rFonts w:hint="default" w:ascii="Times New Roman" w:hAnsi="Times New Roman" w:cs="Times New Roman"/>
        </w:rPr>
        <w:t xml:space="preserve"> 450-550 грн</w:t>
      </w:r>
      <w:r>
        <w:rPr>
          <w:rFonts w:hint="default" w:ascii="Times New Roman" w:hAnsi="Times New Roman" w:cs="Times New Roman"/>
        </w:rPr>
        <w:br w:type="textWrapping"/>
      </w:r>
      <w:r>
        <w:rPr>
          <w:rStyle w:val="7"/>
          <w:rFonts w:hint="default" w:ascii="Times New Roman" w:hAnsi="Times New Roman" w:cs="Times New Roman"/>
        </w:rPr>
        <w:t>Специфіка:</w:t>
      </w:r>
      <w:r>
        <w:rPr>
          <w:rFonts w:hint="default" w:ascii="Times New Roman" w:hAnsi="Times New Roman" w:cs="Times New Roman"/>
        </w:rPr>
        <w:t xml:space="preserve"> Медична термінологія, клінічні дослідження</w:t>
      </w:r>
    </w:p>
    <w:bookmarkEnd w:id="0"/>
    <w:p w14:paraId="4081BBAB">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5" o:spt="1" style="height:1.5pt;width:432pt;" fillcolor="#A0A0A0" filled="t" stroked="f" coordsize="21600,21600" o:hr="t" o:hrstd="t" o:hralign="center">
            <v:path/>
            <v:fill on="t" focussize="0,0"/>
            <v:stroke on="f"/>
            <v:imagedata o:title=""/>
            <o:lock v:ext="edit"/>
            <w10:wrap type="none"/>
            <w10:anchorlock/>
          </v:rect>
        </w:pict>
      </w:r>
    </w:p>
    <w:p w14:paraId="357DEE75">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Оригінальний текст (англійською)</w:t>
      </w:r>
    </w:p>
    <w:p w14:paraId="6C47409F">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Style w:val="7"/>
          <w:rFonts w:hint="default" w:ascii="Times New Roman" w:hAnsi="Times New Roman" w:cs="Times New Roman"/>
        </w:rPr>
        <w:t>Cardiovascular Disease Prevention: The Role of Lifestyle Modifications</w:t>
      </w:r>
    </w:p>
    <w:p w14:paraId="13FEF2A0">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Cardiovascular disease remains the leading cause of mortality worldwide, accounting for approximately 17.9 million deaths annually. However, emerging research demonstrates that lifestyle modifications can significantly reduce the risk of developing coronary artery disease, stroke, and other cardiovascular complications.</w:t>
      </w:r>
    </w:p>
    <w:p w14:paraId="13C4E35F">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Regular physical activity plays a crucial role in maintaining cardiovascular health. The American Heart Association recommends at least 150 minutes of moderate-intensity aerobic exercise weekly. Studies indicate that individuals who engage in consistent exercise show improved endothelial function, reduced arterial stiffness, and better lipid profiles.</w:t>
      </w:r>
    </w:p>
    <w:p w14:paraId="66A90DD2">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Dietary interventions have proven equally important in cardiovascular prevention. The Mediterranean diet, rich in omega-3 fatty acids, antioxidants, and fiber, has been associated with a 30% reduction in major cardiovascular events. Limiting sodium intake to less than 2,300mg daily can help manage hypertension, a primary risk factor for heart disease.</w:t>
      </w:r>
    </w:p>
    <w:p w14:paraId="5E6EB4A9">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Smoking cessation yields immediate cardiovascular benefits. Within 12 months of quitting, the risk of coronary heart disease decreases by approximately 50%. Healthcare providers should prioritize evidence-based smoking cessation programs for all patients.</w:t>
      </w:r>
    </w:p>
    <w:p w14:paraId="30D3D346">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6" o:spt="1" style="height:1.5pt;width:432pt;" fillcolor="#A0A0A0" filled="t" stroked="f" coordsize="21600,21600" o:hr="t" o:hrstd="t" o:hralign="center">
            <v:path/>
            <v:fill on="t" focussize="0,0"/>
            <v:stroke on="f"/>
            <v:imagedata o:title=""/>
            <o:lock v:ext="edit"/>
            <w10:wrap type="none"/>
            <w10:anchorlock/>
          </v:rect>
        </w:pict>
      </w:r>
    </w:p>
    <w:p w14:paraId="6B6FF9E5">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Переклад (українською)</w:t>
      </w:r>
    </w:p>
    <w:p w14:paraId="01192C08">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Style w:val="7"/>
          <w:rFonts w:hint="default" w:ascii="Times New Roman" w:hAnsi="Times New Roman" w:cs="Times New Roman"/>
        </w:rPr>
        <w:t>Профілактика серцево-судинних захворювань: роль модифікації способу життя</w:t>
      </w:r>
    </w:p>
    <w:p w14:paraId="2A7527D2">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Серцево-судинні захворювання залишаються провідною причиною смертності у світі, становлячи приблизно 17,9 мільйона смертей щорічно. Однак нові дослідження демонструють, що модифікація способу життя може значно знизити ризик розвитку ішемічної хвороби серця, інсульту та інших серцево-судинних ускладнень.</w:t>
      </w:r>
    </w:p>
    <w:p w14:paraId="2BAC6412">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Регулярна фізична активність відіграє вирішальну роль у підтримці серцево-судинного здоров'я. Американська асоціація серця рекомендує щонайменше 150 хвилин аеробних вправ помірної інтенсивності щотижня. Дослідження показують, що особи, які займаються систематичними фізичними вправами, демонструють покращену ендотеліальну функцію, зменшену артеріальну жорсткість та кращий ліпідний профіль.</w:t>
      </w:r>
    </w:p>
    <w:p w14:paraId="59E6CD54">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Дієтичні втручання виявилися не менш важливими у профілактиці серцево-судинних захворювань. Середземноморська дієта, багата на омега-3 жирні кислоти, антиоксиданти та клітковину, асоціюється з 30% зниженням основних серцево-судинних подій. Обмеження споживання натрію до менш ніж 2300 мг щодня може допомогти контролювати артеріальну гіпертензію — первинний фактор ризику серцевих захворювань.</w:t>
      </w:r>
    </w:p>
    <w:p w14:paraId="7169F92B">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Fonts w:hint="default" w:ascii="Times New Roman" w:hAnsi="Times New Roman" w:cs="Times New Roman"/>
        </w:rPr>
        <w:t>Припинення куріння дає негайні серцево-судинні переваги. Протягом 12 місяців після відмови від куріння ризик ішемічної хвороби серця знижується приблизно на 50%. Медичні працівники повинні надавати пріоритет доказовим програмам припинення куріння для всіх пацієнтів.</w:t>
      </w:r>
    </w:p>
    <w:p w14:paraId="3A5B4CCE">
      <w:pPr>
        <w:keepNext w:val="0"/>
        <w:keepLines w:val="0"/>
        <w:widowControl/>
        <w:suppressLineNumbers w:val="0"/>
        <w:rPr>
          <w:rFonts w:hint="default" w:ascii="Times New Roman" w:hAnsi="Times New Roman" w:cs="Times New Roman"/>
        </w:rPr>
      </w:pPr>
      <w:r>
        <w:rPr>
          <w:rFonts w:hint="default" w:ascii="Times New Roman" w:hAnsi="Times New Roman" w:cs="Times New Roman"/>
        </w:rPr>
        <w:pict>
          <v:rect id="_x0000_i1027" o:spt="1" style="height:1.5pt;width:432pt;" fillcolor="#A0A0A0" filled="t" stroked="f" coordsize="21600,21600" o:hr="t" o:hrstd="t" o:hralign="center">
            <v:path/>
            <v:fill on="t" focussize="0,0"/>
            <v:stroke on="f"/>
            <v:imagedata o:title=""/>
            <o:lock v:ext="edit"/>
            <w10:wrap type="none"/>
            <w10:anchorlock/>
          </v:rect>
        </w:pict>
      </w:r>
    </w:p>
    <w:p w14:paraId="75C09C85">
      <w:pPr>
        <w:pStyle w:val="3"/>
        <w:keepNext w:val="0"/>
        <w:keepLines w:val="0"/>
        <w:widowControl/>
        <w:suppressLineNumbers w:val="0"/>
        <w:rPr>
          <w:rFonts w:hint="default" w:ascii="Times New Roman" w:hAnsi="Times New Roman" w:cs="Times New Roman"/>
        </w:rPr>
      </w:pPr>
      <w:r>
        <w:rPr>
          <w:rFonts w:hint="default" w:ascii="Times New Roman" w:hAnsi="Times New Roman" w:cs="Times New Roman"/>
        </w:rPr>
        <w:t>Ключові перекладацькі рішення</w:t>
      </w:r>
    </w:p>
    <w:p w14:paraId="2B4CF0F7">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Style w:val="7"/>
          <w:rFonts w:hint="default" w:ascii="Times New Roman" w:hAnsi="Times New Roman" w:cs="Times New Roman"/>
        </w:rPr>
        <w:t>Медична термінологія:</w:t>
      </w:r>
    </w:p>
    <w:p w14:paraId="38AAE794">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Cardiovascular disease → серцево-судинні захворювання</w:t>
      </w:r>
    </w:p>
    <w:p w14:paraId="34D4E301">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Endothelial function → ендотеліальна функція</w:t>
      </w:r>
    </w:p>
    <w:p w14:paraId="76E0C807">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Lipid profiles → ліпідний профіль</w:t>
      </w:r>
    </w:p>
    <w:p w14:paraId="7743915E">
      <w:pPr>
        <w:keepNext w:val="0"/>
        <w:keepLines w:val="0"/>
        <w:widowControl/>
        <w:numPr>
          <w:ilvl w:val="0"/>
          <w:numId w:val="1"/>
        </w:numPr>
        <w:suppressLineNumbers w:val="0"/>
        <w:spacing w:before="0" w:beforeAutospacing="1" w:after="0" w:afterAutospacing="1"/>
        <w:ind w:left="720" w:hanging="360"/>
        <w:rPr>
          <w:rFonts w:hint="default" w:ascii="Times New Roman" w:hAnsi="Times New Roman" w:cs="Times New Roman"/>
        </w:rPr>
      </w:pPr>
      <w:r>
        <w:rPr>
          <w:rFonts w:hint="default" w:ascii="Times New Roman" w:hAnsi="Times New Roman" w:cs="Times New Roman"/>
        </w:rPr>
        <w:t>Arterial stiffness → артеріальна жорсткість</w:t>
      </w:r>
    </w:p>
    <w:p w14:paraId="23E288F4">
      <w:pPr>
        <w:pStyle w:val="6"/>
        <w:keepNext w:val="0"/>
        <w:keepLines w:val="0"/>
        <w:widowControl/>
        <w:suppressLineNumbers w:val="0"/>
        <w:spacing w:before="0" w:beforeAutospacing="1" w:after="0" w:afterAutospacing="1"/>
        <w:ind w:left="0" w:right="0"/>
        <w:rPr>
          <w:rFonts w:hint="default" w:ascii="Times New Roman" w:hAnsi="Times New Roman" w:cs="Times New Roman"/>
        </w:rPr>
      </w:pPr>
      <w:r>
        <w:rPr>
          <w:rStyle w:val="7"/>
          <w:rFonts w:hint="default" w:ascii="Times New Roman" w:hAnsi="Times New Roman" w:cs="Times New Roman"/>
        </w:rPr>
        <w:t>Особливості:</w:t>
      </w:r>
      <w:r>
        <w:rPr>
          <w:rFonts w:hint="default" w:ascii="Times New Roman" w:hAnsi="Times New Roman" w:cs="Times New Roman"/>
        </w:rPr>
        <w:t xml:space="preserve"> Точність медичних термінів критично важлива для безпеки пацієнтів</w:t>
      </w:r>
    </w:p>
    <w:p w14:paraId="4A290DBF"/>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86"/>
    <w:family w:val="auto"/>
    <w:pitch w:val="default"/>
    <w:sig w:usb0="00000000" w:usb1="00000000" w:usb2="00000000" w:usb3="00000000" w:csb0="00000000" w:csb1="00000000"/>
  </w:font>
  <w:font w:name="等线">
    <w:altName w:val="Arial Unicode MS"/>
    <w:panose1 w:val="00000000000000000000"/>
    <w:charset w:val="00"/>
    <w:family w:val="auto"/>
    <w:pitch w:val="default"/>
    <w:sig w:usb0="00000000" w:usb1="00000000" w:usb2="00000000" w:usb3="00000000" w:csb0="00000000" w:csb1="00000000"/>
  </w:font>
  <w:font w:name="Arial Unicode MS">
    <w:panose1 w:val="020B0604020202020204"/>
    <w:charset w:val="86"/>
    <w:family w:val="auto"/>
    <w:pitch w:val="default"/>
    <w:sig w:usb0="FFFFFFFF" w:usb1="E9FFFFFF" w:usb2="0000003F" w:usb3="00000000" w:csb0="603F01FF" w:csb1="FFFF0000"/>
  </w:font>
  <w:font w:name="Symbol">
    <w:panose1 w:val="05050102010706020507"/>
    <w:charset w:val="00"/>
    <w:family w:val="auto"/>
    <w:pitch w:val="default"/>
    <w:sig w:usb0="00000000" w:usb1="00000000" w:usb2="00000000" w:usb3="00000000" w:csb0="80000000" w:csb1="00000000"/>
  </w:font>
  <w:font w:name="Wingdings">
    <w:panose1 w:val="05000000000000000000"/>
    <w:charset w:val="00"/>
    <w:family w:val="auto"/>
    <w:pitch w:val="default"/>
    <w:sig w:usb0="00000000" w:usb1="0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58D4606"/>
    <w:multiLevelType w:val="multilevel"/>
    <w:tmpl w:val="458D4606"/>
    <w:lvl w:ilvl="0" w:tentative="0">
      <w:start w:val="1"/>
      <w:numFmt w:val="bullet"/>
      <w:lvlText w:val=""/>
      <w:lvlJc w:val="left"/>
      <w:pPr>
        <w:tabs>
          <w:tab w:val="left" w:pos="720"/>
        </w:tabs>
        <w:ind w:left="720" w:hanging="360"/>
      </w:pPr>
      <w:rPr>
        <w:rFonts w:ascii="Symbol" w:hAnsi="Symbol" w:cs="Symbol"/>
        <w:sz w:val="20"/>
      </w:rPr>
    </w:lvl>
    <w:lvl w:ilvl="1" w:tentative="0">
      <w:start w:val="1"/>
      <w:numFmt w:val="bullet"/>
      <w:lvlText w:val="o"/>
      <w:lvlJc w:val="left"/>
      <w:pPr>
        <w:tabs>
          <w:tab w:val="left" w:pos="1440"/>
        </w:tabs>
        <w:ind w:left="1440" w:hanging="360"/>
      </w:pPr>
      <w:rPr>
        <w:rFonts w:ascii="Courier New" w:hAnsi="Courier New" w:cs="Courier New"/>
        <w:sz w:val="20"/>
      </w:rPr>
    </w:lvl>
    <w:lvl w:ilvl="2" w:tentative="0">
      <w:start w:val="1"/>
      <w:numFmt w:val="bullet"/>
      <w:lvlText w:val=""/>
      <w:lvlJc w:val="left"/>
      <w:pPr>
        <w:tabs>
          <w:tab w:val="left" w:pos="2160"/>
        </w:tabs>
        <w:ind w:left="2160" w:hanging="360"/>
      </w:pPr>
      <w:rPr>
        <w:rFonts w:ascii="Wingdings" w:hAnsi="Wingdings" w:cs="Wingdings"/>
        <w:sz w:val="20"/>
      </w:rPr>
    </w:lvl>
    <w:lvl w:ilvl="3" w:tentative="0">
      <w:start w:val="1"/>
      <w:numFmt w:val="bullet"/>
      <w:lvlText w:val=""/>
      <w:lvlJc w:val="left"/>
      <w:pPr>
        <w:tabs>
          <w:tab w:val="left" w:pos="2880"/>
        </w:tabs>
        <w:ind w:left="2880" w:hanging="360"/>
      </w:pPr>
      <w:rPr>
        <w:rFonts w:hint="default" w:ascii="Wingdings" w:hAnsi="Wingdings" w:cs="Wingdings"/>
        <w:sz w:val="20"/>
      </w:rPr>
    </w:lvl>
    <w:lvl w:ilvl="4" w:tentative="0">
      <w:start w:val="1"/>
      <w:numFmt w:val="bullet"/>
      <w:lvlText w:val=""/>
      <w:lvlJc w:val="left"/>
      <w:pPr>
        <w:tabs>
          <w:tab w:val="left" w:pos="3600"/>
        </w:tabs>
        <w:ind w:left="3600" w:hanging="360"/>
      </w:pPr>
      <w:rPr>
        <w:rFonts w:hint="default" w:ascii="Wingdings" w:hAnsi="Wingdings" w:cs="Wingdings"/>
        <w:sz w:val="20"/>
      </w:rPr>
    </w:lvl>
    <w:lvl w:ilvl="5" w:tentative="0">
      <w:start w:val="1"/>
      <w:numFmt w:val="bullet"/>
      <w:lvlText w:val=""/>
      <w:lvlJc w:val="left"/>
      <w:pPr>
        <w:tabs>
          <w:tab w:val="left" w:pos="4320"/>
        </w:tabs>
        <w:ind w:left="4320" w:hanging="360"/>
      </w:pPr>
      <w:rPr>
        <w:rFonts w:hint="default" w:ascii="Wingdings" w:hAnsi="Wingdings" w:cs="Wingdings"/>
        <w:sz w:val="20"/>
      </w:rPr>
    </w:lvl>
    <w:lvl w:ilvl="6" w:tentative="0">
      <w:start w:val="1"/>
      <w:numFmt w:val="bullet"/>
      <w:lvlText w:val=""/>
      <w:lvlJc w:val="left"/>
      <w:pPr>
        <w:tabs>
          <w:tab w:val="left" w:pos="5040"/>
        </w:tabs>
        <w:ind w:left="5040" w:hanging="360"/>
      </w:pPr>
      <w:rPr>
        <w:rFonts w:hint="default" w:ascii="Wingdings" w:hAnsi="Wingdings" w:cs="Wingdings"/>
        <w:sz w:val="20"/>
      </w:rPr>
    </w:lvl>
    <w:lvl w:ilvl="7" w:tentative="0">
      <w:start w:val="1"/>
      <w:numFmt w:val="bullet"/>
      <w:lvlText w:val=""/>
      <w:lvlJc w:val="left"/>
      <w:pPr>
        <w:tabs>
          <w:tab w:val="left" w:pos="5760"/>
        </w:tabs>
        <w:ind w:left="5760" w:hanging="360"/>
      </w:pPr>
      <w:rPr>
        <w:rFonts w:hint="default" w:ascii="Wingdings" w:hAnsi="Wingdings" w:cs="Wingdings"/>
        <w:sz w:val="20"/>
      </w:rPr>
    </w:lvl>
    <w:lvl w:ilvl="8" w:tentative="0">
      <w:start w:val="1"/>
      <w:numFmt w:val="bullet"/>
      <w:lvlText w:val=""/>
      <w:lvlJc w:val="left"/>
      <w:pPr>
        <w:tabs>
          <w:tab w:val="left" w:pos="6480"/>
        </w:tabs>
        <w:ind w:left="6480" w:hanging="360"/>
      </w:pPr>
      <w:rPr>
        <w:rFonts w:hint="default" w:ascii="Wingdings" w:hAnsi="Wingdings" w:cs="Wingdings"/>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E324B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character" w:default="1" w:styleId="4">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6">
    <w:name w:val="Normal (Web)"/>
    <w:basedOn w:val="1"/>
    <w:uiPriority w:val="0"/>
    <w:rPr>
      <w:sz w:val="24"/>
      <w:szCs w:val="24"/>
    </w:rPr>
  </w:style>
  <w:style w:type="character" w:styleId="7">
    <w:name w:val="Strong"/>
    <w:basedOn w:val="4"/>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2</TotalTime>
  <ScaleCrop>false</ScaleCrop>
  <LinksUpToDate>false</LinksUpToDate>
  <CharactersWithSpaces>0</CharactersWithSpaces>
  <Application>WPS Office_12.2.0.20795_F1E327BC-269C-435d-A152-05C5408002CA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2025-07-01T13:07:18Z</dcterms:created>
  <dc:creator>1</dc:creator>
  <cp:lastModifiedBy>1</cp:lastModifiedBy>
  <dcterms:modified xsi:type="dcterms:W3CDTF">2025-07-01T13:10:12Z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1033-12.2.0.20795</vt:lpwstr>
  </property>
  <property fmtid="{D5CDD505-2E9C-101B-9397-08002B2CF9AE}" pid="3" name="ICV">
    <vt:lpwstr>DEBB2B523E744C23863B9285323DA272_12</vt:lpwstr>
  </property>
</Properties>
</file>