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ind w:left="72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ind w:left="72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ind w:left="72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ind w:left="72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ind w:left="72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ind w:left="7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SERVICE LEVEL AGREEMENT №___</w:t>
      </w:r>
    </w:p>
    <w:p w:rsidR="00000000" w:rsidDel="00000000" w:rsidP="00000000" w:rsidRDefault="00000000" w:rsidRPr="00000000" w14:paraId="00000009">
      <w:pPr>
        <w:ind w:left="72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ind w:left="72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ind w:left="72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ind w:left="72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ind w:left="72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between</w:t>
      </w:r>
    </w:p>
    <w:p w:rsidR="00000000" w:rsidDel="00000000" w:rsidP="00000000" w:rsidRDefault="00000000" w:rsidRPr="00000000" w14:paraId="0000000F">
      <w:pPr>
        <w:ind w:left="8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w:t>
      </w:r>
    </w:p>
    <w:p w:rsidR="00000000" w:rsidDel="00000000" w:rsidP="00000000" w:rsidRDefault="00000000" w:rsidRPr="00000000" w14:paraId="00000010">
      <w:pPr>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w:t>
      </w:r>
    </w:p>
    <w:p w:rsidR="00000000" w:rsidDel="00000000" w:rsidP="00000000" w:rsidRDefault="00000000" w:rsidRPr="00000000" w14:paraId="00000011">
      <w:pPr>
        <w:ind w:left="7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w:t>
      </w:r>
    </w:p>
    <w:p w:rsidR="00000000" w:rsidDel="00000000" w:rsidP="00000000" w:rsidRDefault="00000000" w:rsidRPr="00000000" w14:paraId="00000012">
      <w:pPr>
        <w:spacing w:after="480" w:before="480" w:lineRule="auto"/>
        <w:ind w:left="72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after="480" w:before="480" w:lineRule="auto"/>
        <w:ind w:left="72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480" w:before="480" w:lineRule="auto"/>
        <w:ind w:left="72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480" w:befor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480" w:befor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480" w:befor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480" w:befor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480" w:befor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480" w:befor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DATED</w:t>
      </w:r>
    </w:p>
    <w:p w:rsidR="00000000" w:rsidDel="00000000" w:rsidP="00000000" w:rsidRDefault="00000000" w:rsidRPr="00000000" w14:paraId="0000001C">
      <w:pPr>
        <w:ind w:left="7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_______ ____, 202__</w:t>
      </w:r>
      <w:r w:rsidDel="00000000" w:rsidR="00000000" w:rsidRPr="00000000">
        <w:rPr>
          <w:rtl w:val="0"/>
        </w:rPr>
      </w:r>
    </w:p>
    <w:p w:rsidR="00000000" w:rsidDel="00000000" w:rsidP="00000000" w:rsidRDefault="00000000" w:rsidRPr="00000000" w14:paraId="0000001D">
      <w:pPr>
        <w:spacing w:after="480" w:befor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ind w:left="140" w:right="-6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Contents</w:t>
      </w:r>
    </w:p>
    <w:p w:rsidR="00000000" w:rsidDel="00000000" w:rsidP="00000000" w:rsidRDefault="00000000" w:rsidRPr="00000000" w14:paraId="0000001F">
      <w:pPr>
        <w:ind w:left="140" w:right="-6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w:t>
        <w:tab/>
        <w:t xml:space="preserve">DEFINITIONS</w:t>
      </w:r>
    </w:p>
    <w:p w:rsidR="00000000" w:rsidDel="00000000" w:rsidP="00000000" w:rsidRDefault="00000000" w:rsidRPr="00000000" w14:paraId="00000020">
      <w:pPr>
        <w:ind w:left="140" w:right="-6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w:t>
        <w:tab/>
        <w:t xml:space="preserve">SUBJECT OF THE AGREEMENT</w:t>
      </w:r>
    </w:p>
    <w:p w:rsidR="00000000" w:rsidDel="00000000" w:rsidP="00000000" w:rsidRDefault="00000000" w:rsidRPr="00000000" w14:paraId="00000021">
      <w:pPr>
        <w:ind w:left="140" w:right="-6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w:t>
        <w:tab/>
        <w:t xml:space="preserve">PROVISION OF SERVICES</w:t>
      </w:r>
    </w:p>
    <w:p w:rsidR="00000000" w:rsidDel="00000000" w:rsidP="00000000" w:rsidRDefault="00000000" w:rsidRPr="00000000" w14:paraId="00000022">
      <w:pPr>
        <w:ind w:left="140" w:right="-6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w:t>
        <w:tab/>
        <w:t xml:space="preserve">COST OF SERVICES AND PAYMENT PROCEDURE</w:t>
      </w:r>
    </w:p>
    <w:p w:rsidR="00000000" w:rsidDel="00000000" w:rsidP="00000000" w:rsidRDefault="00000000" w:rsidRPr="00000000" w14:paraId="00000023">
      <w:pPr>
        <w:ind w:left="140" w:right="-6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w:t>
        <w:tab/>
        <w:t xml:space="preserve">RIGHTS AND OBLIGATIONS OF THE PARTIES</w:t>
      </w:r>
    </w:p>
    <w:p w:rsidR="00000000" w:rsidDel="00000000" w:rsidP="00000000" w:rsidRDefault="00000000" w:rsidRPr="00000000" w14:paraId="00000024">
      <w:pPr>
        <w:ind w:left="140" w:right="-6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CONFIDENTIALITY (NON-DISCLOSURE AGREEMENT)</w:t>
      </w:r>
    </w:p>
    <w:p w:rsidR="00000000" w:rsidDel="00000000" w:rsidP="00000000" w:rsidRDefault="00000000" w:rsidRPr="00000000" w14:paraId="00000025">
      <w:pPr>
        <w:ind w:left="140" w:right="-6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w:t>
        <w:tab/>
        <w:t xml:space="preserve">LIABILITY OF THE PARTIES</w:t>
      </w:r>
    </w:p>
    <w:p w:rsidR="00000000" w:rsidDel="00000000" w:rsidP="00000000" w:rsidRDefault="00000000" w:rsidRPr="00000000" w14:paraId="00000026">
      <w:pPr>
        <w:ind w:left="140" w:right="-6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w:t>
        <w:tab/>
        <w:t xml:space="preserve">DISPUTE RESOLUTION. REGULATION OF LAW AND JURISDICTION</w:t>
      </w:r>
    </w:p>
    <w:p w:rsidR="00000000" w:rsidDel="00000000" w:rsidP="00000000" w:rsidRDefault="00000000" w:rsidRPr="00000000" w14:paraId="00000027">
      <w:pPr>
        <w:ind w:left="140" w:right="-6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w:t>
        <w:tab/>
        <w:t xml:space="preserve">AGREEMENT FORM</w:t>
      </w:r>
    </w:p>
    <w:p w:rsidR="00000000" w:rsidDel="00000000" w:rsidP="00000000" w:rsidRDefault="00000000" w:rsidRPr="00000000" w14:paraId="00000028">
      <w:pPr>
        <w:ind w:left="140" w:right="-6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w:t>
        <w:tab/>
        <w:t xml:space="preserve">TERM OF THE AGREEMENT</w:t>
      </w:r>
    </w:p>
    <w:p w:rsidR="00000000" w:rsidDel="00000000" w:rsidP="00000000" w:rsidRDefault="00000000" w:rsidRPr="00000000" w14:paraId="00000029">
      <w:pPr>
        <w:ind w:left="140" w:right="-6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w:t>
        <w:tab/>
        <w:t xml:space="preserve">TERMINATION OF THE AGREEMENT</w:t>
      </w:r>
    </w:p>
    <w:p w:rsidR="00000000" w:rsidDel="00000000" w:rsidP="00000000" w:rsidRDefault="00000000" w:rsidRPr="00000000" w14:paraId="0000002A">
      <w:pPr>
        <w:ind w:left="140" w:right="-6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w:t>
        <w:tab/>
        <w:t xml:space="preserve">CHANGES TO AGREEMENT</w:t>
      </w:r>
    </w:p>
    <w:p w:rsidR="00000000" w:rsidDel="00000000" w:rsidP="00000000" w:rsidRDefault="00000000" w:rsidRPr="00000000" w14:paraId="0000002B">
      <w:pPr>
        <w:ind w:left="140" w:right="-6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w:t>
        <w:tab/>
        <w:t xml:space="preserve">FORCE MAJEURE</w:t>
      </w:r>
    </w:p>
    <w:p w:rsidR="00000000" w:rsidDel="00000000" w:rsidP="00000000" w:rsidRDefault="00000000" w:rsidRPr="00000000" w14:paraId="0000002C">
      <w:pPr>
        <w:ind w:left="140" w:right="-6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w:t>
        <w:tab/>
        <w:t xml:space="preserve">FINAL PROVISIONS</w:t>
      </w:r>
    </w:p>
    <w:p w:rsidR="00000000" w:rsidDel="00000000" w:rsidP="00000000" w:rsidRDefault="00000000" w:rsidRPr="00000000" w14:paraId="0000002D">
      <w:pPr>
        <w:ind w:left="140" w:right="-6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ADDRESS AND DETAILS OF THE PARTIES</w:t>
      </w:r>
    </w:p>
    <w:p w:rsidR="00000000" w:rsidDel="00000000" w:rsidP="00000000" w:rsidRDefault="00000000" w:rsidRPr="00000000" w14:paraId="0000002E">
      <w:pPr>
        <w:spacing w:after="480" w:before="480" w:lineRule="auto"/>
        <w:ind w:left="141.73228346456688" w:right="-607.7952755905511"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480" w:before="480" w:lineRule="auto"/>
        <w:ind w:left="141.73228346456688" w:right="-607.7952755905511"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480" w:before="480" w:lineRule="auto"/>
        <w:ind w:left="141.73228346456688" w:right="-607.7952755905511"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480" w:before="480" w:lineRule="auto"/>
        <w:ind w:left="141.73228346456688" w:right="-607.7952755905511"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480" w:before="480" w:lineRule="auto"/>
        <w:ind w:left="141.73228346456688" w:right="-607.7952755905511"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480" w:before="480" w:lineRule="auto"/>
        <w:ind w:left="141.73228346456688" w:right="-607.7952755905511"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480" w:before="480" w:lineRule="auto"/>
        <w:ind w:left="141.73228346456688" w:right="-607.7952755905511"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480" w:before="480" w:lineRule="auto"/>
        <w:ind w:left="141.73228346456688" w:right="-607.7952755905511"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480" w:before="480" w:lineRule="auto"/>
        <w:ind w:left="141.73228346456688" w:right="-607.7952755905511"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480" w:before="480" w:lineRule="auto"/>
        <w:ind w:left="141.73228346456688" w:right="-607.7952755905511"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ind w:right="-60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ind w:right="-6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_______________________________, registered at ________________________, represented by _______________________ </w:t>
      </w:r>
      <w:r w:rsidDel="00000000" w:rsidR="00000000" w:rsidRPr="00000000">
        <w:rPr>
          <w:rFonts w:ascii="Times New Roman" w:cs="Times New Roman" w:eastAsia="Times New Roman" w:hAnsi="Times New Roman"/>
          <w:sz w:val="24"/>
          <w:szCs w:val="24"/>
          <w:rtl w:val="0"/>
        </w:rPr>
        <w:t xml:space="preserve"> (the "Provider"),</w:t>
      </w:r>
    </w:p>
    <w:p w:rsidR="00000000" w:rsidDel="00000000" w:rsidP="00000000" w:rsidRDefault="00000000" w:rsidRPr="00000000" w14:paraId="0000003A">
      <w:pPr>
        <w:ind w:right="-6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w:t>
      </w:r>
    </w:p>
    <w:p w:rsidR="00000000" w:rsidDel="00000000" w:rsidP="00000000" w:rsidRDefault="00000000" w:rsidRPr="00000000" w14:paraId="0000003B">
      <w:pPr>
        <w:ind w:right="-6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_______________________________, registered at ________________________, represented by _______________________ </w:t>
      </w:r>
      <w:r w:rsidDel="00000000" w:rsidR="00000000" w:rsidRPr="00000000">
        <w:rPr>
          <w:rFonts w:ascii="Times New Roman" w:cs="Times New Roman" w:eastAsia="Times New Roman" w:hAnsi="Times New Roman"/>
          <w:sz w:val="24"/>
          <w:szCs w:val="24"/>
          <w:rtl w:val="0"/>
        </w:rPr>
        <w:t xml:space="preserve">  (the “Customer”),</w:t>
      </w:r>
    </w:p>
    <w:p w:rsidR="00000000" w:rsidDel="00000000" w:rsidP="00000000" w:rsidRDefault="00000000" w:rsidRPr="00000000" w14:paraId="0000003C">
      <w:pPr>
        <w:ind w:right="-6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hereinafter referred to jointly as the “Parties” and each as a “Party”, the Parties agreed as follows: </w:t>
      </w:r>
    </w:p>
    <w:p w:rsidR="00000000" w:rsidDel="00000000" w:rsidP="00000000" w:rsidRDefault="00000000" w:rsidRPr="00000000" w14:paraId="0000003D">
      <w:pPr>
        <w:ind w:right="-60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pStyle w:val="Heading1"/>
        <w:numPr>
          <w:ilvl w:val="0"/>
          <w:numId w:val="1"/>
        </w:numPr>
        <w:spacing w:after="0" w:before="0" w:lineRule="auto"/>
        <w:ind w:left="570" w:right="-600" w:hanging="150"/>
        <w:jc w:val="center"/>
        <w:rPr>
          <w:rFonts w:ascii="Times New Roman" w:cs="Times New Roman" w:eastAsia="Times New Roman" w:hAnsi="Times New Roman"/>
          <w:b w:val="1"/>
          <w:sz w:val="24"/>
          <w:szCs w:val="24"/>
        </w:rPr>
      </w:pPr>
      <w:bookmarkStart w:colFirst="0" w:colLast="0" w:name="_my5n0jlowqhe" w:id="0"/>
      <w:bookmarkEnd w:id="0"/>
      <w:r w:rsidDel="00000000" w:rsidR="00000000" w:rsidRPr="00000000">
        <w:rPr>
          <w:rFonts w:ascii="Times New Roman" w:cs="Times New Roman" w:eastAsia="Times New Roman" w:hAnsi="Times New Roman"/>
          <w:b w:val="1"/>
          <w:sz w:val="24"/>
          <w:szCs w:val="24"/>
          <w:rtl w:val="0"/>
        </w:rPr>
        <w:t xml:space="preserve">DEFINITIONS</w:t>
      </w:r>
    </w:p>
    <w:p w:rsidR="00000000" w:rsidDel="00000000" w:rsidP="00000000" w:rsidRDefault="00000000" w:rsidRPr="00000000" w14:paraId="0000003F">
      <w:pPr>
        <w:ind w:left="570" w:firstLine="0"/>
        <w:rPr/>
      </w:pPr>
      <w:r w:rsidDel="00000000" w:rsidR="00000000" w:rsidRPr="00000000">
        <w:rPr>
          <w:rtl w:val="0"/>
        </w:rPr>
      </w:r>
    </w:p>
    <w:p w:rsidR="00000000" w:rsidDel="00000000" w:rsidP="00000000" w:rsidRDefault="00000000" w:rsidRPr="00000000" w14:paraId="00000040">
      <w:pPr>
        <w:numPr>
          <w:ilvl w:val="1"/>
          <w:numId w:val="1"/>
        </w:numPr>
        <w:ind w:left="420" w:right="-607.7952755905511" w:hanging="1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Business Day:</w:t>
      </w:r>
      <w:r w:rsidDel="00000000" w:rsidR="00000000" w:rsidRPr="00000000">
        <w:rPr>
          <w:rFonts w:ascii="Times New Roman" w:cs="Times New Roman" w:eastAsia="Times New Roman" w:hAnsi="Times New Roman"/>
          <w:sz w:val="24"/>
          <w:szCs w:val="24"/>
          <w:rtl w:val="0"/>
        </w:rPr>
        <w:t xml:space="preserve"> a day besides Saturday, Sunday or public holiday in England when banks in the USA are open for business.</w:t>
      </w:r>
    </w:p>
    <w:p w:rsidR="00000000" w:rsidDel="00000000" w:rsidP="00000000" w:rsidRDefault="00000000" w:rsidRPr="00000000" w14:paraId="00000041">
      <w:pPr>
        <w:ind w:left="420" w:right="-607.795275590551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numPr>
          <w:ilvl w:val="1"/>
          <w:numId w:val="1"/>
        </w:numPr>
        <w:ind w:left="420" w:right="-607.7952755905511" w:hanging="1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Confidential Information:</w:t>
      </w:r>
      <w:r w:rsidDel="00000000" w:rsidR="00000000" w:rsidRPr="00000000">
        <w:rPr>
          <w:rFonts w:ascii="Times New Roman" w:cs="Times New Roman" w:eastAsia="Times New Roman" w:hAnsi="Times New Roman"/>
          <w:sz w:val="24"/>
          <w:szCs w:val="24"/>
          <w:rtl w:val="0"/>
        </w:rPr>
        <w:t xml:space="preserve"> means, in relation to either Party, information which is disclosed to that Party by the other Party pursuant to or in connection with this Agreement (whether orally or in writing or any other medium, and whether the information is expressly stated to be confidential or marked as such).</w:t>
      </w:r>
    </w:p>
    <w:p w:rsidR="00000000" w:rsidDel="00000000" w:rsidP="00000000" w:rsidRDefault="00000000" w:rsidRPr="00000000" w14:paraId="00000043">
      <w:pPr>
        <w:ind w:left="420" w:right="-607.795275590551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numPr>
          <w:ilvl w:val="1"/>
          <w:numId w:val="1"/>
        </w:numPr>
        <w:ind w:left="420" w:right="-607.7952755905511" w:hanging="1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Escalation</w:t>
      </w:r>
      <w:r w:rsidDel="00000000" w:rsidR="00000000" w:rsidRPr="00000000">
        <w:rPr>
          <w:rFonts w:ascii="Times New Roman" w:cs="Times New Roman" w:eastAsia="Times New Roman" w:hAnsi="Times New Roman"/>
          <w:sz w:val="24"/>
          <w:szCs w:val="24"/>
          <w:rtl w:val="0"/>
        </w:rPr>
        <w:t xml:space="preserve"> - is the procedure for transferring a request or incident to a higher level of support in case it could not be resolved at the current level.</w:t>
      </w:r>
    </w:p>
    <w:p w:rsidR="00000000" w:rsidDel="00000000" w:rsidP="00000000" w:rsidRDefault="00000000" w:rsidRPr="00000000" w14:paraId="00000045">
      <w:pPr>
        <w:ind w:left="420" w:right="-607.795275590551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numPr>
          <w:ilvl w:val="1"/>
          <w:numId w:val="1"/>
        </w:numPr>
        <w:ind w:left="420" w:right="-607.7952755905511" w:hanging="1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Incident</w:t>
      </w:r>
      <w:r w:rsidDel="00000000" w:rsidR="00000000" w:rsidRPr="00000000">
        <w:rPr>
          <w:rFonts w:ascii="Times New Roman" w:cs="Times New Roman" w:eastAsia="Times New Roman" w:hAnsi="Times New Roman"/>
          <w:sz w:val="24"/>
          <w:szCs w:val="24"/>
          <w:rtl w:val="0"/>
        </w:rPr>
        <w:t xml:space="preserve"> - is any event, which is not part of the normal operations of providing a service, which has resulted or may result in a disruption or reduction in the quality of that service.</w:t>
      </w:r>
    </w:p>
    <w:p w:rsidR="00000000" w:rsidDel="00000000" w:rsidP="00000000" w:rsidRDefault="00000000" w:rsidRPr="00000000" w14:paraId="00000047">
      <w:pPr>
        <w:ind w:left="420" w:right="-607.795275590551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numPr>
          <w:ilvl w:val="1"/>
          <w:numId w:val="1"/>
        </w:numPr>
        <w:ind w:left="420" w:right="-607.7952755905511" w:hanging="1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Report</w:t>
      </w:r>
      <w:r w:rsidDel="00000000" w:rsidR="00000000" w:rsidRPr="00000000">
        <w:rPr>
          <w:rFonts w:ascii="Times New Roman" w:cs="Times New Roman" w:eastAsia="Times New Roman" w:hAnsi="Times New Roman"/>
          <w:sz w:val="24"/>
          <w:szCs w:val="24"/>
          <w:rtl w:val="0"/>
        </w:rPr>
        <w:t xml:space="preserve"> - means a document in which the Provider indicates the number of Services provided and the amount of their payment.</w:t>
      </w:r>
    </w:p>
    <w:p w:rsidR="00000000" w:rsidDel="00000000" w:rsidP="00000000" w:rsidRDefault="00000000" w:rsidRPr="00000000" w14:paraId="00000049">
      <w:pPr>
        <w:ind w:left="420" w:right="-607.795275590551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numPr>
          <w:ilvl w:val="1"/>
          <w:numId w:val="1"/>
        </w:numPr>
        <w:ind w:left="420" w:right="-607.7952755905511" w:hanging="1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Services:</w:t>
      </w:r>
      <w:r w:rsidDel="00000000" w:rsidR="00000000" w:rsidRPr="00000000">
        <w:rPr>
          <w:rFonts w:ascii="Times New Roman" w:cs="Times New Roman" w:eastAsia="Times New Roman" w:hAnsi="Times New Roman"/>
          <w:sz w:val="24"/>
          <w:szCs w:val="24"/>
          <w:rtl w:val="0"/>
        </w:rPr>
        <w:t xml:space="preserve"> a list of tasks for providing support in the field of IT, ensuring round-the-clock security of the Customer's IT systems, and responding to incidents that have arisen.</w:t>
      </w:r>
    </w:p>
    <w:p w:rsidR="00000000" w:rsidDel="00000000" w:rsidP="00000000" w:rsidRDefault="00000000" w:rsidRPr="00000000" w14:paraId="0000004B">
      <w:pPr>
        <w:ind w:left="420" w:right="-607.795275590551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numPr>
          <w:ilvl w:val="1"/>
          <w:numId w:val="1"/>
        </w:numPr>
        <w:ind w:left="420" w:right="-607.7952755905511" w:hanging="1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Support's first level </w:t>
      </w:r>
      <w:r w:rsidDel="00000000" w:rsidR="00000000" w:rsidRPr="00000000">
        <w:rPr>
          <w:rFonts w:ascii="Times New Roman" w:cs="Times New Roman" w:eastAsia="Times New Roman" w:hAnsi="Times New Roman"/>
          <w:sz w:val="24"/>
          <w:szCs w:val="24"/>
          <w:rtl w:val="0"/>
        </w:rPr>
        <w:t xml:space="preserve">- is a set of user support services.</w:t>
      </w:r>
    </w:p>
    <w:p w:rsidR="00000000" w:rsidDel="00000000" w:rsidP="00000000" w:rsidRDefault="00000000" w:rsidRPr="00000000" w14:paraId="0000004D">
      <w:pPr>
        <w:ind w:left="420" w:right="-607.795275590551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numPr>
          <w:ilvl w:val="1"/>
          <w:numId w:val="1"/>
        </w:numPr>
        <w:ind w:left="420" w:right="-607.7952755905511" w:hanging="1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Support's second level</w:t>
      </w:r>
      <w:r w:rsidDel="00000000" w:rsidR="00000000" w:rsidRPr="00000000">
        <w:rPr>
          <w:rFonts w:ascii="Times New Roman" w:cs="Times New Roman" w:eastAsia="Times New Roman" w:hAnsi="Times New Roman"/>
          <w:sz w:val="24"/>
          <w:szCs w:val="24"/>
          <w:rtl w:val="0"/>
        </w:rPr>
        <w:t xml:space="preserve"> - is a set of IT infrastructure support services.</w:t>
      </w:r>
    </w:p>
    <w:p w:rsidR="00000000" w:rsidDel="00000000" w:rsidP="00000000" w:rsidRDefault="00000000" w:rsidRPr="00000000" w14:paraId="0000004F">
      <w:pPr>
        <w:ind w:left="420" w:right="-607.795275590551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numPr>
          <w:ilvl w:val="1"/>
          <w:numId w:val="1"/>
        </w:numPr>
        <w:ind w:left="420" w:right="-607.7952755905511" w:hanging="1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Support's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third level</w:t>
      </w:r>
      <w:r w:rsidDel="00000000" w:rsidR="00000000" w:rsidRPr="00000000">
        <w:rPr>
          <w:rFonts w:ascii="Times New Roman" w:cs="Times New Roman" w:eastAsia="Times New Roman" w:hAnsi="Times New Roman"/>
          <w:sz w:val="24"/>
          <w:szCs w:val="24"/>
          <w:rtl w:val="0"/>
        </w:rPr>
        <w:t xml:space="preserve"> - is a set of services aimed at solving problems or Incidents.</w:t>
      </w:r>
    </w:p>
    <w:p w:rsidR="00000000" w:rsidDel="00000000" w:rsidP="00000000" w:rsidRDefault="00000000" w:rsidRPr="00000000" w14:paraId="00000051">
      <w:pPr>
        <w:ind w:left="420" w:right="-607.795275590551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pStyle w:val="Heading1"/>
        <w:numPr>
          <w:ilvl w:val="0"/>
          <w:numId w:val="1"/>
        </w:numPr>
        <w:spacing w:after="0" w:before="0" w:lineRule="auto"/>
        <w:ind w:left="570" w:right="-607.7952755905511" w:hanging="150"/>
        <w:jc w:val="center"/>
        <w:rPr>
          <w:rFonts w:ascii="Times New Roman" w:cs="Times New Roman" w:eastAsia="Times New Roman" w:hAnsi="Times New Roman"/>
          <w:b w:val="1"/>
          <w:sz w:val="24"/>
          <w:szCs w:val="24"/>
        </w:rPr>
      </w:pPr>
      <w:bookmarkStart w:colFirst="0" w:colLast="0" w:name="_fbv5hvvx59uo" w:id="1"/>
      <w:bookmarkEnd w:id="1"/>
      <w:r w:rsidDel="00000000" w:rsidR="00000000" w:rsidRPr="00000000">
        <w:rPr>
          <w:rFonts w:ascii="Times New Roman" w:cs="Times New Roman" w:eastAsia="Times New Roman" w:hAnsi="Times New Roman"/>
          <w:b w:val="1"/>
          <w:sz w:val="24"/>
          <w:szCs w:val="24"/>
          <w:rtl w:val="0"/>
        </w:rPr>
        <w:t xml:space="preserve">SUBJECT OF THE AGREEMENT</w:t>
      </w:r>
    </w:p>
    <w:p w:rsidR="00000000" w:rsidDel="00000000" w:rsidP="00000000" w:rsidRDefault="00000000" w:rsidRPr="00000000" w14:paraId="00000053">
      <w:pPr>
        <w:ind w:left="570" w:firstLine="0"/>
        <w:rPr/>
      </w:pPr>
      <w:r w:rsidDel="00000000" w:rsidR="00000000" w:rsidRPr="00000000">
        <w:rPr>
          <w:rtl w:val="0"/>
        </w:rPr>
      </w:r>
    </w:p>
    <w:p w:rsidR="00000000" w:rsidDel="00000000" w:rsidP="00000000" w:rsidRDefault="00000000" w:rsidRPr="00000000" w14:paraId="00000054">
      <w:pPr>
        <w:numPr>
          <w:ilvl w:val="1"/>
          <w:numId w:val="1"/>
        </w:numPr>
        <w:ind w:left="420" w:right="-607.7952755905511" w:hanging="1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Agreement is to ensure that the proper elements and commitments are in place to provide consistent IT service support and delivery to the Customer by the Provider.</w:t>
      </w:r>
    </w:p>
    <w:p w:rsidR="00000000" w:rsidDel="00000000" w:rsidP="00000000" w:rsidRDefault="00000000" w:rsidRPr="00000000" w14:paraId="00000055">
      <w:pPr>
        <w:ind w:left="420" w:right="-607.795275590551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numPr>
          <w:ilvl w:val="1"/>
          <w:numId w:val="1"/>
        </w:numPr>
        <w:ind w:left="420" w:right="-607.7952755905511" w:hanging="1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Provider, according to the terms of this Agreement, undertakes to provide the Services, and the Customer undertakes to pay for them.</w:t>
      </w:r>
    </w:p>
    <w:p w:rsidR="00000000" w:rsidDel="00000000" w:rsidP="00000000" w:rsidRDefault="00000000" w:rsidRPr="00000000" w14:paraId="00000057">
      <w:pPr>
        <w:ind w:left="420" w:right="-607.795275590551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numPr>
          <w:ilvl w:val="1"/>
          <w:numId w:val="1"/>
        </w:numPr>
        <w:ind w:left="420" w:right="-607.7952755905511" w:hanging="1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amount of payment for the Services may be increased by the Parties on the basis of the Report provided by the Contractor.</w:t>
      </w:r>
    </w:p>
    <w:p w:rsidR="00000000" w:rsidDel="00000000" w:rsidP="00000000" w:rsidRDefault="00000000" w:rsidRPr="00000000" w14:paraId="00000059">
      <w:pPr>
        <w:ind w:left="420" w:right="-607.795275590551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pStyle w:val="Heading1"/>
        <w:numPr>
          <w:ilvl w:val="0"/>
          <w:numId w:val="1"/>
        </w:numPr>
        <w:spacing w:after="0" w:before="0" w:lineRule="auto"/>
        <w:ind w:left="570" w:right="-607.7952755905511" w:hanging="150"/>
        <w:jc w:val="center"/>
        <w:rPr>
          <w:rFonts w:ascii="Times New Roman" w:cs="Times New Roman" w:eastAsia="Times New Roman" w:hAnsi="Times New Roman"/>
          <w:b w:val="1"/>
          <w:sz w:val="24"/>
          <w:szCs w:val="24"/>
        </w:rPr>
      </w:pPr>
      <w:bookmarkStart w:colFirst="0" w:colLast="0" w:name="_dho7ga8e8531" w:id="2"/>
      <w:bookmarkEnd w:id="2"/>
      <w:r w:rsidDel="00000000" w:rsidR="00000000" w:rsidRPr="00000000">
        <w:rPr>
          <w:rFonts w:ascii="Times New Roman" w:cs="Times New Roman" w:eastAsia="Times New Roman" w:hAnsi="Times New Roman"/>
          <w:b w:val="1"/>
          <w:sz w:val="24"/>
          <w:szCs w:val="24"/>
          <w:rtl w:val="0"/>
        </w:rPr>
        <w:t xml:space="preserve">PROVISION OF SERVICES</w:t>
      </w:r>
    </w:p>
    <w:p w:rsidR="00000000" w:rsidDel="00000000" w:rsidP="00000000" w:rsidRDefault="00000000" w:rsidRPr="00000000" w14:paraId="0000005B">
      <w:pPr>
        <w:ind w:left="570" w:firstLine="0"/>
        <w:rPr/>
      </w:pPr>
      <w:r w:rsidDel="00000000" w:rsidR="00000000" w:rsidRPr="00000000">
        <w:rPr>
          <w:rtl w:val="0"/>
        </w:rPr>
      </w:r>
    </w:p>
    <w:p w:rsidR="00000000" w:rsidDel="00000000" w:rsidP="00000000" w:rsidRDefault="00000000" w:rsidRPr="00000000" w14:paraId="0000005C">
      <w:pPr>
        <w:numPr>
          <w:ilvl w:val="1"/>
          <w:numId w:val="1"/>
        </w:numPr>
        <w:ind w:left="420" w:right="-607.7952755905511" w:hanging="1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Provider provides the following Services:</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570" w:hanging="150"/>
      </w:pPr>
      <w:rPr>
        <w:u w:val="none"/>
      </w:rPr>
    </w:lvl>
    <w:lvl w:ilvl="1">
      <w:start w:val="1"/>
      <w:numFmt w:val="decimal"/>
      <w:lvlText w:val="%1.%2."/>
      <w:lvlJc w:val="right"/>
      <w:pPr>
        <w:ind w:left="420" w:hanging="165"/>
      </w:pPr>
      <w:rPr>
        <w:u w:val="none"/>
      </w:rPr>
    </w:lvl>
    <w:lvl w:ilvl="2">
      <w:start w:val="1"/>
      <w:numFmt w:val="decimal"/>
      <w:lvlText w:val="%1.%2.%3."/>
      <w:lvlJc w:val="right"/>
      <w:pPr>
        <w:ind w:left="2267.716535433071" w:hanging="18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