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Vaccination: accurately and unbiased</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the project the media content, which will help society to reach understanding in important vaccination issues, will be created. It will include articles for online magazines, thematic episodes, public service announcements, social media content. Besides, we will organize pieces of training for journalists in order to explain to media representatives how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reflect problems connected to immunization, basing on the principles of evidence-based medicine; to give them more information about the necessity and tasks of immunization and also the danger of the diseases controlled by means of immunoprevention.</w:t>
      </w:r>
    </w:p>
    <w:p w:rsidR="00000000" w:rsidDel="00000000" w:rsidP="00000000" w:rsidRDefault="00000000" w:rsidRPr="00000000" w14:paraId="0000000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p w:rsidR="00000000" w:rsidDel="00000000" w:rsidP="00000000" w:rsidRDefault="00000000" w:rsidRPr="00000000" w14:paraId="00000006">
      <w:pPr>
        <w:spacing w:line="240" w:lineRule="auto"/>
        <w:ind w:firstLine="85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AND LOCATION</w:t>
      </w:r>
    </w:p>
    <w:p w:rsidR="00000000" w:rsidDel="00000000" w:rsidP="00000000" w:rsidRDefault="00000000" w:rsidRPr="00000000" w14:paraId="00000007">
      <w:pPr>
        <w:spacing w:line="240" w:lineRule="auto"/>
        <w:ind w:firstLine="85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9">
      <w:pPr>
        <w:widowControl w:val="0"/>
        <w:spacing w:line="24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name:  КОМУНАЛЬНЕ ПІДПРИЄМСТВО «ВОЛИНСЬКИЙ ОБЛАСНИЙ ЦЕНТР ГРОМАДСЬКОГО ЗДОРОВ’Я» ВОЛИНСЬКОЇ ОБЛАСНОЇ РАДИ;</w:t>
      </w:r>
    </w:p>
    <w:p w:rsidR="00000000" w:rsidDel="00000000" w:rsidP="00000000" w:rsidRDefault="00000000" w:rsidRPr="00000000" w14:paraId="0000000A">
      <w:pPr>
        <w:widowControl w:val="0"/>
        <w:spacing w:line="24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shorten name: КП «ВОЛИНСЬКИЙ ОЦГЗ»;</w:t>
      </w:r>
    </w:p>
    <w:p w:rsidR="00000000" w:rsidDel="00000000" w:rsidP="00000000" w:rsidRDefault="00000000" w:rsidRPr="00000000" w14:paraId="0000000B">
      <w:pPr>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name in English: THE MUNICIPAL ENTERPRISE «VOLYN REGIONAL PUBLIC HEALTH CENTER» OF THE VOLYN REGIONAL COUNCIL;</w:t>
      </w:r>
    </w:p>
    <w:p w:rsidR="00000000" w:rsidDel="00000000" w:rsidP="00000000" w:rsidRDefault="00000000" w:rsidRPr="00000000" w14:paraId="0000000C">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shorten name in English: VOLYN REGIONAL PUBLIC HEALTH CENTER.</w:t>
      </w:r>
    </w:p>
    <w:p w:rsidR="00000000" w:rsidDel="00000000" w:rsidP="00000000" w:rsidRDefault="00000000" w:rsidRPr="00000000" w14:paraId="0000000D">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5 Stepana Bandery St., Lutsk, 43025 Volyn, Ukraine.</w:t>
      </w:r>
    </w:p>
    <w:p w:rsidR="00000000" w:rsidDel="00000000" w:rsidP="00000000" w:rsidRDefault="00000000" w:rsidRPr="00000000" w14:paraId="0000000E">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6">
        <w:r w:rsidDel="00000000" w:rsidR="00000000" w:rsidRPr="00000000">
          <w:rPr>
            <w:rFonts w:ascii="Times New Roman" w:cs="Times New Roman" w:eastAsia="Times New Roman" w:hAnsi="Times New Roman"/>
            <w:color w:val="0563c1"/>
            <w:sz w:val="24"/>
            <w:szCs w:val="24"/>
            <w:u w:val="single"/>
            <w:rtl w:val="0"/>
          </w:rPr>
          <w:t xml:space="preserve">oczvolyn@gmail.com</w:t>
        </w:r>
      </w:hyperlink>
      <w:r w:rsidDel="00000000" w:rsidR="00000000" w:rsidRPr="00000000">
        <w:rPr>
          <w:rtl w:val="0"/>
        </w:rPr>
      </w:r>
    </w:p>
    <w:p w:rsidR="00000000" w:rsidDel="00000000" w:rsidP="00000000" w:rsidRDefault="00000000" w:rsidRPr="00000000" w14:paraId="0000000F">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72-48-36, 24-15-37</w:t>
      </w:r>
    </w:p>
    <w:p w:rsidR="00000000" w:rsidDel="00000000" w:rsidP="00000000" w:rsidRDefault="00000000" w:rsidRPr="00000000" w14:paraId="00000010">
      <w:pPr>
        <w:tabs>
          <w:tab w:val="left" w:pos="566.9291338582677"/>
        </w:tabs>
        <w:spacing w:line="240" w:lineRule="auto"/>
        <w:ind w:firstLine="851"/>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Facebook page: </w:t>
      </w:r>
      <w:hyperlink r:id="rId7">
        <w:r w:rsidDel="00000000" w:rsidR="00000000" w:rsidRPr="00000000">
          <w:rPr>
            <w:rFonts w:ascii="Calibri" w:cs="Calibri" w:eastAsia="Calibri" w:hAnsi="Calibri"/>
            <w:color w:val="0000ff"/>
            <w:sz w:val="24"/>
            <w:szCs w:val="24"/>
            <w:u w:val="single"/>
            <w:rtl w:val="0"/>
          </w:rPr>
          <w:t xml:space="preserve">https://www.facebook.com/volocz/</w:t>
        </w:r>
      </w:hyperlink>
      <w:r w:rsidDel="00000000" w:rsidR="00000000" w:rsidRPr="00000000">
        <w:rPr>
          <w:rtl w:val="0"/>
        </w:rPr>
      </w:r>
    </w:p>
    <w:p w:rsidR="00000000" w:rsidDel="00000000" w:rsidP="00000000" w:rsidRDefault="00000000" w:rsidRPr="00000000" w14:paraId="00000011">
      <w:pPr>
        <w:tabs>
          <w:tab w:val="left" w:pos="566.9291338582677"/>
        </w:tabs>
        <w:spacing w:line="240" w:lineRule="auto"/>
        <w:ind w:firstLine="8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p w:rsidR="00000000" w:rsidDel="00000000" w:rsidP="00000000" w:rsidRDefault="00000000" w:rsidRPr="00000000" w14:paraId="00000013">
      <w:pPr>
        <w:tabs>
          <w:tab w:val="left" w:pos="566.9291338582677"/>
        </w:tabs>
        <w:spacing w:line="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 – Novosad Serhiy Anatoliyovych, Acting Director of The Municipal Enterprise «Volyn Regional Public Health Center» of The Volyn Regional Council. </w:t>
      </w:r>
    </w:p>
    <w:p w:rsidR="00000000" w:rsidDel="00000000" w:rsidP="00000000" w:rsidRDefault="00000000" w:rsidRPr="00000000" w14:paraId="00000014">
      <w:pPr>
        <w:tabs>
          <w:tab w:val="left" w:pos="566.9291338582677"/>
        </w:tabs>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8">
        <w:r w:rsidDel="00000000" w:rsidR="00000000" w:rsidRPr="00000000">
          <w:rPr>
            <w:rFonts w:ascii="Times New Roman" w:cs="Times New Roman" w:eastAsia="Times New Roman" w:hAnsi="Times New Roman"/>
            <w:color w:val="0563c1"/>
            <w:sz w:val="24"/>
            <w:szCs w:val="24"/>
            <w:u w:val="single"/>
            <w:rtl w:val="0"/>
          </w:rPr>
          <w:t xml:space="preserve">novosadsergii79@gmail.com</w:t>
        </w:r>
      </w:hyperlink>
      <w:r w:rsidDel="00000000" w:rsidR="00000000" w:rsidRPr="00000000">
        <w:rPr>
          <w:rtl w:val="0"/>
        </w:rPr>
      </w:r>
    </w:p>
    <w:p w:rsidR="00000000" w:rsidDel="00000000" w:rsidP="00000000" w:rsidRDefault="00000000" w:rsidRPr="00000000" w14:paraId="00000015">
      <w:pPr>
        <w:tabs>
          <w:tab w:val="left" w:pos="566.9291338582677"/>
        </w:tabs>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+380502605312</w:t>
      </w:r>
    </w:p>
    <w:p w:rsidR="00000000" w:rsidDel="00000000" w:rsidP="00000000" w:rsidRDefault="00000000" w:rsidRPr="00000000" w14:paraId="00000016">
      <w:pPr>
        <w:tabs>
          <w:tab w:val="left" w:pos="566.9291338582677"/>
        </w:tabs>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Point of Contact – Andriychuk Larysa Volodymyrivna, Public Relations Specialist of The Municipal Enterprise «Volyn Regional Public Health Center» of The Volyn Regional Council. </w:t>
      </w:r>
    </w:p>
    <w:p w:rsidR="00000000" w:rsidDel="00000000" w:rsidP="00000000" w:rsidRDefault="00000000" w:rsidRPr="00000000" w14:paraId="00000017">
      <w:pPr>
        <w:tabs>
          <w:tab w:val="left" w:pos="566.9291338582677"/>
        </w:tabs>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е-mail: </w:t>
      </w:r>
      <w:hyperlink r:id="rId9">
        <w:r w:rsidDel="00000000" w:rsidR="00000000" w:rsidRPr="00000000">
          <w:rPr>
            <w:rFonts w:ascii="Times New Roman" w:cs="Times New Roman" w:eastAsia="Times New Roman" w:hAnsi="Times New Roman"/>
            <w:color w:val="0563c1"/>
            <w:sz w:val="24"/>
            <w:szCs w:val="24"/>
            <w:u w:val="single"/>
            <w:rtl w:val="0"/>
          </w:rPr>
          <w:t xml:space="preserve">laramasikova@gmail.com</w:t>
        </w:r>
      </w:hyperlink>
      <w:r w:rsidDel="00000000" w:rsidR="00000000" w:rsidRPr="00000000">
        <w:rPr>
          <w:rtl w:val="0"/>
        </w:rPr>
      </w:r>
    </w:p>
    <w:p w:rsidR="00000000" w:rsidDel="00000000" w:rsidP="00000000" w:rsidRDefault="00000000" w:rsidRPr="00000000" w14:paraId="00000018">
      <w:pPr>
        <w:tabs>
          <w:tab w:val="left" w:pos="566.9291338582677"/>
        </w:tabs>
        <w:spacing w:after="160" w:line="259"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+380667134562</w:t>
      </w:r>
    </w:p>
    <w:p w:rsidR="00000000" w:rsidDel="00000000" w:rsidP="00000000" w:rsidRDefault="00000000" w:rsidRPr="00000000" w14:paraId="00000019">
      <w:pPr>
        <w:tabs>
          <w:tab w:val="left" w:pos="566.9291338582677"/>
        </w:tabs>
        <w:spacing w:after="160" w:line="259"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6 months</w:t>
      </w:r>
    </w:p>
    <w:p w:rsidR="00000000" w:rsidDel="00000000" w:rsidP="00000000" w:rsidRDefault="00000000" w:rsidRPr="00000000" w14:paraId="0000001A">
      <w:pPr>
        <w:tabs>
          <w:tab w:val="left" w:pos="566.9291338582677"/>
        </w:tabs>
        <w:spacing w:after="160" w:line="259"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25 thousand wocu</w:t>
      </w:r>
    </w:p>
    <w:p w:rsidR="00000000" w:rsidDel="00000000" w:rsidP="00000000" w:rsidRDefault="00000000" w:rsidRPr="00000000" w14:paraId="0000001B">
      <w:pPr>
        <w:tabs>
          <w:tab w:val="left" w:pos="566.9291338582677"/>
        </w:tabs>
        <w:spacing w:after="160" w:line="259"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2,5 thousand wocu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tabs>
          <w:tab w:val="left" w:pos="566.9291338582677"/>
        </w:tabs>
        <w:spacing w:after="160" w:line="259" w:lineRule="auto"/>
        <w:ind w:left="-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ІІ. According to the data of The World Health Organization in 2018 151074 cases of pertussis among the children were registered in the world. As for October 1, 2019, in Ukraine, 59,9% of children younger than 1-year-old have got the vaccine from pertussis, in Volyn - 50,3%. Based on this only example, it is clear that parents’ refusal from vaccination is a big problem as it puts children into the risk of getting infectious diseases and its consequences.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trust of some people to medicine threatens others’ health, as anti-vaccination propaganda caused the pertussis outbreak not only in Ukraine but in the whole world. Considering the distrust of society to vaccination and the low vaccination coverage, the topic of immunoprevention is important not only for the medical community but for the safety of the society in general and even global biosafety.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of the project  - to form an understanding of the value and necessity of immunoprevention in society and to create the social request for vaccination.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B)The events in the framework of the project will include trainings for journalists. As they are this exactly the professional category of people who spread the information and form public opinion. That is why it is important to develop their knowledge of vaccination issues. The trainings for journalists will include the following topics:</w:t>
      </w:r>
    </w:p>
    <w:p w:rsidR="00000000" w:rsidDel="00000000" w:rsidP="00000000" w:rsidRDefault="00000000" w:rsidRPr="00000000" w14:paraId="00000022">
      <w:pPr>
        <w:tabs>
          <w:tab w:val="left" w:pos="566.9291338582677"/>
        </w:tabs>
        <w:spacing w:line="331.2" w:lineRule="auto"/>
        <w:ind w:firstLine="8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«Vaccination: the most important information about immunoprevention.»</w:t>
      </w:r>
    </w:p>
    <w:p w:rsidR="00000000" w:rsidDel="00000000" w:rsidP="00000000" w:rsidRDefault="00000000" w:rsidRPr="00000000" w14:paraId="00000023">
      <w:pPr>
        <w:tabs>
          <w:tab w:val="left" w:pos="566.9291338582677"/>
        </w:tabs>
        <w:spacing w:line="331.2" w:lineRule="auto"/>
        <w:ind w:firstLine="8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«Vaccination: how to reflect this topic balanced»</w:t>
      </w:r>
    </w:p>
    <w:p w:rsidR="00000000" w:rsidDel="00000000" w:rsidP="00000000" w:rsidRDefault="00000000" w:rsidRPr="00000000" w14:paraId="00000024">
      <w:pPr>
        <w:tabs>
          <w:tab w:val="left" w:pos="566.9291338582677"/>
        </w:tabs>
        <w:spacing w:line="331.2" w:lineRule="auto"/>
        <w:ind w:firstLine="8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«Mandatory and additional vaccination: what you should know about the National Vaccination Schedule and the possibilities of additional immunoprevention for children and adults in Ukraine»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necessity of additional training for mass media representatives is caused by the fact that adverse events that happen after the vaccination or complications sometimes are shown in mass media based only on parents’ words, without doctor’s comments and medical experts’ conclusions, it disbalances the points of view in journalistic materials, provoke spreading of disinformation and increases emotional tense concerning vaccination. What, in its turn, has an impact on parents’ negative decisions concerning vaccination and, as a result, leads to the outbreaks of infectious diseases.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during the training the contact information of experts in the field of vaccination in the region will be provided. We also believe it is important to explain to journalists where they can find the necessary information and how to work with medical information sources.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informational videos the question of preparation to vaccination will be reflected; relative and absolute contraindications to vaccination; National Vaccination Schedule, approved by Ministry of Healthcare of Ukraine; the vaccination of children and adults; incidence rate of infections, controlled by means of immunoprevention, available in Ukraine; what is the difference between the adverse events after immunization and complications; we will explain how the vaccines are stored in the ambulatories and specialized medical bases and what parents should know about quality certificates and indicators on the bottles of vaccines; we will emphasize the importance and usefulness of vaccination, particularly, from the perspective of risks of infectious diseases in comparison to risks of vaccination.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we will make public service announcements in which famous people, opinion leaders will share their experiences of childhood vaccination and explain why in their opinion vaccination is necessary.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 publications in online media will be made to share doctors’ experience in, for instance, the treatment of so-called “children’s” diseases which are caused by vaccination controlled infections; contraindications to immunization; vaccination of children with disabilities and genetic diseases; the necessity of creation of herd immunity to protect children (especially the ones who have absolute contraindications to vaccination); </w:t>
      </w:r>
      <w:r w:rsidDel="00000000" w:rsidR="00000000" w:rsidRPr="00000000">
        <w:rPr>
          <w:rFonts w:ascii="Times New Roman" w:cs="Times New Roman" w:eastAsia="Times New Roman" w:hAnsi="Times New Roman"/>
          <w:b w:val="1"/>
          <w:sz w:val="24"/>
          <w:szCs w:val="24"/>
          <w:rtl w:val="0"/>
        </w:rPr>
        <w:t xml:space="preserve">vaccination of pregnant women and women who are planning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pregnancy (as antibodies of the mother’s body protect children from infections in the first months of their life)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materials will be also published on the Youtube channel and Facebook page of Volyn Regional Public Health Center.</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Facebook page, we will make 20 short videos with duration up to 1 minute.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the last week of April 2020 in honor of European Immunization Week, the quest with the questions about vaccination for parents and children will be conducted. CO “Parents for vaccination” will be the partner of the event. Volyn Regional Public Health Center has corresponding experience: on April 13, 2019, the quest “Activate health!” was organized. The event was conducted in honor of World Health Day, teams were formed with children as well as adults.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Volyn Regional Public Health Center has the possibility to involve specialists with higher medical education, doctors whose work is directly connected to immunization: immunologists, pediatricians, infectious disease specialists, family doctors. The experts in these fields are cooperating with our organization, particularly in the vaccination issues. Members of CO “Parents for vaccination” will be also involved in the project, some of them are doctors, nurses, mothers.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journalist of the project, Larysa Andriychuk has 7 years of experience in medical journalism. She was a presenter of TV program “Medical Journal”(“Medychnyi Zhurnal”) on “Nova Volyn” TV channel of The Volyn Region State Broadcasting Company, cooperates in medical issues with online magazine “Rayon.in.ua”, is the creator of the medical and public health TV programs on the channel “UA: Volyn” branch of Public Company “UA: PBC” Volyn Regional Directory.</w:t>
      </w:r>
    </w:p>
    <w:p w:rsidR="00000000" w:rsidDel="00000000" w:rsidP="00000000" w:rsidRDefault="00000000" w:rsidRPr="00000000" w14:paraId="0000002F">
      <w:pPr>
        <w:tabs>
          <w:tab w:val="left" w:pos="566.9291338582677"/>
        </w:tabs>
        <w:spacing w:after="160" w:line="259" w:lineRule="auto"/>
        <w:ind w:left="-851"/>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task of the project is to involve  maximum of possible means of communication in order to spread accurate information about vaccination from the point of view of evidence-based medicine. Besides CO “Parents for vaccination” will be involved in this project.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it is possible to evaluate the results and impact of the project analyzing statistical data and increasement of vaccination level in the region. The incidence rate of diseases controlled by means of immunoprevention will decrease thanks to vaccination.</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the other indicators of project performance are audience coverage, the number of views of articles and interviews, videos and information messages on Facebook and Youtube. Improvement of the quality of journalists’ materials in regional mass media about vaccination, materials which will be created as the result of trainings.</w:t>
      </w:r>
    </w:p>
    <w:p w:rsidR="00000000" w:rsidDel="00000000" w:rsidP="00000000" w:rsidRDefault="00000000" w:rsidRPr="00000000" w14:paraId="00000034">
      <w:pPr>
        <w:spacing w:after="160" w:line="259" w:lineRule="auto"/>
        <w:ind w:left="-851"/>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tbl>
      <w:tblPr>
        <w:tblStyle w:val="Table1"/>
        <w:tblW w:w="9394.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4"/>
        <w:gridCol w:w="855"/>
        <w:gridCol w:w="795"/>
        <w:gridCol w:w="855"/>
        <w:gridCol w:w="885"/>
        <w:gridCol w:w="885"/>
        <w:gridCol w:w="1095"/>
        <w:gridCol w:w="2190"/>
        <w:tblGridChange w:id="0">
          <w:tblGrid>
            <w:gridCol w:w="1834"/>
            <w:gridCol w:w="855"/>
            <w:gridCol w:w="795"/>
            <w:gridCol w:w="855"/>
            <w:gridCol w:w="885"/>
            <w:gridCol w:w="885"/>
            <w:gridCol w:w="1095"/>
            <w:gridCol w:w="2190"/>
          </w:tblGrid>
        </w:tblGridChange>
      </w:tblGrid>
      <w:tr>
        <w:trPr>
          <w:trHeight w:val="257" w:hRule="atLeast"/>
        </w:trPr>
        <w:tc>
          <w:tcPr/>
          <w:p w:rsidR="00000000" w:rsidDel="00000000" w:rsidP="00000000" w:rsidRDefault="00000000" w:rsidRPr="00000000" w14:paraId="00000035">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Name of the Event </w:t>
            </w:r>
          </w:p>
        </w:tc>
        <w:tc>
          <w:tcPr/>
          <w:p w:rsidR="00000000" w:rsidDel="00000000" w:rsidP="00000000" w:rsidRDefault="00000000" w:rsidRPr="00000000" w14:paraId="00000036">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1st month</w:t>
            </w:r>
          </w:p>
        </w:tc>
        <w:tc>
          <w:tcPr/>
          <w:p w:rsidR="00000000" w:rsidDel="00000000" w:rsidP="00000000" w:rsidRDefault="00000000" w:rsidRPr="00000000" w14:paraId="00000037">
            <w:pPr>
              <w:spacing w:after="160" w:line="259" w:lineRule="auto"/>
              <w:ind w:right="-7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2nd month</w:t>
            </w:r>
          </w:p>
        </w:tc>
        <w:tc>
          <w:tcPr/>
          <w:p w:rsidR="00000000" w:rsidDel="00000000" w:rsidP="00000000" w:rsidRDefault="00000000" w:rsidRPr="00000000" w14:paraId="00000038">
            <w:pPr>
              <w:spacing w:after="160" w:line="259" w:lineRule="auto"/>
              <w:ind w:right="-4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3rd month</w:t>
            </w:r>
          </w:p>
        </w:tc>
        <w:tc>
          <w:tcPr/>
          <w:p w:rsidR="00000000" w:rsidDel="00000000" w:rsidP="00000000" w:rsidRDefault="00000000" w:rsidRPr="00000000" w14:paraId="00000039">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4th month</w:t>
            </w:r>
          </w:p>
        </w:tc>
        <w:tc>
          <w:tcPr/>
          <w:p w:rsidR="00000000" w:rsidDel="00000000" w:rsidP="00000000" w:rsidRDefault="00000000" w:rsidRPr="00000000" w14:paraId="0000003A">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5th month</w:t>
            </w:r>
          </w:p>
        </w:tc>
        <w:tc>
          <w:tcPr/>
          <w:p w:rsidR="00000000" w:rsidDel="00000000" w:rsidP="00000000" w:rsidRDefault="00000000" w:rsidRPr="00000000" w14:paraId="0000003B">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6th month</w:t>
            </w:r>
          </w:p>
        </w:tc>
        <w:tc>
          <w:tcPr/>
          <w:p w:rsidR="00000000" w:rsidDel="00000000" w:rsidP="00000000" w:rsidRDefault="00000000" w:rsidRPr="00000000" w14:paraId="0000003C">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Performance indicators </w:t>
            </w:r>
          </w:p>
        </w:tc>
      </w:tr>
      <w:tr>
        <w:trPr>
          <w:trHeight w:val="536" w:hRule="atLeast"/>
        </w:trPr>
        <w:tc>
          <w:tcPr/>
          <w:p w:rsidR="00000000" w:rsidDel="00000000" w:rsidP="00000000" w:rsidRDefault="00000000" w:rsidRPr="00000000" w14:paraId="0000003D">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Trainings for journalists </w:t>
            </w:r>
          </w:p>
        </w:tc>
        <w:tc>
          <w:tcPr/>
          <w:p w:rsidR="00000000" w:rsidDel="00000000" w:rsidP="00000000" w:rsidRDefault="00000000" w:rsidRPr="00000000" w14:paraId="0000003E">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3F">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40">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41">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42">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43">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Trainings for 60 journalists of regional editors were conducted.</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List of participants.</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Programmes of trainings.</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List of trainers and invited experts. </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Content created as the result of the studying;</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Publication of the content on regional TV channels and inform agencies, magazines’ websites, radio and Fb-pages, links to the materials.</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pictures from each event</w:t>
            </w:r>
          </w:p>
          <w:p w:rsidR="00000000" w:rsidDel="00000000" w:rsidP="00000000" w:rsidRDefault="00000000" w:rsidRPr="00000000" w14:paraId="0000004B">
            <w:pPr>
              <w:spacing w:line="276" w:lineRule="auto"/>
              <w:ind w:left="720" w:firstLine="0"/>
              <w:rPr>
                <w:rFonts w:ascii="Times New Roman" w:cs="Times New Roman" w:eastAsia="Times New Roman" w:hAnsi="Times New Roman"/>
                <w:sz w:val="24"/>
                <w:szCs w:val="24"/>
                <w:highlight w:val="white"/>
              </w:rPr>
            </w:pPr>
            <w:r w:rsidDel="00000000" w:rsidR="00000000" w:rsidRPr="00000000">
              <w:rPr>
                <w:rtl w:val="0"/>
              </w:rPr>
            </w:r>
          </w:p>
        </w:tc>
      </w:tr>
      <w:tr>
        <w:trPr>
          <w:trHeight w:val="6540" w:hRule="atLeast"/>
        </w:trPr>
        <w:tc>
          <w:tcPr/>
          <w:p w:rsidR="00000000" w:rsidDel="00000000" w:rsidP="00000000" w:rsidRDefault="00000000" w:rsidRPr="00000000" w14:paraId="0000004C">
            <w:pPr>
              <w:tabs>
                <w:tab w:val="left" w:pos="566.9291338582677"/>
              </w:tabs>
              <w:spacing w:after="160" w:line="259" w:lineRule="auto"/>
              <w:ind w:left="-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service  </w:t>
            </w:r>
          </w:p>
          <w:p w:rsidR="00000000" w:rsidDel="00000000" w:rsidP="00000000" w:rsidRDefault="00000000" w:rsidRPr="00000000" w14:paraId="0000004D">
            <w:pPr>
              <w:tabs>
                <w:tab w:val="left" w:pos="566.9291338582677"/>
              </w:tabs>
              <w:spacing w:after="160" w:line="259" w:lineRule="auto"/>
              <w:ind w:left="-85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announcements</w:t>
            </w:r>
            <w:r w:rsidDel="00000000" w:rsidR="00000000" w:rsidRPr="00000000">
              <w:rPr>
                <w:rtl w:val="0"/>
              </w:rPr>
            </w:r>
          </w:p>
        </w:tc>
        <w:tc>
          <w:tcPr/>
          <w:p w:rsidR="00000000" w:rsidDel="00000000" w:rsidP="00000000" w:rsidRDefault="00000000" w:rsidRPr="00000000" w14:paraId="0000004E">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4F">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50">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51">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52">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53">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p w:rsidR="00000000" w:rsidDel="00000000" w:rsidP="00000000" w:rsidRDefault="00000000" w:rsidRPr="00000000" w14:paraId="00000054">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production of the videos; </w:t>
            </w:r>
          </w:p>
          <w:p w:rsidR="00000000" w:rsidDel="00000000" w:rsidP="00000000" w:rsidRDefault="00000000" w:rsidRPr="00000000" w14:paraId="00000055">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publication of the videos in social networks and the air of TV channels.</w:t>
            </w:r>
          </w:p>
          <w:p w:rsidR="00000000" w:rsidDel="00000000" w:rsidP="00000000" w:rsidRDefault="00000000" w:rsidRPr="00000000" w14:paraId="00000056">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Audience coverage based on the number of views on social networks.</w:t>
            </w:r>
          </w:p>
        </w:tc>
      </w:tr>
      <w:tr>
        <w:trPr>
          <w:trHeight w:val="536" w:hRule="atLeast"/>
        </w:trPr>
        <w:tc>
          <w:tcPr/>
          <w:p w:rsidR="00000000" w:rsidDel="00000000" w:rsidP="00000000" w:rsidRDefault="00000000" w:rsidRPr="00000000" w14:paraId="00000057">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Thematic episodes</w:t>
            </w:r>
          </w:p>
        </w:tc>
        <w:tc>
          <w:tcPr/>
          <w:p w:rsidR="00000000" w:rsidDel="00000000" w:rsidP="00000000" w:rsidRDefault="00000000" w:rsidRPr="00000000" w14:paraId="00000058">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9">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A">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B">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C">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D">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5E">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Production of episodes that involve publicity and medical experts.</w:t>
            </w:r>
          </w:p>
          <w:p w:rsidR="00000000" w:rsidDel="00000000" w:rsidP="00000000" w:rsidRDefault="00000000" w:rsidRPr="00000000" w14:paraId="0000005F">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Description of episodes’ content. </w:t>
            </w:r>
          </w:p>
          <w:p w:rsidR="00000000" w:rsidDel="00000000" w:rsidP="00000000" w:rsidRDefault="00000000" w:rsidRPr="00000000" w14:paraId="00000060">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Audience coverage based on the number of views of Facebook and on the websites of TV channels with links to the materials.</w:t>
            </w:r>
          </w:p>
        </w:tc>
      </w:tr>
      <w:tr>
        <w:trPr>
          <w:trHeight w:val="536" w:hRule="atLeast"/>
        </w:trPr>
        <w:tc>
          <w:tcPr/>
          <w:p w:rsidR="00000000" w:rsidDel="00000000" w:rsidP="00000000" w:rsidRDefault="00000000" w:rsidRPr="00000000" w14:paraId="00000061">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Articles, interviews</w:t>
            </w:r>
          </w:p>
        </w:tc>
        <w:tc>
          <w:tcPr/>
          <w:p w:rsidR="00000000" w:rsidDel="00000000" w:rsidP="00000000" w:rsidRDefault="00000000" w:rsidRPr="00000000" w14:paraId="00000062">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w:t>
            </w:r>
          </w:p>
        </w:tc>
        <w:tc>
          <w:tcPr/>
          <w:p w:rsidR="00000000" w:rsidDel="00000000" w:rsidP="00000000" w:rsidRDefault="00000000" w:rsidRPr="00000000" w14:paraId="00000063">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64">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65">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66">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67">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p w:rsidR="00000000" w:rsidDel="00000000" w:rsidP="00000000" w:rsidRDefault="00000000" w:rsidRPr="00000000" w14:paraId="00000068">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Articles that  are created and published on the website; </w:t>
            </w:r>
          </w:p>
          <w:p w:rsidR="00000000" w:rsidDel="00000000" w:rsidP="00000000" w:rsidRDefault="00000000" w:rsidRPr="00000000" w14:paraId="00000069">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Description of the topics of articles and interviews</w:t>
            </w:r>
          </w:p>
          <w:p w:rsidR="00000000" w:rsidDel="00000000" w:rsidP="00000000" w:rsidRDefault="00000000" w:rsidRPr="00000000" w14:paraId="0000006A">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Links to publications</w:t>
            </w:r>
          </w:p>
          <w:p w:rsidR="00000000" w:rsidDel="00000000" w:rsidP="00000000" w:rsidRDefault="00000000" w:rsidRPr="00000000" w14:paraId="0000006B">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Audience coverage based on the number of views</w:t>
            </w:r>
          </w:p>
        </w:tc>
      </w:tr>
      <w:tr>
        <w:trPr>
          <w:trHeight w:val="536" w:hRule="atLeast"/>
        </w:trPr>
        <w:tc>
          <w:tcPr/>
          <w:p w:rsidR="00000000" w:rsidDel="00000000" w:rsidP="00000000" w:rsidRDefault="00000000" w:rsidRPr="00000000" w14:paraId="0000006C">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sz w:val="24"/>
                <w:szCs w:val="24"/>
                <w:rtl w:val="0"/>
              </w:rPr>
              <w:t xml:space="preserve">uest with the questions about vaccination for parents and children in honor of European Immunization Week</w:t>
            </w:r>
            <w:r w:rsidDel="00000000" w:rsidR="00000000" w:rsidRPr="00000000">
              <w:rPr>
                <w:rtl w:val="0"/>
              </w:rPr>
            </w:r>
          </w:p>
          <w:p w:rsidR="00000000" w:rsidDel="00000000" w:rsidP="00000000" w:rsidRDefault="00000000" w:rsidRPr="00000000" w14:paraId="0000006D">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6F">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70">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71">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(month is chosen approximately)</w:t>
            </w:r>
          </w:p>
        </w:tc>
        <w:tc>
          <w:tcPr/>
          <w:p w:rsidR="00000000" w:rsidDel="00000000" w:rsidP="00000000" w:rsidRDefault="00000000" w:rsidRPr="00000000" w14:paraId="00000072">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73">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74">
            <w:pPr>
              <w:spacing w:after="160" w:line="259" w:lineRule="auto"/>
              <w:rPr>
                <w:rFonts w:ascii="Times New Roman" w:cs="Times New Roman" w:eastAsia="Times New Roman" w:hAnsi="Times New Roman"/>
                <w:sz w:val="24"/>
                <w:szCs w:val="24"/>
                <w:highlight w:val="white"/>
              </w:rPr>
            </w:pPr>
            <w:r w:rsidDel="00000000" w:rsidR="00000000" w:rsidRPr="00000000">
              <w:rPr>
                <w:rtl w:val="0"/>
              </w:rPr>
            </w:r>
          </w:p>
        </w:tc>
        <w:tc>
          <w:tcPr/>
          <w:p w:rsidR="00000000" w:rsidDel="00000000" w:rsidP="00000000" w:rsidRDefault="00000000" w:rsidRPr="00000000" w14:paraId="00000075">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List of team members; </w:t>
            </w:r>
          </w:p>
          <w:p w:rsidR="00000000" w:rsidDel="00000000" w:rsidP="00000000" w:rsidRDefault="00000000" w:rsidRPr="00000000" w14:paraId="00000076">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Pictures of the event; </w:t>
            </w:r>
          </w:p>
          <w:p w:rsidR="00000000" w:rsidDel="00000000" w:rsidP="00000000" w:rsidRDefault="00000000" w:rsidRPr="00000000" w14:paraId="00000077">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Reflection of the event in mass media (links to publications and episodes);</w:t>
            </w:r>
          </w:p>
          <w:p w:rsidR="00000000" w:rsidDel="00000000" w:rsidP="00000000" w:rsidRDefault="00000000" w:rsidRPr="00000000" w14:paraId="00000078">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Links to the videos and publications on social media.</w:t>
            </w:r>
          </w:p>
          <w:p w:rsidR="00000000" w:rsidDel="00000000" w:rsidP="00000000" w:rsidRDefault="00000000" w:rsidRPr="00000000" w14:paraId="00000079">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Audience coverage based on the number of views.</w:t>
            </w:r>
          </w:p>
        </w:tc>
      </w:tr>
      <w:tr>
        <w:trPr>
          <w:trHeight w:val="536" w:hRule="atLeast"/>
        </w:trPr>
        <w:tc>
          <w:tcPr/>
          <w:p w:rsidR="00000000" w:rsidDel="00000000" w:rsidP="00000000" w:rsidRDefault="00000000" w:rsidRPr="00000000" w14:paraId="0000007A">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Short videos on Youtube and FaceBook.</w:t>
            </w:r>
          </w:p>
        </w:tc>
        <w:tc>
          <w:tcPr/>
          <w:p w:rsidR="00000000" w:rsidDel="00000000" w:rsidP="00000000" w:rsidRDefault="00000000" w:rsidRPr="00000000" w14:paraId="0000007B">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7C">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7D">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7E">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7F">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80">
            <w:pPr>
              <w:spacing w:after="160"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p w:rsidR="00000000" w:rsidDel="00000000" w:rsidP="00000000" w:rsidRDefault="00000000" w:rsidRPr="00000000" w14:paraId="00000081">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Videos that are published on the page of </w:t>
            </w:r>
            <w:r w:rsidDel="00000000" w:rsidR="00000000" w:rsidRPr="00000000">
              <w:rPr>
                <w:rFonts w:ascii="Times New Roman" w:cs="Times New Roman" w:eastAsia="Times New Roman" w:hAnsi="Times New Roman"/>
                <w:sz w:val="24"/>
                <w:szCs w:val="24"/>
                <w:rtl w:val="0"/>
              </w:rPr>
              <w:t xml:space="preserve">Volyn Regional Public Health Center</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2">
            <w:pPr>
              <w:numPr>
                <w:ilvl w:val="0"/>
                <w:numId w:val="2"/>
              </w:numPr>
              <w:spacing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numbers of shares including the public pages and groups.</w:t>
            </w:r>
          </w:p>
          <w:p w:rsidR="00000000" w:rsidDel="00000000" w:rsidP="00000000" w:rsidRDefault="00000000" w:rsidRPr="00000000" w14:paraId="00000083">
            <w:pPr>
              <w:numPr>
                <w:ilvl w:val="0"/>
                <w:numId w:val="2"/>
              </w:numPr>
              <w:spacing w:after="200" w:line="276" w:lineRule="auto"/>
              <w:ind w:left="720" w:hanging="36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Audience coverage based on the number of views.</w:t>
            </w:r>
            <w:r w:rsidDel="00000000" w:rsidR="00000000" w:rsidRPr="00000000">
              <w:rPr>
                <w:rtl w:val="0"/>
              </w:rPr>
            </w:r>
          </w:p>
        </w:tc>
      </w:tr>
    </w:tbl>
    <w:p w:rsidR="00000000" w:rsidDel="00000000" w:rsidP="00000000" w:rsidRDefault="00000000" w:rsidRPr="00000000" w14:paraId="00000084">
      <w:pPr>
        <w:spacing w:after="160" w:line="259" w:lineRule="auto"/>
        <w:ind w:left="-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first month of the project the training for journalists will be conducted - 3 one-day trainings of the topics mentioned above, as this is one of the project tasks - to teach journalists to describe the topic and use the principles of evidence-based medicine and reliable medical information sources.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audience is, first of all, parents who need accessible and accurate information about vaccination in Ukraine and in the region and, also, adults who want to get additional vaccination.</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journalists of regional TV channels and online media will be involved into the project.</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make information spreading systematic, we are planning to produce 1 public service announcements, 4 informational-analytical episodes, 3 articles or interviews, 4 short videos on Facebook and Youtube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1. According to Articles of association - THE MUNICIPAL ENTERPRISE «VOLYN REGIONAL PUBLIC HEALTH CENTER» OF THE VOLYN REGIONAL COUNCIL is the health care institution – municipal unitary non-commercial enterprise, that is founded on municipal property of the local community. The founder and owner of the enterprise is The Volyn Regional Council. The enterprise is founded in order to perform the functions connected to providing, preserving and improving population health, strategic management of public health, conducting the epidemiological observation and monitoring of diseases, realization of group and population incidence prevention, coordination of the work of the health care institutions in the region in following the unified system of collection, processing, saving and transmission of medical-statistic information, popularization of healthy lifestyle.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THE MUNICIPAL ENTERPRISE «VOLYN REGIONAL PUBLIC HEALTH CENTER» OF THE VOLYN REGIONAL COUNCIL is the health care institution – municipal unitary non-commercial enterprise, that is founded on municipal property of the local community. The founder and owner of the enterprise is The Volyn Regional Council.</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 estimate of  Volyn Regional Public Health Center in 2019 is  2 985600 UAH.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full-time employees -  31 staff units.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Municipal Enterprise «Volyn Regional Public Health Center» of The Volyn Regional Council has an experience of grants realization. In particular, in 2019  subgrant for the development of regional systems of public health was realized within the framework of the project of  The Global Fund to Fight AIDS, Tuberculosis, and Malaria in Ukraine “To speed  up the process of decreasement of the incidence level of  Tuberculosis and AIDS by providing the general access to timely and qualified diagnosis and treatment of Tuberculosis, by means of expansion of evidence-based medical prevention, diagnosis, and treatment of AIDS and creation of the solid and viable health care system”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566.9291338582677"/>
        </w:tabs>
        <w:spacing w:after="160" w:before="0" w:line="259" w:lineRule="auto"/>
        <w:ind w:left="-851" w:right="0" w:firstLine="85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Amount – more than 1 million hryvnias.</w:t>
      </w:r>
    </w:p>
    <w:p w:rsidR="00000000" w:rsidDel="00000000" w:rsidP="00000000" w:rsidRDefault="00000000" w:rsidRPr="00000000" w14:paraId="00000092">
      <w:pPr>
        <w:tabs>
          <w:tab w:val="left" w:pos="566.9291338582677"/>
        </w:tabs>
        <w:spacing w:after="160" w:line="259" w:lineRule="auto"/>
        <w:ind w:left="-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pos="566.9291338582677"/>
        </w:tabs>
        <w:spacing w:after="160" w:line="259" w:lineRule="auto"/>
        <w:ind w:left="-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160" w:line="259" w:lineRule="auto"/>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160" w:line="259" w:lineRule="auto"/>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160" w:line="259" w:lineRule="auto"/>
        <w:ind w:firstLine="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tabs>
          <w:tab w:val="left" w:pos="566.9291338582677"/>
        </w:tabs>
        <w:spacing w:after="160" w:line="259" w:lineRule="auto"/>
        <w:ind w:left="-851"/>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ramasikova@gmail.com" TargetMode="External"/><Relationship Id="rId5" Type="http://schemas.openxmlformats.org/officeDocument/2006/relationships/styles" Target="styles.xml"/><Relationship Id="rId6" Type="http://schemas.openxmlformats.org/officeDocument/2006/relationships/hyperlink" Target="mailto:oczvolyn@gmail.com" TargetMode="External"/><Relationship Id="rId7" Type="http://schemas.openxmlformats.org/officeDocument/2006/relationships/hyperlink" Target="https://www.facebook.com/volocz/" TargetMode="External"/><Relationship Id="rId8" Type="http://schemas.openxmlformats.org/officeDocument/2006/relationships/hyperlink" Target="mailto:novosadsergii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