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ayout w:type="fixed"/>
        <w:tblLook w:val="0000" w:firstRow="0" w:lastRow="0" w:firstColumn="0" w:lastColumn="0" w:noHBand="0" w:noVBand="0"/>
      </w:tblPr>
      <w:tblGrid>
        <w:gridCol w:w="2694"/>
        <w:gridCol w:w="1876"/>
        <w:gridCol w:w="3936"/>
        <w:gridCol w:w="1842"/>
      </w:tblGrid>
      <w:tr w:rsidR="00A5011F" w:rsidRPr="00A5011F" w:rsidTr="00A5011F">
        <w:trPr>
          <w:cantSplit/>
        </w:trPr>
        <w:tc>
          <w:tcPr>
            <w:tcW w:w="4570" w:type="dxa"/>
            <w:gridSpan w:val="2"/>
          </w:tcPr>
          <w:p w:rsidR="00A5011F" w:rsidRPr="00A5011F" w:rsidRDefault="00A5011F" w:rsidP="00A5011F">
            <w:pPr>
              <w:spacing w:after="0" w:line="240" w:lineRule="auto"/>
              <w:rPr>
                <w:rFonts w:ascii="Arial" w:eastAsia="Times New Roman" w:hAnsi="Arial" w:cs="Times New Roman"/>
                <w:b/>
                <w:lang w:val="uk-UA"/>
              </w:rPr>
            </w:pPr>
          </w:p>
        </w:tc>
        <w:tc>
          <w:tcPr>
            <w:tcW w:w="3936" w:type="dxa"/>
          </w:tcPr>
          <w:p w:rsidR="00A5011F" w:rsidRPr="00A5011F" w:rsidRDefault="00A5011F" w:rsidP="00A5011F">
            <w:pPr>
              <w:keepNext/>
              <w:spacing w:before="240" w:after="60" w:line="240" w:lineRule="auto"/>
              <w:jc w:val="center"/>
              <w:outlineLvl w:val="3"/>
              <w:rPr>
                <w:rFonts w:ascii="Arial" w:eastAsia="Times New Roman" w:hAnsi="Arial" w:cs="Arial"/>
                <w:b/>
                <w:bCs/>
                <w:lang w:val="uk-UA"/>
              </w:rPr>
            </w:pPr>
            <w:bookmarkStart w:id="0" w:name="_GoBack"/>
            <w:r w:rsidRPr="00A5011F">
              <w:rPr>
                <w:rFonts w:ascii="Arial" w:eastAsia="Times New Roman" w:hAnsi="Arial" w:cs="Arial"/>
                <w:b/>
                <w:bCs/>
                <w:lang w:val="uk-UA"/>
              </w:rPr>
              <w:t>CURRICULUM VITAE</w:t>
            </w:r>
            <w:bookmarkEnd w:id="0"/>
          </w:p>
        </w:tc>
        <w:tc>
          <w:tcPr>
            <w:tcW w:w="1842" w:type="dxa"/>
            <w:vMerge w:val="restart"/>
          </w:tcPr>
          <w:p w:rsidR="00A5011F" w:rsidRPr="00A5011F" w:rsidRDefault="00A5011F" w:rsidP="00A5011F">
            <w:pPr>
              <w:spacing w:after="0" w:line="240" w:lineRule="auto"/>
              <w:jc w:val="center"/>
              <w:rPr>
                <w:rFonts w:ascii="Arial" w:eastAsia="Times New Roman" w:hAnsi="Arial" w:cs="Times New Roman"/>
                <w:b/>
                <w:lang w:val="uk-UA"/>
              </w:rPr>
            </w:pPr>
          </w:p>
        </w:tc>
      </w:tr>
      <w:tr w:rsidR="00A5011F" w:rsidRPr="00A5011F" w:rsidTr="00A5011F">
        <w:trPr>
          <w:cantSplit/>
          <w:trHeight w:val="1055"/>
        </w:trPr>
        <w:tc>
          <w:tcPr>
            <w:tcW w:w="4570" w:type="dxa"/>
            <w:gridSpan w:val="2"/>
          </w:tcPr>
          <w:p w:rsidR="00A5011F" w:rsidRPr="009C02A5" w:rsidRDefault="00A5011F" w:rsidP="00A5011F">
            <w:pPr>
              <w:spacing w:after="0" w:line="240" w:lineRule="auto"/>
              <w:rPr>
                <w:rFonts w:ascii="Arial" w:eastAsia="Times New Roman" w:hAnsi="Arial" w:cs="Times New Roman"/>
                <w:lang w:val="en-US"/>
              </w:rPr>
            </w:pPr>
            <w:r w:rsidRPr="00A5011F">
              <w:rPr>
                <w:rFonts w:ascii="Arial" w:eastAsia="Times New Roman" w:hAnsi="Arial" w:cs="Times New Roman"/>
                <w:lang w:val="uk-UA"/>
              </w:rPr>
              <w:t xml:space="preserve">mob.tel. </w:t>
            </w:r>
            <w:r w:rsidR="009C02A5">
              <w:rPr>
                <w:rFonts w:ascii="Arial" w:eastAsia="Times New Roman" w:hAnsi="Arial" w:cs="Times New Roman"/>
                <w:lang w:val="en-US"/>
              </w:rPr>
              <w:t>XXXXXXXXXXX</w:t>
            </w:r>
          </w:p>
          <w:p w:rsidR="00A5011F" w:rsidRPr="00A5011F" w:rsidRDefault="00A5011F" w:rsidP="00A5011F">
            <w:pPr>
              <w:spacing w:after="0" w:line="240" w:lineRule="auto"/>
              <w:rPr>
                <w:rFonts w:ascii="Arial" w:eastAsia="Times New Roman" w:hAnsi="Arial" w:cs="Times New Roman"/>
                <w:color w:val="0000FF"/>
                <w:u w:val="single"/>
                <w:lang w:val="uk-UA"/>
              </w:rPr>
            </w:pPr>
            <w:r w:rsidRPr="00A5011F">
              <w:rPr>
                <w:rFonts w:ascii="Arial" w:eastAsia="Times New Roman" w:hAnsi="Arial" w:cs="Times New Roman"/>
                <w:lang w:val="uk-UA"/>
              </w:rPr>
              <w:t xml:space="preserve">e-mail: </w:t>
            </w:r>
            <w:hyperlink r:id="rId5" w:history="1">
              <w:r w:rsidR="009C02A5" w:rsidRPr="00624297">
                <w:rPr>
                  <w:rStyle w:val="a3"/>
                  <w:rFonts w:ascii="Arial" w:eastAsia="Times New Roman" w:hAnsi="Arial" w:cs="Times New Roman"/>
                  <w:lang w:val="en-US"/>
                </w:rPr>
                <w:t>XXXXXXX</w:t>
              </w:r>
              <w:r w:rsidR="009C02A5" w:rsidRPr="00624297">
                <w:rPr>
                  <w:rStyle w:val="a3"/>
                  <w:rFonts w:ascii="Arial" w:eastAsia="Times New Roman" w:hAnsi="Arial" w:cs="Times New Roman"/>
                  <w:lang w:val="uk-UA"/>
                </w:rPr>
                <w:t>@gmail.com</w:t>
              </w:r>
            </w:hyperlink>
          </w:p>
          <w:p w:rsidR="00A5011F" w:rsidRPr="00A5011F" w:rsidRDefault="00A5011F" w:rsidP="00A5011F">
            <w:pPr>
              <w:spacing w:after="0" w:line="240" w:lineRule="auto"/>
              <w:rPr>
                <w:rFonts w:ascii="Arial" w:eastAsia="Times New Roman" w:hAnsi="Arial" w:cs="Times New Roman"/>
                <w:color w:val="0000FF"/>
                <w:sz w:val="16"/>
                <w:szCs w:val="16"/>
                <w:u w:val="single"/>
                <w:lang w:val="uk-UA"/>
              </w:rPr>
            </w:pPr>
          </w:p>
        </w:tc>
        <w:tc>
          <w:tcPr>
            <w:tcW w:w="3936" w:type="dxa"/>
          </w:tcPr>
          <w:p w:rsidR="00A5011F" w:rsidRPr="00A5011F" w:rsidRDefault="00A5011F" w:rsidP="00A5011F">
            <w:pPr>
              <w:spacing w:after="0" w:line="240" w:lineRule="auto"/>
              <w:rPr>
                <w:rFonts w:ascii="Arial" w:eastAsia="Times New Roman" w:hAnsi="Arial" w:cs="Times New Roman"/>
                <w:lang w:val="uk-UA"/>
              </w:rPr>
            </w:pPr>
          </w:p>
        </w:tc>
        <w:tc>
          <w:tcPr>
            <w:tcW w:w="1842" w:type="dxa"/>
            <w:vMerge/>
          </w:tcPr>
          <w:p w:rsidR="00A5011F" w:rsidRPr="00A5011F" w:rsidRDefault="00A5011F" w:rsidP="00A5011F">
            <w:pPr>
              <w:spacing w:after="0" w:line="240" w:lineRule="auto"/>
              <w:rPr>
                <w:rFonts w:ascii="Arial" w:eastAsia="Times New Roman" w:hAnsi="Arial" w:cs="Times New Roman"/>
                <w:lang w:val="uk-UA"/>
              </w:rPr>
            </w:pPr>
          </w:p>
        </w:tc>
      </w:tr>
      <w:tr w:rsidR="00A5011F" w:rsidRPr="00A5011F" w:rsidTr="00A5011F">
        <w:tc>
          <w:tcPr>
            <w:tcW w:w="2694" w:type="dxa"/>
          </w:tcPr>
          <w:p w:rsidR="00A5011F" w:rsidRPr="00A5011F" w:rsidRDefault="00A5011F" w:rsidP="00A5011F">
            <w:pPr>
              <w:spacing w:after="0" w:line="240" w:lineRule="auto"/>
              <w:rPr>
                <w:rFonts w:ascii="Arial" w:eastAsia="Times New Roman" w:hAnsi="Arial" w:cs="Times New Roman"/>
                <w:b/>
                <w:lang w:val="uk-UA"/>
              </w:rPr>
            </w:pPr>
            <w:r>
              <w:rPr>
                <w:rFonts w:ascii="Arial" w:eastAsia="Times New Roman" w:hAnsi="Arial" w:cs="Times New Roman"/>
                <w:b/>
                <w:lang w:val="uk-UA"/>
              </w:rPr>
              <w:t>Position in the</w:t>
            </w:r>
            <w:r>
              <w:rPr>
                <w:rFonts w:ascii="Arial" w:eastAsia="Times New Roman" w:hAnsi="Arial" w:cs="Times New Roman"/>
                <w:b/>
                <w:lang w:val="en-US"/>
              </w:rPr>
              <w:t xml:space="preserve"> </w:t>
            </w:r>
            <w:r w:rsidRPr="00A5011F">
              <w:rPr>
                <w:rFonts w:ascii="Arial" w:eastAsia="Times New Roman" w:hAnsi="Arial" w:cs="Times New Roman"/>
                <w:b/>
                <w:lang w:val="uk-UA"/>
              </w:rPr>
              <w:t>project</w:t>
            </w:r>
          </w:p>
        </w:tc>
        <w:tc>
          <w:tcPr>
            <w:tcW w:w="7654" w:type="dxa"/>
            <w:gridSpan w:val="3"/>
          </w:tcPr>
          <w:p w:rsidR="00A5011F" w:rsidRPr="00A5011F" w:rsidRDefault="00A5011F" w:rsidP="00A5011F">
            <w:pPr>
              <w:spacing w:after="0" w:line="240" w:lineRule="auto"/>
              <w:rPr>
                <w:rFonts w:ascii="Arial" w:eastAsia="Times New Roman" w:hAnsi="Arial" w:cs="Times New Roman"/>
                <w:lang w:val="uk-UA"/>
              </w:rPr>
            </w:pPr>
            <w:r w:rsidRPr="00A5011F">
              <w:rPr>
                <w:rFonts w:ascii="Arial" w:eastAsia="Times New Roman" w:hAnsi="Arial" w:cs="Times New Roman"/>
                <w:lang w:val="uk-UA"/>
              </w:rPr>
              <w:t xml:space="preserve">Expert (expert-consultant) in the field of strategic management and </w:t>
            </w:r>
          </w:p>
          <w:p w:rsidR="00A5011F" w:rsidRPr="00A5011F" w:rsidRDefault="00A5011F" w:rsidP="00A5011F">
            <w:pPr>
              <w:spacing w:after="0" w:line="240" w:lineRule="auto"/>
              <w:rPr>
                <w:rFonts w:ascii="Arial" w:eastAsia="Times New Roman" w:hAnsi="Arial" w:cs="Times New Roman"/>
                <w:lang w:val="uk-UA"/>
              </w:rPr>
            </w:pPr>
            <w:r w:rsidRPr="00A5011F">
              <w:rPr>
                <w:rFonts w:ascii="Arial" w:eastAsia="Times New Roman" w:hAnsi="Arial" w:cs="Times New Roman"/>
                <w:lang w:val="uk-UA"/>
              </w:rPr>
              <w:t>development of implementation plans for strategies.</w:t>
            </w:r>
          </w:p>
          <w:p w:rsidR="00A5011F" w:rsidRPr="00A5011F" w:rsidRDefault="00A5011F" w:rsidP="00A5011F">
            <w:pPr>
              <w:spacing w:after="0" w:line="240" w:lineRule="auto"/>
              <w:rPr>
                <w:rFonts w:ascii="Arial" w:eastAsia="Times New Roman" w:hAnsi="Arial" w:cs="Times New Roman"/>
                <w:lang w:val="uk-UA"/>
              </w:rPr>
            </w:pPr>
            <w:r w:rsidRPr="00A5011F">
              <w:rPr>
                <w:rFonts w:ascii="Arial" w:eastAsia="Times New Roman" w:hAnsi="Arial" w:cs="Times New Roman"/>
                <w:lang w:val="uk-UA"/>
              </w:rPr>
              <w:t>Consultant on the development of the Strategy of sustainable development of the town of Zdolbuniv.</w:t>
            </w:r>
          </w:p>
        </w:tc>
      </w:tr>
      <w:tr w:rsidR="00A5011F" w:rsidRPr="00A5011F" w:rsidTr="00A5011F">
        <w:tc>
          <w:tcPr>
            <w:tcW w:w="2694" w:type="dxa"/>
          </w:tcPr>
          <w:p w:rsidR="00A5011F" w:rsidRPr="00A5011F" w:rsidRDefault="00A5011F" w:rsidP="00A5011F">
            <w:pPr>
              <w:spacing w:after="0" w:line="240" w:lineRule="auto"/>
              <w:rPr>
                <w:rFonts w:ascii="Arial" w:eastAsia="Times New Roman" w:hAnsi="Arial" w:cs="Times New Roman"/>
                <w:b/>
                <w:lang w:val="uk-UA"/>
              </w:rPr>
            </w:pPr>
          </w:p>
        </w:tc>
        <w:tc>
          <w:tcPr>
            <w:tcW w:w="7654" w:type="dxa"/>
            <w:gridSpan w:val="3"/>
          </w:tcPr>
          <w:p w:rsidR="00A5011F" w:rsidRPr="00A5011F" w:rsidRDefault="00A5011F" w:rsidP="00A5011F">
            <w:pPr>
              <w:spacing w:after="0" w:line="240" w:lineRule="auto"/>
              <w:rPr>
                <w:rFonts w:ascii="Arial" w:eastAsia="Times New Roman" w:hAnsi="Arial" w:cs="Times New Roman"/>
                <w:lang w:val="uk-UA"/>
              </w:rPr>
            </w:pPr>
          </w:p>
        </w:tc>
      </w:tr>
      <w:tr w:rsidR="00A5011F" w:rsidRPr="00A5011F" w:rsidTr="00A5011F">
        <w:tc>
          <w:tcPr>
            <w:tcW w:w="2694" w:type="dxa"/>
          </w:tcPr>
          <w:p w:rsidR="00A5011F" w:rsidRPr="00A5011F" w:rsidRDefault="004F2476" w:rsidP="00A5011F">
            <w:pPr>
              <w:spacing w:after="0" w:line="240" w:lineRule="auto"/>
              <w:rPr>
                <w:rFonts w:ascii="Arial" w:eastAsia="Times New Roman" w:hAnsi="Arial" w:cs="Times New Roman"/>
                <w:b/>
                <w:lang w:val="uk-UA"/>
              </w:rPr>
            </w:pPr>
            <w:r>
              <w:rPr>
                <w:rFonts w:ascii="Arial" w:eastAsia="Times New Roman" w:hAnsi="Arial" w:cs="Times New Roman"/>
                <w:b/>
                <w:lang w:val="en-US"/>
              </w:rPr>
              <w:t>E</w:t>
            </w:r>
            <w:r w:rsidR="00A5011F" w:rsidRPr="00A5011F">
              <w:rPr>
                <w:rFonts w:ascii="Arial" w:eastAsia="Times New Roman" w:hAnsi="Arial" w:cs="Times New Roman"/>
                <w:b/>
                <w:lang w:val="uk-UA"/>
              </w:rPr>
              <w:t>xperience and key competencies:</w:t>
            </w:r>
          </w:p>
        </w:tc>
        <w:tc>
          <w:tcPr>
            <w:tcW w:w="7654" w:type="dxa"/>
            <w:gridSpan w:val="3"/>
          </w:tcPr>
          <w:p w:rsidR="004F2476" w:rsidRPr="004F2476" w:rsidRDefault="004F2476" w:rsidP="004F2476">
            <w:pPr>
              <w:spacing w:after="0" w:line="240" w:lineRule="auto"/>
              <w:jc w:val="both"/>
              <w:rPr>
                <w:rFonts w:ascii="Arial" w:eastAsia="Times New Roman" w:hAnsi="Arial" w:cs="Times New Roman"/>
                <w:lang w:val="uk-UA"/>
              </w:rPr>
            </w:pPr>
            <w:r w:rsidRPr="004F2476">
              <w:rPr>
                <w:rFonts w:ascii="Arial" w:eastAsia="Times New Roman" w:hAnsi="Arial" w:cs="Times New Roman"/>
                <w:lang w:val="uk-UA"/>
              </w:rPr>
              <w:t>- 13 years of experience in the development of strategies for local and regional development and/or implementation plans and advisory services in this area of public authorities and local self-government;</w:t>
            </w:r>
          </w:p>
          <w:p w:rsidR="004F2476" w:rsidRPr="004F2476" w:rsidRDefault="004F2476" w:rsidP="004F2476">
            <w:pPr>
              <w:spacing w:after="0" w:line="240" w:lineRule="auto"/>
              <w:jc w:val="both"/>
              <w:rPr>
                <w:rFonts w:ascii="Arial" w:eastAsia="Times New Roman" w:hAnsi="Arial" w:cs="Times New Roman"/>
                <w:lang w:val="uk-UA"/>
              </w:rPr>
            </w:pPr>
            <w:r w:rsidRPr="004F2476">
              <w:rPr>
                <w:rFonts w:ascii="Arial" w:eastAsia="Times New Roman" w:hAnsi="Arial" w:cs="Times New Roman"/>
                <w:lang w:val="uk-UA"/>
              </w:rPr>
              <w:t>- participation in the development of more than 10 local and regional strategies of development and plans of their implementation (the first regional development strategy developed for the town of Ostroh in 2003. Collaboration in the development strategies of towns Dubno, Zdolbuniv, Sarny, Kostopil  in Rivne region; Hoshcha district, Rivne region, Rivne region; Dobropillya, Donetsk region).</w:t>
            </w:r>
          </w:p>
          <w:p w:rsidR="004F2476" w:rsidRPr="004F2476" w:rsidRDefault="004F2476" w:rsidP="004F2476">
            <w:pPr>
              <w:spacing w:after="0" w:line="240" w:lineRule="auto"/>
              <w:jc w:val="both"/>
              <w:rPr>
                <w:rFonts w:ascii="Arial" w:eastAsia="Times New Roman" w:hAnsi="Arial" w:cs="Times New Roman"/>
                <w:lang w:val="uk-UA"/>
              </w:rPr>
            </w:pPr>
            <w:r w:rsidRPr="004F2476">
              <w:rPr>
                <w:rFonts w:ascii="Arial" w:eastAsia="Times New Roman" w:hAnsi="Arial" w:cs="Times New Roman"/>
                <w:lang w:val="uk-UA"/>
              </w:rPr>
              <w:t>- experience in</w:t>
            </w:r>
            <w:r w:rsidR="000F5561">
              <w:rPr>
                <w:rFonts w:ascii="Arial" w:eastAsia="Times New Roman" w:hAnsi="Arial" w:cs="Times New Roman"/>
                <w:lang w:val="uk-UA"/>
              </w:rPr>
              <w:t xml:space="preserve"> monitoring the implementation </w:t>
            </w:r>
            <w:r w:rsidRPr="004F2476">
              <w:rPr>
                <w:rFonts w:ascii="Arial" w:eastAsia="Times New Roman" w:hAnsi="Arial" w:cs="Times New Roman"/>
                <w:lang w:val="uk-UA"/>
              </w:rPr>
              <w:t>of strategies of the towns of Ostroh, Zdolbuniv and Sarny, Rivne region;</w:t>
            </w:r>
          </w:p>
          <w:p w:rsidR="004F2476" w:rsidRPr="004F2476" w:rsidRDefault="004F2476" w:rsidP="004F2476">
            <w:pPr>
              <w:spacing w:after="0" w:line="240" w:lineRule="auto"/>
              <w:jc w:val="both"/>
              <w:rPr>
                <w:rFonts w:ascii="Arial" w:eastAsia="Times New Roman" w:hAnsi="Arial" w:cs="Times New Roman"/>
                <w:lang w:val="uk-UA"/>
              </w:rPr>
            </w:pPr>
            <w:r w:rsidRPr="004F2476">
              <w:rPr>
                <w:rFonts w:ascii="Arial" w:eastAsia="Times New Roman" w:hAnsi="Arial" w:cs="Times New Roman"/>
                <w:lang w:val="uk-UA"/>
              </w:rPr>
              <w:t>- over 10 years of experience in conducting training seminars on a wide range of issues of organizational development, including topics of strategic planning, training and communication activities for the representatives of authorities and local self-government; issues concerning the revitalization of communities; moderation mesenteric partnership projects of the government, business and society;</w:t>
            </w:r>
          </w:p>
          <w:p w:rsidR="00A5011F" w:rsidRPr="00A5011F" w:rsidRDefault="004F2476" w:rsidP="004F2476">
            <w:pPr>
              <w:spacing w:after="0" w:line="240" w:lineRule="auto"/>
              <w:jc w:val="both"/>
              <w:rPr>
                <w:rFonts w:ascii="Arial" w:eastAsia="Times New Roman" w:hAnsi="Arial" w:cs="Times New Roman"/>
                <w:lang w:val="uk-UA"/>
              </w:rPr>
            </w:pPr>
            <w:r w:rsidRPr="004F2476">
              <w:rPr>
                <w:rFonts w:ascii="Arial" w:eastAsia="Times New Roman" w:hAnsi="Arial" w:cs="Times New Roman"/>
                <w:lang w:val="uk-UA"/>
              </w:rPr>
              <w:t>- over 6 years of coaching experience on organizational team development, formation of menegment models and algorithms and building  task processes.</w:t>
            </w:r>
          </w:p>
        </w:tc>
      </w:tr>
      <w:tr w:rsidR="00A5011F" w:rsidRPr="00A5011F" w:rsidTr="00A5011F">
        <w:tc>
          <w:tcPr>
            <w:tcW w:w="2694" w:type="dxa"/>
          </w:tcPr>
          <w:p w:rsidR="00A5011F" w:rsidRPr="00A5011F" w:rsidRDefault="000F5561" w:rsidP="00A5011F">
            <w:pPr>
              <w:spacing w:after="0" w:line="240" w:lineRule="auto"/>
              <w:rPr>
                <w:rFonts w:ascii="Arial" w:eastAsia="Times New Roman" w:hAnsi="Arial" w:cs="Times New Roman"/>
                <w:b/>
                <w:szCs w:val="24"/>
                <w:lang w:val="en-US"/>
              </w:rPr>
            </w:pPr>
            <w:r>
              <w:rPr>
                <w:rFonts w:ascii="Arial" w:eastAsia="Times New Roman" w:hAnsi="Arial" w:cs="Times New Roman"/>
                <w:b/>
                <w:szCs w:val="24"/>
                <w:lang w:val="en-US"/>
              </w:rPr>
              <w:t>Work Experience</w:t>
            </w:r>
          </w:p>
        </w:tc>
        <w:tc>
          <w:tcPr>
            <w:tcW w:w="7654" w:type="dxa"/>
            <w:gridSpan w:val="3"/>
          </w:tcPr>
          <w:p w:rsidR="00A5011F" w:rsidRPr="00A5011F" w:rsidRDefault="00A5011F" w:rsidP="00A5011F">
            <w:pPr>
              <w:spacing w:after="0" w:line="240" w:lineRule="auto"/>
              <w:rPr>
                <w:rFonts w:ascii="Arial" w:eastAsia="Times New Roman" w:hAnsi="Arial" w:cs="Times New Roman"/>
                <w:b/>
                <w:lang w:val="uk-UA"/>
              </w:rPr>
            </w:pPr>
          </w:p>
        </w:tc>
      </w:tr>
      <w:tr w:rsidR="00BC0A26" w:rsidRPr="00A5011F" w:rsidTr="00A5011F">
        <w:tc>
          <w:tcPr>
            <w:tcW w:w="2694" w:type="dxa"/>
          </w:tcPr>
          <w:p w:rsidR="00BC0A26" w:rsidRPr="00F94ED5" w:rsidRDefault="00BC0A26" w:rsidP="00BC0A26">
            <w:pPr>
              <w:spacing w:after="0" w:line="240" w:lineRule="auto"/>
              <w:rPr>
                <w:rFonts w:ascii="Arial" w:hAnsi="Arial"/>
              </w:rPr>
            </w:pPr>
            <w:r w:rsidRPr="00F94ED5">
              <w:rPr>
                <w:rFonts w:ascii="Arial" w:hAnsi="Arial"/>
              </w:rPr>
              <w:t>2006-2010</w:t>
            </w:r>
          </w:p>
        </w:tc>
        <w:tc>
          <w:tcPr>
            <w:tcW w:w="7654" w:type="dxa"/>
            <w:gridSpan w:val="3"/>
          </w:tcPr>
          <w:p w:rsidR="00BC0A26" w:rsidRPr="00A5011F" w:rsidRDefault="00BC0A26" w:rsidP="00A5011F">
            <w:pPr>
              <w:spacing w:after="0" w:line="240" w:lineRule="auto"/>
              <w:jc w:val="both"/>
              <w:rPr>
                <w:rFonts w:ascii="Arial" w:eastAsia="Times New Roman" w:hAnsi="Arial" w:cs="Times New Roman"/>
                <w:lang w:val="en-US"/>
              </w:rPr>
            </w:pPr>
            <w:r w:rsidRPr="00BC0A26">
              <w:rPr>
                <w:rFonts w:ascii="Arial" w:eastAsia="Times New Roman" w:hAnsi="Arial" w:cs="Times New Roman"/>
                <w:lang w:val="uk-UA"/>
              </w:rPr>
              <w:t>the Deputy of the Rivne regional Council</w:t>
            </w:r>
          </w:p>
        </w:tc>
      </w:tr>
      <w:tr w:rsidR="00BC0A26" w:rsidRPr="00A5011F" w:rsidTr="00A5011F">
        <w:tc>
          <w:tcPr>
            <w:tcW w:w="2694" w:type="dxa"/>
          </w:tcPr>
          <w:p w:rsidR="00BC0A26" w:rsidRPr="00F94ED5" w:rsidRDefault="00BC0A26" w:rsidP="00EC706E">
            <w:pPr>
              <w:rPr>
                <w:rFonts w:ascii="Arial" w:hAnsi="Arial"/>
              </w:rPr>
            </w:pPr>
            <w:r w:rsidRPr="00F94ED5">
              <w:rPr>
                <w:rFonts w:ascii="Arial" w:hAnsi="Arial"/>
              </w:rPr>
              <w:t>2005-2006</w:t>
            </w:r>
          </w:p>
        </w:tc>
        <w:tc>
          <w:tcPr>
            <w:tcW w:w="7654" w:type="dxa"/>
            <w:gridSpan w:val="3"/>
          </w:tcPr>
          <w:p w:rsidR="00BC0A26" w:rsidRPr="00A5011F" w:rsidRDefault="00BC0A26" w:rsidP="00A5011F">
            <w:pPr>
              <w:spacing w:after="0" w:line="240" w:lineRule="auto"/>
              <w:jc w:val="both"/>
              <w:rPr>
                <w:rFonts w:ascii="Arial" w:eastAsia="Times New Roman" w:hAnsi="Arial" w:cs="Times New Roman"/>
                <w:lang w:val="uk-UA"/>
              </w:rPr>
            </w:pPr>
            <w:r w:rsidRPr="00BC0A26">
              <w:rPr>
                <w:rFonts w:ascii="Arial" w:eastAsia="Times New Roman" w:hAnsi="Arial" w:cs="Times New Roman"/>
                <w:lang w:val="uk-UA"/>
              </w:rPr>
              <w:t>the deputy head of the town of Ostroh on European integration and attraction of foreign investments</w:t>
            </w:r>
          </w:p>
        </w:tc>
      </w:tr>
      <w:tr w:rsidR="00BC0A26" w:rsidRPr="00A5011F" w:rsidTr="00A5011F">
        <w:tc>
          <w:tcPr>
            <w:tcW w:w="2694" w:type="dxa"/>
          </w:tcPr>
          <w:p w:rsidR="00BC0A26" w:rsidRPr="00A5011F" w:rsidRDefault="00BC0A26" w:rsidP="00A5011F">
            <w:pPr>
              <w:spacing w:after="0" w:line="240" w:lineRule="auto"/>
              <w:rPr>
                <w:rFonts w:ascii="Arial" w:eastAsia="Times New Roman" w:hAnsi="Arial" w:cs="Times New Roman"/>
                <w:szCs w:val="24"/>
                <w:lang w:val="uk-UA"/>
              </w:rPr>
            </w:pPr>
            <w:r w:rsidRPr="00BC0A26">
              <w:rPr>
                <w:rFonts w:ascii="Arial" w:eastAsia="Times New Roman" w:hAnsi="Arial" w:cs="Times New Roman"/>
                <w:szCs w:val="24"/>
                <w:lang w:val="uk-UA"/>
              </w:rPr>
              <w:t>2002-2006</w:t>
            </w:r>
          </w:p>
        </w:tc>
        <w:tc>
          <w:tcPr>
            <w:tcW w:w="7654" w:type="dxa"/>
            <w:gridSpan w:val="3"/>
          </w:tcPr>
          <w:p w:rsidR="00BC0A26" w:rsidRPr="00A5011F" w:rsidRDefault="00BC0A26" w:rsidP="00BC0A26">
            <w:pPr>
              <w:spacing w:after="0" w:line="240" w:lineRule="auto"/>
              <w:jc w:val="both"/>
              <w:rPr>
                <w:rFonts w:ascii="Arial" w:eastAsia="Times New Roman" w:hAnsi="Arial" w:cs="Times New Roman"/>
                <w:lang w:val="uk-UA"/>
              </w:rPr>
            </w:pPr>
            <w:r>
              <w:rPr>
                <w:rFonts w:ascii="Arial" w:eastAsia="Times New Roman" w:hAnsi="Arial" w:cs="Times New Roman"/>
                <w:lang w:val="en-US"/>
              </w:rPr>
              <w:t xml:space="preserve">A </w:t>
            </w:r>
            <w:r w:rsidRPr="00BC0A26">
              <w:rPr>
                <w:rFonts w:ascii="Arial" w:eastAsia="Times New Roman" w:hAnsi="Arial" w:cs="Times New Roman"/>
                <w:lang w:val="uk-UA"/>
              </w:rPr>
              <w:t xml:space="preserve">member of the Executive Committee of the Ostroh </w:t>
            </w:r>
            <w:r>
              <w:rPr>
                <w:rFonts w:ascii="Arial" w:eastAsia="Times New Roman" w:hAnsi="Arial" w:cs="Times New Roman"/>
                <w:lang w:val="en-US"/>
              </w:rPr>
              <w:t>town</w:t>
            </w:r>
            <w:r w:rsidRPr="00BC0A26">
              <w:rPr>
                <w:rFonts w:ascii="Arial" w:eastAsia="Times New Roman" w:hAnsi="Arial" w:cs="Times New Roman"/>
                <w:lang w:val="uk-UA"/>
              </w:rPr>
              <w:t xml:space="preserve"> Council</w:t>
            </w:r>
          </w:p>
        </w:tc>
      </w:tr>
      <w:tr w:rsidR="00BC0A26" w:rsidRPr="00A5011F" w:rsidTr="00A5011F">
        <w:tc>
          <w:tcPr>
            <w:tcW w:w="2694" w:type="dxa"/>
          </w:tcPr>
          <w:p w:rsidR="00BC0A26" w:rsidRPr="00A5011F" w:rsidRDefault="00BC0A26" w:rsidP="00A5011F">
            <w:pPr>
              <w:spacing w:after="0" w:line="240" w:lineRule="auto"/>
              <w:rPr>
                <w:rFonts w:ascii="Arial" w:eastAsia="Times New Roman" w:hAnsi="Arial" w:cs="Times New Roman"/>
                <w:szCs w:val="24"/>
                <w:lang w:val="uk-UA"/>
              </w:rPr>
            </w:pPr>
          </w:p>
        </w:tc>
        <w:tc>
          <w:tcPr>
            <w:tcW w:w="7654" w:type="dxa"/>
            <w:gridSpan w:val="3"/>
          </w:tcPr>
          <w:p w:rsidR="00BC0A26" w:rsidRPr="00A5011F" w:rsidRDefault="00BC0A26" w:rsidP="00A5011F">
            <w:pPr>
              <w:spacing w:after="0" w:line="240" w:lineRule="auto"/>
              <w:jc w:val="both"/>
              <w:rPr>
                <w:rFonts w:ascii="Arial" w:eastAsia="Times New Roman" w:hAnsi="Arial" w:cs="Times New Roman"/>
                <w:b/>
                <w:lang w:val="uk-UA"/>
              </w:rPr>
            </w:pPr>
          </w:p>
        </w:tc>
      </w:tr>
      <w:tr w:rsidR="00BC0A26" w:rsidRPr="00A5011F" w:rsidTr="00A5011F">
        <w:tc>
          <w:tcPr>
            <w:tcW w:w="2694" w:type="dxa"/>
          </w:tcPr>
          <w:p w:rsidR="00BC0A26" w:rsidRPr="00A5011F" w:rsidRDefault="00BC0A26" w:rsidP="00A5011F">
            <w:pPr>
              <w:spacing w:after="0" w:line="240" w:lineRule="auto"/>
              <w:rPr>
                <w:rFonts w:ascii="Arial" w:eastAsia="Times New Roman" w:hAnsi="Arial" w:cs="Times New Roman"/>
                <w:szCs w:val="24"/>
                <w:lang w:val="uk-UA"/>
              </w:rPr>
            </w:pPr>
          </w:p>
        </w:tc>
        <w:tc>
          <w:tcPr>
            <w:tcW w:w="7654" w:type="dxa"/>
            <w:gridSpan w:val="3"/>
          </w:tcPr>
          <w:p w:rsidR="00BC0A26" w:rsidRPr="00A5011F" w:rsidRDefault="00BC0A26" w:rsidP="00A5011F">
            <w:pPr>
              <w:spacing w:after="0" w:line="240" w:lineRule="auto"/>
              <w:jc w:val="both"/>
              <w:rPr>
                <w:rFonts w:ascii="Arial" w:eastAsia="Times New Roman" w:hAnsi="Arial" w:cs="Times New Roman"/>
                <w:b/>
                <w:szCs w:val="24"/>
                <w:lang w:val="uk-UA"/>
              </w:rPr>
            </w:pPr>
            <w:r w:rsidRPr="00BC0A26">
              <w:rPr>
                <w:rFonts w:ascii="Arial" w:eastAsia="Times New Roman" w:hAnsi="Arial" w:cs="Times New Roman"/>
                <w:b/>
                <w:szCs w:val="24"/>
                <w:lang w:val="uk-UA"/>
              </w:rPr>
              <w:t>More than 10 years of experience in the consulting business, including:</w:t>
            </w:r>
          </w:p>
        </w:tc>
      </w:tr>
      <w:tr w:rsidR="00BC0A26" w:rsidRPr="00A5011F" w:rsidTr="00A5011F">
        <w:tc>
          <w:tcPr>
            <w:tcW w:w="2694" w:type="dxa"/>
          </w:tcPr>
          <w:p w:rsidR="00BC0A26" w:rsidRPr="00A5011F" w:rsidRDefault="00BC0A26" w:rsidP="00BC0A26">
            <w:pPr>
              <w:spacing w:after="0" w:line="240" w:lineRule="auto"/>
              <w:rPr>
                <w:rFonts w:ascii="Arial" w:eastAsia="Times New Roman" w:hAnsi="Arial" w:cs="Times New Roman"/>
                <w:szCs w:val="24"/>
                <w:lang w:val="en-US"/>
              </w:rPr>
            </w:pPr>
            <w:r w:rsidRPr="00BC0A26">
              <w:rPr>
                <w:rFonts w:ascii="Arial" w:eastAsia="Times New Roman" w:hAnsi="Arial" w:cs="Times New Roman"/>
                <w:szCs w:val="24"/>
                <w:lang w:val="uk-UA"/>
              </w:rPr>
              <w:t xml:space="preserve">2014 </w:t>
            </w:r>
            <w:r>
              <w:rPr>
                <w:rFonts w:ascii="Arial" w:eastAsia="Times New Roman" w:hAnsi="Arial" w:cs="Times New Roman"/>
                <w:szCs w:val="24"/>
                <w:lang w:val="en-US"/>
              </w:rPr>
              <w:t>- present</w:t>
            </w:r>
          </w:p>
        </w:tc>
        <w:tc>
          <w:tcPr>
            <w:tcW w:w="7654" w:type="dxa"/>
            <w:gridSpan w:val="3"/>
          </w:tcPr>
          <w:p w:rsidR="00BC0A26" w:rsidRPr="00A5011F" w:rsidRDefault="00D91DA7" w:rsidP="00A5011F">
            <w:pPr>
              <w:spacing w:after="0" w:line="240" w:lineRule="auto"/>
              <w:jc w:val="both"/>
              <w:rPr>
                <w:rFonts w:ascii="Arial" w:eastAsia="Times New Roman" w:hAnsi="Arial" w:cs="Times New Roman"/>
                <w:szCs w:val="24"/>
                <w:lang w:val="en-US"/>
              </w:rPr>
            </w:pPr>
            <w:r>
              <w:rPr>
                <w:rFonts w:ascii="Arial" w:eastAsia="Times New Roman" w:hAnsi="Arial" w:cs="Times New Roman"/>
                <w:szCs w:val="24"/>
                <w:lang w:val="en-US"/>
              </w:rPr>
              <w:t>FOP (</w:t>
            </w:r>
            <w:r w:rsidRPr="00D91DA7">
              <w:rPr>
                <w:rFonts w:ascii="Arial" w:eastAsia="Times New Roman" w:hAnsi="Arial" w:cs="Times New Roman"/>
                <w:szCs w:val="24"/>
                <w:lang w:val="en-US"/>
              </w:rPr>
              <w:t>physical entity entrepreneur</w:t>
            </w:r>
            <w:r>
              <w:rPr>
                <w:rFonts w:ascii="Arial" w:eastAsia="Times New Roman" w:hAnsi="Arial" w:cs="Times New Roman"/>
                <w:szCs w:val="24"/>
                <w:lang w:val="en-US"/>
              </w:rPr>
              <w:t xml:space="preserve">) </w:t>
            </w:r>
            <w:r w:rsidRPr="00D91DA7">
              <w:rPr>
                <w:rFonts w:ascii="Arial" w:eastAsia="Times New Roman" w:hAnsi="Arial" w:cs="Times New Roman"/>
                <w:szCs w:val="24"/>
                <w:lang w:val="en-US"/>
              </w:rPr>
              <w:t>providing services in the field of management and strategic planning</w:t>
            </w:r>
            <w:r>
              <w:rPr>
                <w:rFonts w:ascii="Arial" w:eastAsia="Times New Roman" w:hAnsi="Arial" w:cs="Times New Roman"/>
                <w:szCs w:val="24"/>
                <w:lang w:val="en-US"/>
              </w:rPr>
              <w:t xml:space="preserve"> </w:t>
            </w:r>
          </w:p>
        </w:tc>
      </w:tr>
      <w:tr w:rsidR="00BC0A26" w:rsidRPr="00A5011F" w:rsidTr="00A5011F">
        <w:tc>
          <w:tcPr>
            <w:tcW w:w="2694" w:type="dxa"/>
          </w:tcPr>
          <w:p w:rsidR="00BC0A26" w:rsidRPr="00A5011F" w:rsidRDefault="00D91DA7" w:rsidP="00A5011F">
            <w:pPr>
              <w:spacing w:after="0" w:line="240" w:lineRule="auto"/>
              <w:rPr>
                <w:rFonts w:ascii="Arial" w:eastAsia="Times New Roman" w:hAnsi="Arial" w:cs="Times New Roman"/>
                <w:szCs w:val="24"/>
                <w:lang w:val="uk-UA"/>
              </w:rPr>
            </w:pPr>
            <w:r w:rsidRPr="00D91DA7">
              <w:rPr>
                <w:rFonts w:ascii="Arial" w:eastAsia="Times New Roman" w:hAnsi="Arial" w:cs="Times New Roman"/>
                <w:szCs w:val="24"/>
                <w:lang w:val="uk-UA"/>
              </w:rPr>
              <w:t>2008-2013</w:t>
            </w:r>
          </w:p>
        </w:tc>
        <w:tc>
          <w:tcPr>
            <w:tcW w:w="7654" w:type="dxa"/>
            <w:gridSpan w:val="3"/>
          </w:tcPr>
          <w:p w:rsidR="00BC0A26" w:rsidRPr="00A5011F" w:rsidRDefault="00D91DA7" w:rsidP="00D91DA7">
            <w:pPr>
              <w:spacing w:after="0" w:line="240" w:lineRule="auto"/>
              <w:jc w:val="both"/>
              <w:rPr>
                <w:rFonts w:ascii="Arial" w:eastAsia="Times New Roman" w:hAnsi="Arial" w:cs="Times New Roman"/>
                <w:szCs w:val="24"/>
                <w:lang w:val="uk-UA"/>
              </w:rPr>
            </w:pPr>
            <w:r w:rsidRPr="00D91DA7">
              <w:rPr>
                <w:rFonts w:ascii="Arial" w:eastAsia="Times New Roman" w:hAnsi="Arial" w:cs="Times New Roman"/>
                <w:szCs w:val="24"/>
                <w:lang w:val="uk-UA"/>
              </w:rPr>
              <w:t>Deputy Chairman of the Attorney</w:t>
            </w:r>
            <w:r>
              <w:rPr>
                <w:rFonts w:ascii="Arial" w:eastAsia="Times New Roman" w:hAnsi="Arial" w:cs="Times New Roman"/>
                <w:szCs w:val="24"/>
                <w:lang w:val="en-US"/>
              </w:rPr>
              <w:t xml:space="preserve"> </w:t>
            </w:r>
            <w:r w:rsidRPr="00D91DA7">
              <w:rPr>
                <w:rFonts w:ascii="Arial" w:eastAsia="Times New Roman" w:hAnsi="Arial" w:cs="Times New Roman"/>
                <w:szCs w:val="24"/>
                <w:lang w:val="uk-UA"/>
              </w:rPr>
              <w:t>Association "Kyiv human rights group"</w:t>
            </w:r>
          </w:p>
        </w:tc>
      </w:tr>
      <w:tr w:rsidR="00BC0A26" w:rsidRPr="00A5011F" w:rsidTr="00A5011F">
        <w:tc>
          <w:tcPr>
            <w:tcW w:w="2694" w:type="dxa"/>
          </w:tcPr>
          <w:p w:rsidR="00BC0A26" w:rsidRPr="00A5011F" w:rsidRDefault="00D91DA7" w:rsidP="00A5011F">
            <w:pPr>
              <w:spacing w:after="0" w:line="240" w:lineRule="auto"/>
              <w:rPr>
                <w:rFonts w:ascii="Arial" w:eastAsia="Times New Roman" w:hAnsi="Arial" w:cs="Times New Roman"/>
                <w:szCs w:val="24"/>
                <w:lang w:val="uk-UA"/>
              </w:rPr>
            </w:pPr>
            <w:r w:rsidRPr="00D91DA7">
              <w:rPr>
                <w:rFonts w:ascii="Arial" w:eastAsia="Times New Roman" w:hAnsi="Arial" w:cs="Times New Roman"/>
                <w:szCs w:val="24"/>
                <w:lang w:val="uk-UA"/>
              </w:rPr>
              <w:t>2007-2008</w:t>
            </w:r>
          </w:p>
        </w:tc>
        <w:tc>
          <w:tcPr>
            <w:tcW w:w="7654" w:type="dxa"/>
            <w:gridSpan w:val="3"/>
          </w:tcPr>
          <w:p w:rsidR="00BC0A26" w:rsidRPr="00A5011F" w:rsidRDefault="00D91DA7" w:rsidP="00A5011F">
            <w:pPr>
              <w:spacing w:after="0" w:line="240" w:lineRule="auto"/>
              <w:jc w:val="both"/>
              <w:rPr>
                <w:rFonts w:ascii="Arial" w:eastAsia="Times New Roman" w:hAnsi="Arial" w:cs="Times New Roman"/>
                <w:szCs w:val="24"/>
                <w:lang w:val="uk-UA"/>
              </w:rPr>
            </w:pPr>
            <w:r w:rsidRPr="00D91DA7">
              <w:rPr>
                <w:rFonts w:ascii="Arial" w:eastAsia="Times New Roman" w:hAnsi="Arial" w:cs="Times New Roman"/>
                <w:szCs w:val="24"/>
                <w:lang w:val="uk-UA"/>
              </w:rPr>
              <w:t>managing partner of the Legal company "Rechtsanwalt Ukraine";</w:t>
            </w:r>
          </w:p>
        </w:tc>
      </w:tr>
      <w:tr w:rsidR="00BC0A26" w:rsidRPr="00A5011F" w:rsidTr="00A5011F">
        <w:tc>
          <w:tcPr>
            <w:tcW w:w="2694" w:type="dxa"/>
          </w:tcPr>
          <w:p w:rsidR="00BC0A26" w:rsidRPr="00A5011F" w:rsidRDefault="00D91DA7" w:rsidP="00A5011F">
            <w:pPr>
              <w:spacing w:after="0" w:line="240" w:lineRule="auto"/>
              <w:rPr>
                <w:rFonts w:ascii="Arial" w:eastAsia="Times New Roman" w:hAnsi="Arial" w:cs="Times New Roman"/>
                <w:szCs w:val="24"/>
                <w:lang w:val="uk-UA"/>
              </w:rPr>
            </w:pPr>
            <w:r w:rsidRPr="00D91DA7">
              <w:rPr>
                <w:rFonts w:ascii="Arial" w:eastAsia="Times New Roman" w:hAnsi="Arial" w:cs="Times New Roman"/>
                <w:szCs w:val="24"/>
                <w:lang w:val="uk-UA"/>
              </w:rPr>
              <w:t>2003-2005</w:t>
            </w:r>
          </w:p>
        </w:tc>
        <w:tc>
          <w:tcPr>
            <w:tcW w:w="7654" w:type="dxa"/>
            <w:gridSpan w:val="3"/>
          </w:tcPr>
          <w:p w:rsidR="00BC0A26" w:rsidRDefault="00D91DA7" w:rsidP="00A5011F">
            <w:pPr>
              <w:spacing w:after="0" w:line="240" w:lineRule="auto"/>
              <w:rPr>
                <w:rFonts w:ascii="Arial" w:eastAsia="Times New Roman" w:hAnsi="Arial" w:cs="Times New Roman"/>
                <w:lang w:val="en-US"/>
              </w:rPr>
            </w:pPr>
            <w:r w:rsidRPr="00D91DA7">
              <w:rPr>
                <w:rFonts w:ascii="Arial" w:eastAsia="Times New Roman" w:hAnsi="Arial" w:cs="Times New Roman"/>
                <w:lang w:val="uk-UA"/>
              </w:rPr>
              <w:t>FOP (physical entity entrepreneur) providing services in the field of management and strategic planning, legal services.</w:t>
            </w:r>
          </w:p>
          <w:p w:rsidR="00D91DA7" w:rsidRPr="00A5011F" w:rsidRDefault="00D91DA7" w:rsidP="00A5011F">
            <w:pPr>
              <w:spacing w:after="0" w:line="240" w:lineRule="auto"/>
              <w:rPr>
                <w:rFonts w:ascii="Arial" w:eastAsia="Times New Roman" w:hAnsi="Arial" w:cs="Times New Roman"/>
                <w:lang w:val="en-US"/>
              </w:rPr>
            </w:pPr>
          </w:p>
        </w:tc>
      </w:tr>
      <w:tr w:rsidR="00BC0A26" w:rsidRPr="00A5011F" w:rsidTr="00A5011F">
        <w:tc>
          <w:tcPr>
            <w:tcW w:w="2694" w:type="dxa"/>
          </w:tcPr>
          <w:p w:rsidR="00BC0A26" w:rsidRPr="00A5011F" w:rsidRDefault="00BC0A26" w:rsidP="00A5011F">
            <w:pPr>
              <w:spacing w:after="0" w:line="240" w:lineRule="auto"/>
              <w:rPr>
                <w:rFonts w:ascii="Arial" w:eastAsia="Times New Roman" w:hAnsi="Arial" w:cs="Times New Roman"/>
                <w:szCs w:val="24"/>
                <w:lang w:val="uk-UA"/>
              </w:rPr>
            </w:pPr>
          </w:p>
        </w:tc>
        <w:tc>
          <w:tcPr>
            <w:tcW w:w="7654" w:type="dxa"/>
            <w:gridSpan w:val="3"/>
          </w:tcPr>
          <w:p w:rsidR="00BC0A26" w:rsidRPr="00A5011F" w:rsidRDefault="00D91DA7" w:rsidP="00A5011F">
            <w:pPr>
              <w:spacing w:after="0" w:line="240" w:lineRule="auto"/>
              <w:rPr>
                <w:rFonts w:ascii="Arial" w:eastAsia="Times New Roman" w:hAnsi="Arial" w:cs="Times New Roman"/>
                <w:b/>
                <w:lang w:val="uk-UA"/>
              </w:rPr>
            </w:pPr>
            <w:r w:rsidRPr="00D91DA7">
              <w:rPr>
                <w:rFonts w:ascii="Arial" w:eastAsia="Times New Roman" w:hAnsi="Arial" w:cs="Times New Roman"/>
                <w:b/>
                <w:lang w:val="uk-UA"/>
              </w:rPr>
              <w:t>EDUCATION – higher, education-qualification level "specialist"</w:t>
            </w:r>
          </w:p>
        </w:tc>
      </w:tr>
      <w:tr w:rsidR="00BC0A26" w:rsidRPr="00A5011F" w:rsidTr="00A5011F">
        <w:tc>
          <w:tcPr>
            <w:tcW w:w="2694" w:type="dxa"/>
          </w:tcPr>
          <w:p w:rsidR="00BC0A26" w:rsidRPr="00A5011F" w:rsidRDefault="00D91DA7" w:rsidP="00A5011F">
            <w:pPr>
              <w:spacing w:after="0" w:line="240" w:lineRule="auto"/>
              <w:rPr>
                <w:rFonts w:ascii="Arial" w:eastAsia="Times New Roman" w:hAnsi="Arial" w:cs="Times New Roman"/>
                <w:szCs w:val="24"/>
                <w:lang w:val="uk-UA"/>
              </w:rPr>
            </w:pPr>
            <w:r w:rsidRPr="00D91DA7">
              <w:rPr>
                <w:rFonts w:ascii="Arial" w:eastAsia="Times New Roman" w:hAnsi="Arial" w:cs="Times New Roman"/>
                <w:szCs w:val="24"/>
                <w:lang w:val="uk-UA"/>
              </w:rPr>
              <w:t>2006-2007</w:t>
            </w:r>
          </w:p>
        </w:tc>
        <w:tc>
          <w:tcPr>
            <w:tcW w:w="7654" w:type="dxa"/>
            <w:gridSpan w:val="3"/>
          </w:tcPr>
          <w:p w:rsidR="00BC0A26" w:rsidRPr="00A5011F" w:rsidRDefault="00D91DA7" w:rsidP="00A5011F">
            <w:pPr>
              <w:spacing w:after="0" w:line="240" w:lineRule="auto"/>
              <w:rPr>
                <w:rFonts w:ascii="Arial" w:eastAsia="Times New Roman" w:hAnsi="Arial" w:cs="Times New Roman"/>
                <w:lang w:val="uk-UA"/>
              </w:rPr>
            </w:pPr>
            <w:r w:rsidRPr="00D91DA7">
              <w:rPr>
                <w:rFonts w:ascii="Arial" w:eastAsia="Times New Roman" w:hAnsi="Arial" w:cs="Times New Roman"/>
                <w:lang w:val="uk-UA"/>
              </w:rPr>
              <w:t>The University named after Adam Mickiewicz (Poznan, Poland), faculty of law, post graduate study in the field of "protection of foreign investments"</w:t>
            </w:r>
          </w:p>
        </w:tc>
      </w:tr>
      <w:tr w:rsidR="00BC0A26" w:rsidRPr="00A5011F" w:rsidTr="00A5011F">
        <w:tc>
          <w:tcPr>
            <w:tcW w:w="2694" w:type="dxa"/>
          </w:tcPr>
          <w:p w:rsidR="00BC0A26" w:rsidRPr="00A5011F" w:rsidRDefault="00D91DA7" w:rsidP="00A5011F">
            <w:pPr>
              <w:spacing w:after="0" w:line="240" w:lineRule="auto"/>
              <w:rPr>
                <w:rFonts w:ascii="Arial" w:eastAsia="Times New Roman" w:hAnsi="Arial" w:cs="Times New Roman"/>
                <w:szCs w:val="24"/>
                <w:lang w:val="uk-UA"/>
              </w:rPr>
            </w:pPr>
            <w:r w:rsidRPr="00D91DA7">
              <w:rPr>
                <w:rFonts w:ascii="Arial" w:eastAsia="Times New Roman" w:hAnsi="Arial" w:cs="Times New Roman"/>
                <w:szCs w:val="24"/>
                <w:lang w:val="uk-UA"/>
              </w:rPr>
              <w:t>1998–2003</w:t>
            </w:r>
          </w:p>
        </w:tc>
        <w:tc>
          <w:tcPr>
            <w:tcW w:w="7654" w:type="dxa"/>
            <w:gridSpan w:val="3"/>
          </w:tcPr>
          <w:p w:rsidR="00BC0A26" w:rsidRPr="00A5011F" w:rsidRDefault="00D91DA7" w:rsidP="00D91DA7">
            <w:pPr>
              <w:spacing w:after="0" w:line="240" w:lineRule="auto"/>
              <w:rPr>
                <w:rFonts w:ascii="Arial" w:eastAsia="Times New Roman" w:hAnsi="Arial" w:cs="Times New Roman"/>
                <w:lang w:val="uk-UA"/>
              </w:rPr>
            </w:pPr>
            <w:r w:rsidRPr="00D91DA7">
              <w:rPr>
                <w:rFonts w:ascii="Arial" w:eastAsia="Times New Roman" w:hAnsi="Arial" w:cs="Times New Roman"/>
                <w:lang w:val="uk-UA"/>
              </w:rPr>
              <w:t>National University “Ostro</w:t>
            </w:r>
            <w:r>
              <w:rPr>
                <w:rFonts w:ascii="Arial" w:eastAsia="Times New Roman" w:hAnsi="Arial" w:cs="Times New Roman"/>
                <w:lang w:val="en-US"/>
              </w:rPr>
              <w:t>h</w:t>
            </w:r>
            <w:r w:rsidRPr="00D91DA7">
              <w:rPr>
                <w:rFonts w:ascii="Arial" w:eastAsia="Times New Roman" w:hAnsi="Arial" w:cs="Times New Roman"/>
                <w:lang w:val="uk-UA"/>
              </w:rPr>
              <w:t xml:space="preserve"> Academy”, faculty of law, specialty “Jurisprudence”, specialist degree</w:t>
            </w:r>
          </w:p>
        </w:tc>
      </w:tr>
      <w:tr w:rsidR="00BC0A26" w:rsidRPr="00A5011F" w:rsidTr="00A5011F">
        <w:tc>
          <w:tcPr>
            <w:tcW w:w="2694" w:type="dxa"/>
          </w:tcPr>
          <w:p w:rsidR="00776373" w:rsidRDefault="00D91DA7" w:rsidP="00A5011F">
            <w:pPr>
              <w:spacing w:after="0" w:line="240" w:lineRule="auto"/>
              <w:rPr>
                <w:rFonts w:ascii="Arial" w:eastAsia="Times New Roman" w:hAnsi="Arial" w:cs="Times New Roman"/>
                <w:szCs w:val="24"/>
                <w:lang w:val="en-US"/>
              </w:rPr>
            </w:pPr>
            <w:r w:rsidRPr="00D91DA7">
              <w:rPr>
                <w:rFonts w:ascii="Arial" w:eastAsia="Times New Roman" w:hAnsi="Arial" w:cs="Times New Roman"/>
                <w:szCs w:val="24"/>
                <w:lang w:val="uk-UA"/>
              </w:rPr>
              <w:t>1995–1997</w:t>
            </w:r>
          </w:p>
          <w:p w:rsidR="00776373" w:rsidRPr="00776373" w:rsidRDefault="00776373" w:rsidP="00A5011F">
            <w:pPr>
              <w:spacing w:after="0" w:line="240" w:lineRule="auto"/>
              <w:rPr>
                <w:rFonts w:ascii="Arial" w:eastAsia="Times New Roman" w:hAnsi="Arial" w:cs="Times New Roman"/>
                <w:szCs w:val="24"/>
                <w:lang w:val="en-US"/>
              </w:rPr>
            </w:pPr>
          </w:p>
          <w:p w:rsidR="00776373" w:rsidRPr="00A5011F" w:rsidRDefault="00776373" w:rsidP="00A5011F">
            <w:pPr>
              <w:spacing w:after="0" w:line="240" w:lineRule="auto"/>
              <w:rPr>
                <w:rFonts w:ascii="Arial" w:eastAsia="Times New Roman" w:hAnsi="Arial" w:cs="Times New Roman"/>
                <w:szCs w:val="24"/>
                <w:lang w:val="en-US"/>
              </w:rPr>
            </w:pPr>
            <w:r w:rsidRPr="00776373">
              <w:rPr>
                <w:rFonts w:ascii="Arial" w:eastAsia="Times New Roman" w:hAnsi="Arial" w:cs="Times New Roman"/>
                <w:szCs w:val="24"/>
                <w:lang w:val="en-US"/>
              </w:rPr>
              <w:t>1992–1993</w:t>
            </w:r>
          </w:p>
        </w:tc>
        <w:tc>
          <w:tcPr>
            <w:tcW w:w="7654" w:type="dxa"/>
            <w:gridSpan w:val="3"/>
          </w:tcPr>
          <w:p w:rsidR="00D91DA7" w:rsidRPr="00D91DA7" w:rsidRDefault="00D91DA7" w:rsidP="00D91DA7">
            <w:pPr>
              <w:spacing w:after="0" w:line="240" w:lineRule="auto"/>
              <w:rPr>
                <w:rFonts w:ascii="Arial" w:eastAsia="Times New Roman" w:hAnsi="Arial" w:cs="Times New Roman"/>
                <w:lang w:val="uk-UA"/>
              </w:rPr>
            </w:pPr>
            <w:r w:rsidRPr="00D91DA7">
              <w:rPr>
                <w:rFonts w:ascii="Arial" w:eastAsia="Times New Roman" w:hAnsi="Arial" w:cs="Times New Roman"/>
                <w:lang w:val="uk-UA"/>
              </w:rPr>
              <w:t xml:space="preserve">Lviv Economic business College </w:t>
            </w:r>
          </w:p>
          <w:p w:rsidR="00776373" w:rsidRPr="00776373" w:rsidRDefault="00D91DA7" w:rsidP="00D91DA7">
            <w:pPr>
              <w:spacing w:after="0" w:line="240" w:lineRule="auto"/>
              <w:rPr>
                <w:rFonts w:ascii="Arial" w:eastAsia="Times New Roman" w:hAnsi="Arial" w:cs="Times New Roman"/>
                <w:lang w:val="en-US"/>
              </w:rPr>
            </w:pPr>
            <w:r w:rsidRPr="00D91DA7">
              <w:rPr>
                <w:rFonts w:ascii="Arial" w:eastAsia="Times New Roman" w:hAnsi="Arial" w:cs="Times New Roman"/>
                <w:lang w:val="uk-UA"/>
              </w:rPr>
              <w:t>specialty “Accounting and audit”, the diploma of Junior specialist</w:t>
            </w:r>
          </w:p>
          <w:p w:rsidR="00776373" w:rsidRPr="00776373" w:rsidRDefault="00776373" w:rsidP="00776373">
            <w:pPr>
              <w:spacing w:after="0" w:line="240" w:lineRule="auto"/>
              <w:rPr>
                <w:rFonts w:ascii="Arial" w:eastAsia="Times New Roman" w:hAnsi="Arial" w:cs="Times New Roman"/>
                <w:lang w:val="en-US"/>
              </w:rPr>
            </w:pPr>
            <w:r w:rsidRPr="00776373">
              <w:rPr>
                <w:rFonts w:ascii="Arial" w:eastAsia="Times New Roman" w:hAnsi="Arial" w:cs="Times New Roman"/>
                <w:lang w:val="en-US"/>
              </w:rPr>
              <w:t>Chervonograd vocational school № 67,</w:t>
            </w:r>
          </w:p>
          <w:p w:rsidR="00776373" w:rsidRPr="00A5011F" w:rsidRDefault="00776373" w:rsidP="00776373">
            <w:pPr>
              <w:spacing w:after="0" w:line="240" w:lineRule="auto"/>
              <w:rPr>
                <w:rFonts w:ascii="Arial" w:eastAsia="Times New Roman" w:hAnsi="Arial" w:cs="Times New Roman"/>
                <w:lang w:val="en-US"/>
              </w:rPr>
            </w:pPr>
            <w:r w:rsidRPr="00776373">
              <w:rPr>
                <w:rFonts w:ascii="Arial" w:eastAsia="Times New Roman" w:hAnsi="Arial" w:cs="Times New Roman"/>
                <w:lang w:val="en-US"/>
              </w:rPr>
              <w:t>diploma “the Assembler of tele-radio equipment</w:t>
            </w:r>
          </w:p>
        </w:tc>
      </w:tr>
    </w:tbl>
    <w:p w:rsidR="00A5011F" w:rsidRDefault="00776373" w:rsidP="00776373">
      <w:pPr>
        <w:spacing w:after="0"/>
        <w:ind w:left="-993"/>
        <w:rPr>
          <w:rFonts w:ascii="Arial" w:hAnsi="Arial" w:cs="Arial"/>
          <w:lang w:val="en-US"/>
        </w:rPr>
      </w:pPr>
      <w:r w:rsidRPr="00776373">
        <w:rPr>
          <w:rFonts w:ascii="Arial" w:hAnsi="Arial" w:cs="Arial"/>
          <w:b/>
          <w:lang w:val="en-US"/>
        </w:rPr>
        <w:t>Fluency in languages:</w:t>
      </w:r>
      <w:r w:rsidRPr="00776373">
        <w:rPr>
          <w:rFonts w:ascii="Arial" w:hAnsi="Arial" w:cs="Arial"/>
          <w:lang w:val="en-US"/>
        </w:rPr>
        <w:t xml:space="preserve"> </w:t>
      </w:r>
      <w:r w:rsidR="009C02A5">
        <w:rPr>
          <w:rFonts w:ascii="Arial" w:hAnsi="Arial" w:cs="Arial"/>
          <w:lang w:val="en-US"/>
        </w:rPr>
        <w:tab/>
      </w:r>
      <w:r w:rsidR="009C02A5">
        <w:rPr>
          <w:rFonts w:ascii="Arial" w:hAnsi="Arial" w:cs="Arial"/>
          <w:lang w:val="en-US"/>
        </w:rPr>
        <w:tab/>
      </w:r>
      <w:r w:rsidRPr="00776373">
        <w:rPr>
          <w:rFonts w:ascii="Arial" w:hAnsi="Arial" w:cs="Arial"/>
          <w:lang w:val="en-US"/>
        </w:rPr>
        <w:t>Ukrainian, Russian, Polish.</w:t>
      </w:r>
    </w:p>
    <w:p w:rsidR="00776373" w:rsidRPr="00776373" w:rsidRDefault="00776373" w:rsidP="00776373">
      <w:pPr>
        <w:spacing w:after="0"/>
        <w:ind w:left="-993"/>
        <w:rPr>
          <w:rFonts w:ascii="Arial" w:hAnsi="Arial" w:cs="Arial"/>
          <w:lang w:val="en-US"/>
        </w:rPr>
      </w:pPr>
    </w:p>
    <w:tbl>
      <w:tblPr>
        <w:tblW w:w="10489" w:type="dxa"/>
        <w:tblInd w:w="-601" w:type="dxa"/>
        <w:tblLayout w:type="fixed"/>
        <w:tblLook w:val="0000" w:firstRow="0" w:lastRow="0" w:firstColumn="0" w:lastColumn="0" w:noHBand="0" w:noVBand="0"/>
      </w:tblPr>
      <w:tblGrid>
        <w:gridCol w:w="1951"/>
        <w:gridCol w:w="8538"/>
      </w:tblGrid>
      <w:tr w:rsidR="00776373" w:rsidRPr="00776373" w:rsidTr="00776373">
        <w:tc>
          <w:tcPr>
            <w:tcW w:w="1951" w:type="dxa"/>
          </w:tcPr>
          <w:p w:rsidR="00776373" w:rsidRPr="00776373" w:rsidRDefault="00776373" w:rsidP="00776373">
            <w:pPr>
              <w:spacing w:after="0" w:line="240" w:lineRule="auto"/>
              <w:rPr>
                <w:rFonts w:ascii="Arial" w:eastAsia="Times New Roman" w:hAnsi="Arial" w:cs="Times New Roman"/>
                <w:lang w:val="uk-UA"/>
              </w:rPr>
            </w:pPr>
          </w:p>
        </w:tc>
        <w:tc>
          <w:tcPr>
            <w:tcW w:w="8538" w:type="dxa"/>
          </w:tcPr>
          <w:p w:rsidR="00776373" w:rsidRDefault="00776373" w:rsidP="00776373">
            <w:pPr>
              <w:spacing w:after="0" w:line="240" w:lineRule="auto"/>
              <w:rPr>
                <w:rFonts w:ascii="Arial" w:eastAsia="Times New Roman" w:hAnsi="Arial" w:cs="Times New Roman"/>
                <w:b/>
                <w:lang w:val="en-US"/>
              </w:rPr>
            </w:pPr>
            <w:r w:rsidRPr="00776373">
              <w:rPr>
                <w:rFonts w:ascii="Arial" w:eastAsia="Times New Roman" w:hAnsi="Arial" w:cs="Times New Roman"/>
                <w:b/>
                <w:lang w:val="uk-UA"/>
              </w:rPr>
              <w:t>International experience and internships</w:t>
            </w:r>
          </w:p>
          <w:p w:rsidR="00776373" w:rsidRPr="00776373" w:rsidRDefault="00776373" w:rsidP="00776373">
            <w:pPr>
              <w:spacing w:after="0" w:line="240" w:lineRule="auto"/>
              <w:rPr>
                <w:rFonts w:ascii="Arial" w:eastAsia="Times New Roman" w:hAnsi="Arial" w:cs="Times New Roman"/>
                <w:b/>
                <w:lang w:val="en-US"/>
              </w:rPr>
            </w:pPr>
          </w:p>
        </w:tc>
      </w:tr>
      <w:tr w:rsidR="00776373" w:rsidRPr="00776373" w:rsidTr="00776373">
        <w:tc>
          <w:tcPr>
            <w:tcW w:w="1951"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2006 (</w:t>
            </w:r>
            <w:r>
              <w:rPr>
                <w:rFonts w:ascii="Arial" w:eastAsia="Times New Roman" w:hAnsi="Arial" w:cs="Times New Roman"/>
                <w:lang w:val="en-US"/>
              </w:rPr>
              <w:t>M</w:t>
            </w:r>
            <w:r w:rsidRPr="00776373">
              <w:rPr>
                <w:rFonts w:ascii="Arial" w:eastAsia="Times New Roman" w:hAnsi="Arial" w:cs="Times New Roman"/>
                <w:lang w:val="uk-UA"/>
              </w:rPr>
              <w:t>ay - June)</w:t>
            </w:r>
          </w:p>
        </w:tc>
        <w:tc>
          <w:tcPr>
            <w:tcW w:w="8538"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internship in the free economic zones, territories of priority development and technological parks (Republic of Poland)</w:t>
            </w:r>
          </w:p>
        </w:tc>
      </w:tr>
      <w:tr w:rsidR="00776373" w:rsidRPr="00776373" w:rsidTr="00776373">
        <w:tc>
          <w:tcPr>
            <w:tcW w:w="1951" w:type="dxa"/>
          </w:tcPr>
          <w:p w:rsidR="00776373" w:rsidRPr="00776373" w:rsidRDefault="00776373" w:rsidP="00776373">
            <w:pPr>
              <w:spacing w:after="0" w:line="240" w:lineRule="auto"/>
              <w:rPr>
                <w:rFonts w:ascii="Arial" w:eastAsia="Times New Roman" w:hAnsi="Arial" w:cs="Times New Roman"/>
                <w:lang w:val="en-US"/>
              </w:rPr>
            </w:pPr>
            <w:r w:rsidRPr="00776373">
              <w:rPr>
                <w:rFonts w:ascii="Arial" w:eastAsia="Times New Roman" w:hAnsi="Arial" w:cs="Times New Roman"/>
                <w:lang w:val="uk-UA"/>
              </w:rPr>
              <w:t xml:space="preserve">2003 </w:t>
            </w:r>
            <w:r>
              <w:rPr>
                <w:rFonts w:ascii="Arial" w:eastAsia="Times New Roman" w:hAnsi="Arial" w:cs="Times New Roman"/>
                <w:lang w:val="en-US"/>
              </w:rPr>
              <w:t>December</w:t>
            </w:r>
          </w:p>
        </w:tc>
        <w:tc>
          <w:tcPr>
            <w:tcW w:w="8538"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 xml:space="preserve">Delegate </w:t>
            </w:r>
            <w:r>
              <w:rPr>
                <w:rFonts w:ascii="Arial" w:eastAsia="Times New Roman" w:hAnsi="Arial" w:cs="Times New Roman"/>
                <w:lang w:val="uk-UA"/>
              </w:rPr>
              <w:t>for the program “Open world”– “</w:t>
            </w:r>
            <w:r>
              <w:rPr>
                <w:rFonts w:ascii="Arial" w:eastAsia="Times New Roman" w:hAnsi="Arial" w:cs="Times New Roman"/>
                <w:lang w:val="en-US"/>
              </w:rPr>
              <w:t>T</w:t>
            </w:r>
            <w:r w:rsidRPr="00776373">
              <w:rPr>
                <w:rFonts w:ascii="Arial" w:eastAsia="Times New Roman" w:hAnsi="Arial" w:cs="Times New Roman"/>
                <w:lang w:val="uk-UA"/>
              </w:rPr>
              <w:t>he Development of non-governmental organizations”, training for leaders of human rights organizations. USA(Washington and Memphis.)</w:t>
            </w:r>
          </w:p>
        </w:tc>
      </w:tr>
      <w:tr w:rsidR="00776373" w:rsidRPr="00776373" w:rsidTr="00776373">
        <w:tc>
          <w:tcPr>
            <w:tcW w:w="1951"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 xml:space="preserve">2003 </w:t>
            </w:r>
            <w:r>
              <w:rPr>
                <w:rFonts w:ascii="Arial" w:eastAsia="Times New Roman" w:hAnsi="Arial" w:cs="Times New Roman"/>
                <w:lang w:val="en-US"/>
              </w:rPr>
              <w:t>May</w:t>
            </w:r>
            <w:r w:rsidRPr="00776373">
              <w:rPr>
                <w:rFonts w:ascii="Arial" w:eastAsia="Times New Roman" w:hAnsi="Arial" w:cs="Times New Roman"/>
                <w:lang w:val="uk-UA"/>
              </w:rPr>
              <w:t>ь</w:t>
            </w:r>
          </w:p>
        </w:tc>
        <w:tc>
          <w:tcPr>
            <w:tcW w:w="8538"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member of the working group on the establishment of the Academy of Local Development. Poland (Lublin).</w:t>
            </w:r>
          </w:p>
        </w:tc>
      </w:tr>
      <w:tr w:rsidR="00776373" w:rsidRPr="00776373" w:rsidTr="00776373">
        <w:tc>
          <w:tcPr>
            <w:tcW w:w="1951"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2002</w:t>
            </w:r>
          </w:p>
        </w:tc>
        <w:tc>
          <w:tcPr>
            <w:tcW w:w="8538"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the coach and the participant of the training for the representatives of legal clinics. North-Caucasian state University. Russia (Stavropol)</w:t>
            </w:r>
          </w:p>
        </w:tc>
      </w:tr>
      <w:tr w:rsidR="00776373" w:rsidRPr="00776373" w:rsidTr="00776373">
        <w:tc>
          <w:tcPr>
            <w:tcW w:w="1951" w:type="dxa"/>
          </w:tcPr>
          <w:p w:rsidR="00776373" w:rsidRPr="00776373" w:rsidRDefault="00776373" w:rsidP="00776373">
            <w:pPr>
              <w:spacing w:after="0" w:line="240" w:lineRule="auto"/>
              <w:rPr>
                <w:rFonts w:ascii="Arial" w:eastAsia="Times New Roman" w:hAnsi="Arial" w:cs="Times New Roman"/>
                <w:lang w:val="uk-UA"/>
              </w:rPr>
            </w:pPr>
            <w:r w:rsidRPr="00776373">
              <w:rPr>
                <w:rFonts w:ascii="Arial" w:eastAsia="Times New Roman" w:hAnsi="Arial" w:cs="Times New Roman"/>
                <w:lang w:val="uk-UA"/>
              </w:rPr>
              <w:t>2001</w:t>
            </w:r>
          </w:p>
        </w:tc>
        <w:tc>
          <w:tcPr>
            <w:tcW w:w="8538" w:type="dxa"/>
          </w:tcPr>
          <w:p w:rsidR="00776373" w:rsidRPr="00776373" w:rsidRDefault="00776373" w:rsidP="00B94031">
            <w:pPr>
              <w:spacing w:after="0" w:line="240" w:lineRule="auto"/>
              <w:rPr>
                <w:rFonts w:ascii="Arial" w:eastAsia="Times New Roman" w:hAnsi="Arial" w:cs="Times New Roman"/>
                <w:lang w:val="uk-UA"/>
              </w:rPr>
            </w:pPr>
            <w:r w:rsidRPr="00776373">
              <w:rPr>
                <w:rFonts w:ascii="Arial" w:eastAsia="Times New Roman" w:hAnsi="Arial" w:cs="Times New Roman"/>
                <w:lang w:val="uk-UA"/>
              </w:rPr>
              <w:t>member of consulting group “</w:t>
            </w:r>
            <w:r>
              <w:rPr>
                <w:rFonts w:ascii="Arial" w:eastAsia="Times New Roman" w:hAnsi="Arial" w:cs="Times New Roman"/>
                <w:lang w:val="en-US"/>
              </w:rPr>
              <w:t>T</w:t>
            </w:r>
            <w:r w:rsidRPr="00776373">
              <w:rPr>
                <w:rFonts w:ascii="Arial" w:eastAsia="Times New Roman" w:hAnsi="Arial" w:cs="Times New Roman"/>
                <w:lang w:val="uk-UA"/>
              </w:rPr>
              <w:t>he problem</w:t>
            </w:r>
            <w:r>
              <w:rPr>
                <w:rFonts w:ascii="Arial" w:eastAsia="Times New Roman" w:hAnsi="Arial" w:cs="Times New Roman"/>
                <w:lang w:val="en-US"/>
              </w:rPr>
              <w:t>s</w:t>
            </w:r>
            <w:r w:rsidRPr="00776373">
              <w:rPr>
                <w:rFonts w:ascii="Arial" w:eastAsia="Times New Roman" w:hAnsi="Arial" w:cs="Times New Roman"/>
                <w:lang w:val="uk-UA"/>
              </w:rPr>
              <w:t xml:space="preserve"> of reforming legal education at the Warsaw and Jagiellonian universities. (Republic </w:t>
            </w:r>
            <w:r w:rsidR="00B94031">
              <w:rPr>
                <w:rFonts w:ascii="Arial" w:eastAsia="Times New Roman" w:hAnsi="Arial" w:cs="Times New Roman"/>
                <w:lang w:val="en-US"/>
              </w:rPr>
              <w:t>o</w:t>
            </w:r>
            <w:r w:rsidRPr="00776373">
              <w:rPr>
                <w:rFonts w:ascii="Arial" w:eastAsia="Times New Roman" w:hAnsi="Arial" w:cs="Times New Roman"/>
                <w:lang w:val="uk-UA"/>
              </w:rPr>
              <w:t>f Poland).</w:t>
            </w:r>
          </w:p>
        </w:tc>
      </w:tr>
    </w:tbl>
    <w:p w:rsidR="00B94031" w:rsidRDefault="00B94031" w:rsidP="00B94031">
      <w:pPr>
        <w:spacing w:after="0"/>
        <w:ind w:left="-993"/>
        <w:jc w:val="both"/>
        <w:rPr>
          <w:rFonts w:ascii="Arial" w:hAnsi="Arial" w:cs="Arial"/>
          <w:b/>
          <w:lang w:val="en-US"/>
        </w:rPr>
      </w:pPr>
    </w:p>
    <w:p w:rsidR="00B94031" w:rsidRPr="00B94031" w:rsidRDefault="00B94031" w:rsidP="00B94031">
      <w:pPr>
        <w:spacing w:after="0"/>
        <w:ind w:left="-993"/>
        <w:jc w:val="both"/>
        <w:rPr>
          <w:rFonts w:ascii="Arial" w:hAnsi="Arial" w:cs="Arial"/>
          <w:b/>
          <w:lang w:val="en-US"/>
        </w:rPr>
      </w:pPr>
      <w:r w:rsidRPr="00B94031">
        <w:rPr>
          <w:rFonts w:ascii="Arial" w:hAnsi="Arial" w:cs="Arial"/>
          <w:b/>
          <w:lang w:val="en-US"/>
        </w:rPr>
        <w:t>Other skills:</w:t>
      </w:r>
    </w:p>
    <w:p w:rsidR="00B94031" w:rsidRPr="00B94031" w:rsidRDefault="00B94031" w:rsidP="00B94031">
      <w:pPr>
        <w:spacing w:after="0"/>
        <w:ind w:left="-993"/>
        <w:jc w:val="both"/>
        <w:rPr>
          <w:rFonts w:ascii="Arial" w:hAnsi="Arial" w:cs="Arial"/>
          <w:lang w:val="en-US"/>
        </w:rPr>
      </w:pPr>
      <w:r w:rsidRPr="00B94031">
        <w:rPr>
          <w:rFonts w:ascii="Arial" w:hAnsi="Arial" w:cs="Arial"/>
          <w:lang w:val="en-US"/>
        </w:rPr>
        <w:t>An experienced PC user.: MS Office (Word, Excel, Internet Explorer, e-mail programs: The Bat, Outlook Express, etc), blind typing set (Cyrillic and latinice fonts).</w:t>
      </w:r>
    </w:p>
    <w:p w:rsidR="00B94031" w:rsidRPr="00B94031" w:rsidRDefault="00B94031" w:rsidP="00B94031">
      <w:pPr>
        <w:spacing w:after="0"/>
        <w:ind w:left="-993"/>
        <w:jc w:val="both"/>
        <w:rPr>
          <w:rFonts w:ascii="Arial" w:hAnsi="Arial" w:cs="Arial"/>
          <w:lang w:val="en-US"/>
        </w:rPr>
      </w:pPr>
      <w:r w:rsidRPr="00B94031">
        <w:rPr>
          <w:rFonts w:ascii="Arial" w:hAnsi="Arial" w:cs="Arial"/>
          <w:lang w:val="en-US"/>
        </w:rPr>
        <w:t>Experience of coaching with MPs and members of the Executive committees of the local authorities.</w:t>
      </w:r>
    </w:p>
    <w:p w:rsidR="00776373" w:rsidRPr="00B94031" w:rsidRDefault="00B94031" w:rsidP="00B94031">
      <w:pPr>
        <w:spacing w:after="0"/>
        <w:ind w:left="-993"/>
        <w:jc w:val="both"/>
        <w:rPr>
          <w:rFonts w:ascii="Arial" w:hAnsi="Arial" w:cs="Arial"/>
          <w:lang w:val="en-US"/>
        </w:rPr>
      </w:pPr>
      <w:r w:rsidRPr="00B94031">
        <w:rPr>
          <w:rFonts w:ascii="Arial" w:hAnsi="Arial" w:cs="Arial"/>
          <w:lang w:val="en-US"/>
        </w:rPr>
        <w:t>Passed training courses on the subject: search for local resources, develop grant proposals, project management, funding from local sources, coalition-building, democratic leadership, accounting in the NGO, planning advocacy companies, interactive methods of studying law in high schools, work with volunteers, resource management, strategic planning of NGO activities, NGOs and elections.</w:t>
      </w:r>
    </w:p>
    <w:sectPr w:rsidR="00776373" w:rsidRPr="00B94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F"/>
    <w:rsid w:val="000F5561"/>
    <w:rsid w:val="004F2476"/>
    <w:rsid w:val="00776373"/>
    <w:rsid w:val="009C02A5"/>
    <w:rsid w:val="00A5011F"/>
    <w:rsid w:val="00B94031"/>
    <w:rsid w:val="00BC0A26"/>
    <w:rsid w:val="00D91DA7"/>
    <w:rsid w:val="00F4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02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0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Andriy</cp:lastModifiedBy>
  <cp:revision>4</cp:revision>
  <dcterms:created xsi:type="dcterms:W3CDTF">2017-05-20T19:33:00Z</dcterms:created>
  <dcterms:modified xsi:type="dcterms:W3CDTF">2019-03-07T21:44:00Z</dcterms:modified>
</cp:coreProperties>
</file>