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EF0" w:rsidRPr="00275EF0" w:rsidRDefault="00275EF0" w:rsidP="00275EF0">
      <w:pPr>
        <w:pStyle w:val="Standard"/>
        <w:spacing w:line="360" w:lineRule="auto"/>
        <w:ind w:firstLine="709"/>
        <w:rPr>
          <w:rFonts w:cs="Times New Roman"/>
          <w:sz w:val="28"/>
          <w:szCs w:val="28"/>
          <w:lang w:val="uk-UA"/>
        </w:rPr>
      </w:pPr>
      <w:r>
        <w:rPr>
          <w:rFonts w:cs="Times New Roman"/>
          <w:sz w:val="28"/>
          <w:szCs w:val="28"/>
          <w:lang w:val="uk-UA"/>
        </w:rPr>
        <w:t>УДК 336.2</w:t>
      </w:r>
    </w:p>
    <w:p w:rsidR="008A4050" w:rsidRDefault="008A4050" w:rsidP="00EB20C8">
      <w:pPr>
        <w:pStyle w:val="Standard"/>
        <w:spacing w:line="360" w:lineRule="auto"/>
        <w:ind w:firstLine="709"/>
        <w:jc w:val="right"/>
        <w:rPr>
          <w:rFonts w:cs="Times New Roman"/>
          <w:i/>
          <w:sz w:val="28"/>
          <w:szCs w:val="28"/>
          <w:lang w:val="uk-UA"/>
        </w:rPr>
      </w:pPr>
      <w:r>
        <w:rPr>
          <w:rFonts w:cs="Times New Roman"/>
          <w:b/>
          <w:i/>
          <w:sz w:val="28"/>
          <w:szCs w:val="28"/>
          <w:lang w:val="uk-UA"/>
        </w:rPr>
        <w:t>____________</w:t>
      </w:r>
      <w:r w:rsidR="00EB20C8" w:rsidRPr="00EB20C8">
        <w:rPr>
          <w:rFonts w:cs="Times New Roman"/>
          <w:b/>
          <w:i/>
          <w:sz w:val="28"/>
          <w:szCs w:val="28"/>
          <w:lang w:val="uk-UA"/>
        </w:rPr>
        <w:t>,</w:t>
      </w:r>
      <w:r w:rsidR="00EB20C8" w:rsidRPr="00EB20C8">
        <w:rPr>
          <w:rFonts w:cs="Times New Roman"/>
          <w:sz w:val="28"/>
          <w:szCs w:val="28"/>
          <w:lang w:val="uk-UA"/>
        </w:rPr>
        <w:t xml:space="preserve"> </w:t>
      </w:r>
      <w:r w:rsidR="00EB20C8" w:rsidRPr="00EB20C8">
        <w:rPr>
          <w:rFonts w:cs="Times New Roman"/>
          <w:i/>
          <w:sz w:val="28"/>
          <w:szCs w:val="28"/>
          <w:lang w:val="uk-UA"/>
        </w:rPr>
        <w:t>студент 2 курсу магістра</w:t>
      </w:r>
      <w:bookmarkStart w:id="0" w:name="_GoBack"/>
      <w:bookmarkEnd w:id="0"/>
      <w:r w:rsidR="00EB20C8" w:rsidRPr="00EB20C8">
        <w:rPr>
          <w:rFonts w:cs="Times New Roman"/>
          <w:i/>
          <w:sz w:val="28"/>
          <w:szCs w:val="28"/>
          <w:lang w:val="uk-UA"/>
        </w:rPr>
        <w:t xml:space="preserve">тури факультету </w:t>
      </w:r>
    </w:p>
    <w:p w:rsidR="00EB20C8" w:rsidRPr="00EB20C8" w:rsidRDefault="008A4050" w:rsidP="00EB20C8">
      <w:pPr>
        <w:pStyle w:val="Standard"/>
        <w:spacing w:line="360" w:lineRule="auto"/>
        <w:ind w:firstLine="709"/>
        <w:jc w:val="right"/>
        <w:rPr>
          <w:rFonts w:cs="Times New Roman"/>
          <w:sz w:val="28"/>
          <w:szCs w:val="28"/>
          <w:lang w:val="uk-UA"/>
        </w:rPr>
      </w:pPr>
      <w:r>
        <w:rPr>
          <w:rFonts w:cs="Times New Roman"/>
          <w:i/>
          <w:sz w:val="28"/>
          <w:szCs w:val="28"/>
          <w:lang w:val="uk-UA"/>
        </w:rPr>
        <w:t>____________________________________</w:t>
      </w:r>
    </w:p>
    <w:p w:rsidR="00EB20C8" w:rsidRPr="00EB20C8" w:rsidRDefault="00EB20C8" w:rsidP="00EB20C8">
      <w:pPr>
        <w:pStyle w:val="Standard"/>
        <w:spacing w:line="360" w:lineRule="auto"/>
        <w:ind w:firstLine="709"/>
        <w:jc w:val="right"/>
        <w:rPr>
          <w:rFonts w:cs="Times New Roman"/>
          <w:b/>
          <w:bCs/>
          <w:i/>
          <w:sz w:val="28"/>
          <w:szCs w:val="28"/>
          <w:lang w:val="uk-UA"/>
        </w:rPr>
      </w:pPr>
      <w:r w:rsidRPr="00EB20C8">
        <w:rPr>
          <w:rFonts w:cs="Times New Roman"/>
          <w:i/>
          <w:sz w:val="28"/>
          <w:szCs w:val="28"/>
          <w:lang w:val="uk-UA"/>
        </w:rPr>
        <w:t xml:space="preserve">Науковий керівник : </w:t>
      </w:r>
      <w:r w:rsidR="008A4050">
        <w:rPr>
          <w:rFonts w:cs="Times New Roman"/>
          <w:i/>
          <w:sz w:val="28"/>
          <w:szCs w:val="28"/>
          <w:lang w:val="uk-UA"/>
        </w:rPr>
        <w:t>___________________</w:t>
      </w:r>
    </w:p>
    <w:p w:rsidR="00EB20C8" w:rsidRPr="00EB20C8" w:rsidRDefault="00EB20C8" w:rsidP="00EB20C8">
      <w:pPr>
        <w:pStyle w:val="Standard"/>
        <w:spacing w:line="360" w:lineRule="auto"/>
        <w:ind w:firstLine="709"/>
        <w:jc w:val="both"/>
        <w:rPr>
          <w:rFonts w:cs="Times New Roman"/>
          <w:b/>
          <w:bCs/>
          <w:sz w:val="28"/>
          <w:szCs w:val="28"/>
          <w:lang w:val="uk-UA"/>
        </w:rPr>
      </w:pPr>
    </w:p>
    <w:p w:rsidR="00F97FED" w:rsidRDefault="00EB20C8" w:rsidP="00EB20C8">
      <w:pPr>
        <w:pStyle w:val="Standard"/>
        <w:spacing w:line="360" w:lineRule="auto"/>
        <w:ind w:firstLine="709"/>
        <w:jc w:val="center"/>
        <w:rPr>
          <w:rFonts w:cs="Times New Roman"/>
          <w:b/>
          <w:bCs/>
          <w:sz w:val="28"/>
          <w:szCs w:val="28"/>
          <w:lang w:val="uk-UA"/>
        </w:rPr>
      </w:pPr>
      <w:r>
        <w:rPr>
          <w:rFonts w:cs="Times New Roman"/>
          <w:b/>
          <w:bCs/>
          <w:sz w:val="28"/>
          <w:szCs w:val="28"/>
          <w:lang w:val="uk-UA"/>
        </w:rPr>
        <w:t>НАПРЯМИ НАРОЩУВАННЯ БОРГОВОЇ БЕЗПЕКИ УКРАЇНИ</w:t>
      </w:r>
    </w:p>
    <w:p w:rsidR="00EB20C8" w:rsidRPr="00EB20C8" w:rsidRDefault="00EB20C8" w:rsidP="00EB20C8">
      <w:pPr>
        <w:pStyle w:val="Standard"/>
        <w:spacing w:line="360" w:lineRule="auto"/>
        <w:ind w:firstLine="709"/>
        <w:jc w:val="center"/>
        <w:rPr>
          <w:rFonts w:cs="Times New Roman"/>
          <w:sz w:val="28"/>
          <w:szCs w:val="28"/>
          <w:lang w:val="uk-UA"/>
        </w:rPr>
      </w:pP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Дослідження за вітчизняною методикою індикаторів боргової безпеки України свідчить про задовільний стан боргової безпеки та її нарощення в розрізі окремих показників в поточному році. Однак, деякі індикатори перевищують критичні значення, що є свідченням кризових явищ в економіці країни. Причинами таких негативних показників боргової безпеки є: щорічний дефіцит бюджету та платіжного балансу, значне перевищення експорту над імпортом, криза функціонування пенсійної системи, непривабливий для інвесторів інвестиційний клімат в країні, високий ступінь залежності України від імпортованих енергоносіїв, невиражена політика держави щодо управління боргом, малоефективний контроль за використанням запозичень. Варто зазначити, що наявність державного боргу має позитивні і негативні наслідки для країни в цілому, так і для безпеки зокрема. Зазначимо фактори, які можуть мати позитивний вплив на економіку країни внаслідок зростання державного боргу:</w:t>
      </w:r>
    </w:p>
    <w:p w:rsidR="00F97FED" w:rsidRPr="00EB20C8" w:rsidRDefault="008203DC" w:rsidP="00EB20C8">
      <w:pPr>
        <w:pStyle w:val="Standard"/>
        <w:numPr>
          <w:ilvl w:val="0"/>
          <w:numId w:val="10"/>
        </w:numPr>
        <w:spacing w:line="360" w:lineRule="auto"/>
        <w:ind w:left="0" w:firstLine="709"/>
        <w:jc w:val="both"/>
        <w:rPr>
          <w:rFonts w:cs="Times New Roman"/>
          <w:sz w:val="28"/>
          <w:szCs w:val="28"/>
          <w:lang w:val="uk-UA"/>
        </w:rPr>
      </w:pPr>
      <w:r w:rsidRPr="00EB20C8">
        <w:rPr>
          <w:rFonts w:cs="Times New Roman"/>
          <w:sz w:val="28"/>
          <w:szCs w:val="28"/>
          <w:lang w:val="uk-UA"/>
        </w:rPr>
        <w:t>прискорення темпів економічного зростання;</w:t>
      </w:r>
    </w:p>
    <w:p w:rsidR="00F97FED" w:rsidRPr="00EB20C8" w:rsidRDefault="008203DC" w:rsidP="00EB20C8">
      <w:pPr>
        <w:pStyle w:val="Standard"/>
        <w:numPr>
          <w:ilvl w:val="0"/>
          <w:numId w:val="10"/>
        </w:numPr>
        <w:spacing w:line="360" w:lineRule="auto"/>
        <w:ind w:left="0" w:firstLine="709"/>
        <w:jc w:val="both"/>
        <w:rPr>
          <w:rFonts w:cs="Times New Roman"/>
          <w:sz w:val="28"/>
          <w:szCs w:val="28"/>
          <w:lang w:val="uk-UA"/>
        </w:rPr>
      </w:pPr>
      <w:r w:rsidRPr="00EB20C8">
        <w:rPr>
          <w:rFonts w:cs="Times New Roman"/>
          <w:sz w:val="28"/>
          <w:szCs w:val="28"/>
          <w:lang w:val="uk-UA"/>
        </w:rPr>
        <w:t>можливість здійснення масштабних капіталовкладень і реалізації довгострокових програм розвитку;</w:t>
      </w:r>
    </w:p>
    <w:p w:rsidR="00F97FED" w:rsidRPr="00EB20C8" w:rsidRDefault="008203DC" w:rsidP="00EB20C8">
      <w:pPr>
        <w:pStyle w:val="Standard"/>
        <w:numPr>
          <w:ilvl w:val="0"/>
          <w:numId w:val="10"/>
        </w:numPr>
        <w:spacing w:line="360" w:lineRule="auto"/>
        <w:ind w:left="0" w:firstLine="709"/>
        <w:jc w:val="both"/>
        <w:rPr>
          <w:rFonts w:cs="Times New Roman"/>
          <w:sz w:val="28"/>
          <w:szCs w:val="28"/>
          <w:lang w:val="uk-UA"/>
        </w:rPr>
      </w:pPr>
      <w:r w:rsidRPr="00EB20C8">
        <w:rPr>
          <w:rFonts w:cs="Times New Roman"/>
          <w:sz w:val="28"/>
          <w:szCs w:val="28"/>
          <w:lang w:val="uk-UA"/>
        </w:rPr>
        <w:t>кошти залучаються під значно менший відсоток і строки їх залучення носять довгостроковий характер у порівнянні з можливостями вітчизняної системи;</w:t>
      </w:r>
    </w:p>
    <w:p w:rsidR="00F97FED" w:rsidRPr="00EB20C8" w:rsidRDefault="008203DC" w:rsidP="00EB20C8">
      <w:pPr>
        <w:pStyle w:val="Standard"/>
        <w:numPr>
          <w:ilvl w:val="0"/>
          <w:numId w:val="10"/>
        </w:numPr>
        <w:spacing w:line="360" w:lineRule="auto"/>
        <w:ind w:left="0" w:firstLine="709"/>
        <w:jc w:val="both"/>
        <w:rPr>
          <w:rFonts w:cs="Times New Roman"/>
          <w:sz w:val="28"/>
          <w:szCs w:val="28"/>
          <w:lang w:val="uk-UA"/>
        </w:rPr>
      </w:pPr>
      <w:r w:rsidRPr="00EB20C8">
        <w:rPr>
          <w:rFonts w:cs="Times New Roman"/>
          <w:sz w:val="28"/>
          <w:szCs w:val="28"/>
          <w:lang w:val="uk-UA"/>
        </w:rPr>
        <w:t>позики, залучені суб’єктами господарювання, як правило, мають інвестиційне спрямування; реалізація програм довгострокового кредитування банками фізичних і юридичних осіб тощо [1, c. 115].</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lastRenderedPageBreak/>
        <w:t xml:space="preserve">   Серед негативних явищ, пов’язаних із збільшенням державного боргу, слід назвати наступні:</w:t>
      </w:r>
    </w:p>
    <w:p w:rsidR="00F97FED" w:rsidRPr="00EB20C8" w:rsidRDefault="008203DC" w:rsidP="00EB20C8">
      <w:pPr>
        <w:pStyle w:val="Standard"/>
        <w:numPr>
          <w:ilvl w:val="0"/>
          <w:numId w:val="8"/>
        </w:numPr>
        <w:spacing w:line="360" w:lineRule="auto"/>
        <w:ind w:left="0" w:firstLine="709"/>
        <w:jc w:val="both"/>
        <w:rPr>
          <w:rFonts w:cs="Times New Roman"/>
          <w:sz w:val="28"/>
          <w:szCs w:val="28"/>
          <w:lang w:val="uk-UA"/>
        </w:rPr>
      </w:pPr>
      <w:r w:rsidRPr="00EB20C8">
        <w:rPr>
          <w:rFonts w:cs="Times New Roman"/>
          <w:sz w:val="28"/>
          <w:szCs w:val="28"/>
          <w:lang w:val="uk-UA"/>
        </w:rPr>
        <w:t>вразливість вітчизняної фінансової системи від кон’юнктури світової фінансової системи; 24</w:t>
      </w:r>
    </w:p>
    <w:p w:rsidR="00F97FED" w:rsidRPr="00EB20C8" w:rsidRDefault="008203DC" w:rsidP="00EB20C8">
      <w:pPr>
        <w:pStyle w:val="Standard"/>
        <w:numPr>
          <w:ilvl w:val="0"/>
          <w:numId w:val="8"/>
        </w:numPr>
        <w:spacing w:line="360" w:lineRule="auto"/>
        <w:ind w:left="0" w:firstLine="709"/>
        <w:jc w:val="both"/>
        <w:rPr>
          <w:rFonts w:cs="Times New Roman"/>
          <w:sz w:val="28"/>
          <w:szCs w:val="28"/>
          <w:lang w:val="uk-UA"/>
        </w:rPr>
      </w:pPr>
      <w:r w:rsidRPr="00EB20C8">
        <w:rPr>
          <w:rFonts w:cs="Times New Roman"/>
          <w:sz w:val="28"/>
          <w:szCs w:val="28"/>
          <w:lang w:val="uk-UA"/>
        </w:rPr>
        <w:t>нестабільність валютних курсів, яка може вплинути на можливості виконання зобов’язань у визначені строки;</w:t>
      </w:r>
    </w:p>
    <w:p w:rsidR="00F97FED" w:rsidRPr="00EB20C8" w:rsidRDefault="008203DC" w:rsidP="00EB20C8">
      <w:pPr>
        <w:pStyle w:val="Standard"/>
        <w:numPr>
          <w:ilvl w:val="0"/>
          <w:numId w:val="8"/>
        </w:numPr>
        <w:spacing w:line="360" w:lineRule="auto"/>
        <w:ind w:left="0" w:firstLine="709"/>
        <w:jc w:val="both"/>
        <w:rPr>
          <w:rFonts w:cs="Times New Roman"/>
          <w:sz w:val="28"/>
          <w:szCs w:val="28"/>
          <w:lang w:val="uk-UA"/>
        </w:rPr>
      </w:pPr>
      <w:r w:rsidRPr="00EB20C8">
        <w:rPr>
          <w:rFonts w:cs="Times New Roman"/>
          <w:sz w:val="28"/>
          <w:szCs w:val="28"/>
          <w:lang w:val="uk-UA"/>
        </w:rPr>
        <w:t>невідповідність валюти запозичень і валюти основної частини активів суб’єкта господарювання;</w:t>
      </w:r>
    </w:p>
    <w:p w:rsidR="00F97FED" w:rsidRPr="00EB20C8" w:rsidRDefault="008203DC" w:rsidP="00EB20C8">
      <w:pPr>
        <w:pStyle w:val="Standard"/>
        <w:numPr>
          <w:ilvl w:val="0"/>
          <w:numId w:val="8"/>
        </w:numPr>
        <w:spacing w:line="360" w:lineRule="auto"/>
        <w:ind w:left="0" w:firstLine="709"/>
        <w:jc w:val="both"/>
        <w:rPr>
          <w:rFonts w:cs="Times New Roman"/>
          <w:sz w:val="28"/>
          <w:szCs w:val="28"/>
          <w:lang w:val="uk-UA"/>
        </w:rPr>
      </w:pPr>
      <w:r w:rsidRPr="00EB20C8">
        <w:rPr>
          <w:rFonts w:cs="Times New Roman"/>
          <w:sz w:val="28"/>
          <w:szCs w:val="28"/>
          <w:lang w:val="uk-UA"/>
        </w:rPr>
        <w:t>розриви у строках між залученими коштами на зовнішніх ринках і строками надходжень коштів від реалізації інвестиційних проектів, кредитування банками суб’єктів господарювання;</w:t>
      </w:r>
    </w:p>
    <w:p w:rsidR="00F97FED" w:rsidRPr="00EB20C8" w:rsidRDefault="008203DC" w:rsidP="00EB20C8">
      <w:pPr>
        <w:pStyle w:val="Standard"/>
        <w:numPr>
          <w:ilvl w:val="0"/>
          <w:numId w:val="8"/>
        </w:numPr>
        <w:spacing w:line="360" w:lineRule="auto"/>
        <w:ind w:left="0" w:firstLine="709"/>
        <w:jc w:val="both"/>
        <w:rPr>
          <w:rFonts w:cs="Times New Roman"/>
          <w:sz w:val="28"/>
          <w:szCs w:val="28"/>
          <w:lang w:val="uk-UA"/>
        </w:rPr>
      </w:pPr>
      <w:r w:rsidRPr="00EB20C8">
        <w:rPr>
          <w:rFonts w:cs="Times New Roman"/>
          <w:sz w:val="28"/>
          <w:szCs w:val="28"/>
          <w:lang w:val="uk-UA"/>
        </w:rPr>
        <w:t>неможливість виконати зобов’язання при ускладненнях з доступом до джерел іноземної валюти;</w:t>
      </w:r>
    </w:p>
    <w:p w:rsidR="00F97FED" w:rsidRPr="00EB20C8" w:rsidRDefault="008203DC" w:rsidP="00EB20C8">
      <w:pPr>
        <w:pStyle w:val="Standard"/>
        <w:numPr>
          <w:ilvl w:val="0"/>
          <w:numId w:val="8"/>
        </w:numPr>
        <w:spacing w:line="360" w:lineRule="auto"/>
        <w:ind w:left="0" w:firstLine="709"/>
        <w:jc w:val="both"/>
        <w:rPr>
          <w:rFonts w:cs="Times New Roman"/>
          <w:sz w:val="28"/>
          <w:szCs w:val="28"/>
          <w:lang w:val="uk-UA"/>
        </w:rPr>
      </w:pPr>
      <w:r w:rsidRPr="00EB20C8">
        <w:rPr>
          <w:rFonts w:cs="Times New Roman"/>
          <w:sz w:val="28"/>
          <w:szCs w:val="28"/>
          <w:lang w:val="uk-UA"/>
        </w:rPr>
        <w:t>низька ліквідність світових фінансових ринків може знизити можливості щодо реструктуризації заборгованості [1, c. 117].</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Очевидним є те, що переваги та недоліки зростання державного боргу є достатньо вагомими. Тому державі необхідно мати в арсеналі ряд інструментів, які дозволять корегувати боргову політику залежно від економічної ситуації в країні шляхом здійснення ефективного впливу на розмір та структуру державного боргу [2, с. 317].</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 xml:space="preserve">На думку багатьох дослідників, це мають бути заходи як прямого, так і опосередкованого впливу. Хоча перевагу слід віддавати саме непрямим методам, адже «прямий контроль за потоками капіталів спонукає економічних агентів до пошуку ренти та ізолює внутрішній ринок капіталів». Разом з цим Уряд повинен послідовно вживати заходів щодо підвищення суверенного кредитного рейтингу України. Міжнародна практика на основі глобальної боргової кризи, узагальнивши вихідні детермінанти існуючої проблематики (рівень боргового навантаження, бюджетні дисбаланси, рівень інфляції та темпи економічного розвитку, потреби в додаткових ресурсах), розробила певні алгоритми управління борговим портфелем, зокрема експерти МВФ </w:t>
      </w:r>
      <w:r w:rsidRPr="00EB20C8">
        <w:rPr>
          <w:rFonts w:cs="Times New Roman"/>
          <w:sz w:val="28"/>
          <w:szCs w:val="28"/>
          <w:lang w:val="uk-UA"/>
        </w:rPr>
        <w:lastRenderedPageBreak/>
        <w:t>узагальнюють та виділяють такі моделі:</w:t>
      </w:r>
    </w:p>
    <w:p w:rsidR="00F97FED" w:rsidRPr="00EB20C8" w:rsidRDefault="008203DC" w:rsidP="00EB20C8">
      <w:pPr>
        <w:pStyle w:val="Standard"/>
        <w:numPr>
          <w:ilvl w:val="0"/>
          <w:numId w:val="1"/>
        </w:numPr>
        <w:spacing w:line="360" w:lineRule="auto"/>
        <w:ind w:left="0" w:firstLine="709"/>
        <w:jc w:val="both"/>
        <w:rPr>
          <w:rFonts w:cs="Times New Roman"/>
          <w:sz w:val="28"/>
          <w:szCs w:val="28"/>
          <w:lang w:val="uk-UA"/>
        </w:rPr>
      </w:pPr>
      <w:r w:rsidRPr="00EB20C8">
        <w:rPr>
          <w:rFonts w:cs="Times New Roman"/>
          <w:sz w:val="28"/>
          <w:szCs w:val="28"/>
          <w:lang w:val="uk-UA"/>
        </w:rPr>
        <w:t>Модель бюджетного стимулювання – передбачає скоординовану бюджетну-монетарну політику стимулювання платоспроможного попиту та досягнення економічного зростання за рахунок збільшення бюджетних видатків, 25 наслідком чого може бути короткострокове (допустиме) збільшення бюджетного дефіциту.</w:t>
      </w:r>
    </w:p>
    <w:p w:rsidR="00F97FED" w:rsidRPr="00EB20C8" w:rsidRDefault="008203DC" w:rsidP="00EB20C8">
      <w:pPr>
        <w:pStyle w:val="Standard"/>
        <w:numPr>
          <w:ilvl w:val="0"/>
          <w:numId w:val="1"/>
        </w:numPr>
        <w:spacing w:line="360" w:lineRule="auto"/>
        <w:ind w:left="0" w:firstLine="709"/>
        <w:jc w:val="both"/>
        <w:rPr>
          <w:rFonts w:cs="Times New Roman"/>
          <w:sz w:val="28"/>
          <w:szCs w:val="28"/>
          <w:lang w:val="uk-UA"/>
        </w:rPr>
      </w:pPr>
      <w:r w:rsidRPr="00EB20C8">
        <w:rPr>
          <w:rFonts w:cs="Times New Roman"/>
          <w:sz w:val="28"/>
          <w:szCs w:val="28"/>
          <w:lang w:val="uk-UA"/>
        </w:rPr>
        <w:t xml:space="preserve">Модель бюджетної консолідації – передбачає досягнення </w:t>
      </w:r>
      <w:proofErr w:type="spellStart"/>
      <w:r w:rsidRPr="00EB20C8">
        <w:rPr>
          <w:rFonts w:cs="Times New Roman"/>
          <w:sz w:val="28"/>
          <w:szCs w:val="28"/>
          <w:lang w:val="uk-UA"/>
        </w:rPr>
        <w:t>таргетування</w:t>
      </w:r>
      <w:proofErr w:type="spellEnd"/>
      <w:r w:rsidRPr="00EB20C8">
        <w:rPr>
          <w:rFonts w:cs="Times New Roman"/>
          <w:sz w:val="28"/>
          <w:szCs w:val="28"/>
          <w:lang w:val="uk-UA"/>
        </w:rPr>
        <w:t xml:space="preserve"> бюджетного дефіциту з одночасним зниженням темпів нарощування обсягу державного боргу, завдяки пропорційному зменшенню видаткової частини бюджету та збільшенню податкового навантаження. На сучасному етапі більшість європейських країн, зокрема країни Єврозони, віддають перевагу використанню даної моделі.</w:t>
      </w:r>
    </w:p>
    <w:p w:rsidR="00F97FED" w:rsidRPr="00EB20C8" w:rsidRDefault="008203DC" w:rsidP="00EB20C8">
      <w:pPr>
        <w:pStyle w:val="Standard"/>
        <w:numPr>
          <w:ilvl w:val="0"/>
          <w:numId w:val="1"/>
        </w:numPr>
        <w:spacing w:line="360" w:lineRule="auto"/>
        <w:ind w:left="0" w:firstLine="709"/>
        <w:jc w:val="both"/>
        <w:rPr>
          <w:rFonts w:cs="Times New Roman"/>
          <w:sz w:val="28"/>
          <w:szCs w:val="28"/>
          <w:lang w:val="uk-UA"/>
        </w:rPr>
      </w:pPr>
      <w:r w:rsidRPr="00EB20C8">
        <w:rPr>
          <w:rFonts w:cs="Times New Roman"/>
          <w:sz w:val="28"/>
          <w:szCs w:val="28"/>
          <w:lang w:val="uk-UA"/>
        </w:rPr>
        <w:t>Модель «фінансового придушення» – передбачає досягнення допустимого рівня боргового навантаження завдяки створенню ситуації одночасної наявності доволі високої інфляції та порівняно низьких номінальних процентних ставок для комерційних кредитів і державних запозичень, які, у свою чергу, повинні позитивно вплинути на економічне зростання [3, с. 13].</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Модель «фінансового придушення » використовувалась в Сполучених Штатах Америки після Другої світової війни і виявилась надзвичайно ефективною. Серед країн, які використовували дану модель на сучасному етапі, слід пригадати Ліван. Для оптимізації боргової безпеки України ми пропонуємо здійснити ряд заходів, які зможуть покращити систему управління державним боргом:</w:t>
      </w:r>
    </w:p>
    <w:p w:rsidR="00F97FED" w:rsidRPr="00EB20C8" w:rsidRDefault="008203DC" w:rsidP="00EB20C8">
      <w:pPr>
        <w:pStyle w:val="Standard"/>
        <w:numPr>
          <w:ilvl w:val="0"/>
          <w:numId w:val="3"/>
        </w:numPr>
        <w:spacing w:line="360" w:lineRule="auto"/>
        <w:ind w:left="0" w:firstLine="709"/>
        <w:jc w:val="both"/>
        <w:rPr>
          <w:rFonts w:cs="Times New Roman"/>
          <w:sz w:val="28"/>
          <w:szCs w:val="28"/>
          <w:lang w:val="uk-UA"/>
        </w:rPr>
      </w:pPr>
      <w:r w:rsidRPr="00EB20C8">
        <w:rPr>
          <w:rFonts w:cs="Times New Roman"/>
          <w:sz w:val="28"/>
          <w:szCs w:val="28"/>
          <w:lang w:val="uk-UA"/>
        </w:rPr>
        <w:t>вдосконалення нормативно-правової бази шляхом прийняття базового закону про зовнішній державний борг, що сприятиме усуненню суперечностей між положеннями окремих нормативних актів з питань погашення і обслуговування зовнішнього та внутрішнього боргу та визначатиме основні пріоритети та напрямки боргової політики;</w:t>
      </w:r>
    </w:p>
    <w:p w:rsidR="00F97FED" w:rsidRPr="00EB20C8" w:rsidRDefault="008203DC" w:rsidP="00EB20C8">
      <w:pPr>
        <w:pStyle w:val="Standard"/>
        <w:numPr>
          <w:ilvl w:val="0"/>
          <w:numId w:val="3"/>
        </w:numPr>
        <w:spacing w:line="360" w:lineRule="auto"/>
        <w:ind w:left="0" w:firstLine="709"/>
        <w:jc w:val="both"/>
        <w:rPr>
          <w:rFonts w:cs="Times New Roman"/>
          <w:sz w:val="28"/>
          <w:szCs w:val="28"/>
          <w:lang w:val="uk-UA"/>
        </w:rPr>
      </w:pPr>
      <w:r w:rsidRPr="00EB20C8">
        <w:rPr>
          <w:rFonts w:cs="Times New Roman"/>
          <w:sz w:val="28"/>
          <w:szCs w:val="28"/>
          <w:lang w:val="uk-UA"/>
        </w:rPr>
        <w:t xml:space="preserve">врегулювання порядку витрачання коштів Державного бюджету України на управління державним боргом та повноваження органів державної </w:t>
      </w:r>
      <w:r w:rsidRPr="00EB20C8">
        <w:rPr>
          <w:rFonts w:cs="Times New Roman"/>
          <w:sz w:val="28"/>
          <w:szCs w:val="28"/>
          <w:lang w:val="uk-UA"/>
        </w:rPr>
        <w:lastRenderedPageBreak/>
        <w:t>влади у цьому процесі, є планування витрат з обслуговування, погашення та управління державним боргом; 26</w:t>
      </w:r>
    </w:p>
    <w:p w:rsidR="00F97FED" w:rsidRPr="00EB20C8" w:rsidRDefault="008203DC" w:rsidP="00EB20C8">
      <w:pPr>
        <w:pStyle w:val="Standard"/>
        <w:numPr>
          <w:ilvl w:val="0"/>
          <w:numId w:val="3"/>
        </w:numPr>
        <w:spacing w:line="360" w:lineRule="auto"/>
        <w:ind w:left="0" w:firstLine="709"/>
        <w:jc w:val="both"/>
        <w:rPr>
          <w:rFonts w:cs="Times New Roman"/>
          <w:sz w:val="28"/>
          <w:szCs w:val="28"/>
          <w:lang w:val="uk-UA"/>
        </w:rPr>
      </w:pPr>
      <w:r w:rsidRPr="00EB20C8">
        <w:rPr>
          <w:rFonts w:cs="Times New Roman"/>
          <w:sz w:val="28"/>
          <w:szCs w:val="28"/>
          <w:lang w:val="uk-UA"/>
        </w:rPr>
        <w:t>залучення фінансових ресурсів для ефективної реалізації програм інституційного та інвестиційного розвитку країни, а не на статті споживчого спрямування;</w:t>
      </w:r>
    </w:p>
    <w:p w:rsidR="00F97FED" w:rsidRPr="00EB20C8" w:rsidRDefault="008203DC" w:rsidP="00EB20C8">
      <w:pPr>
        <w:pStyle w:val="Standard"/>
        <w:numPr>
          <w:ilvl w:val="0"/>
          <w:numId w:val="3"/>
        </w:numPr>
        <w:spacing w:line="360" w:lineRule="auto"/>
        <w:ind w:left="0" w:firstLine="709"/>
        <w:jc w:val="both"/>
        <w:rPr>
          <w:rFonts w:cs="Times New Roman"/>
          <w:sz w:val="28"/>
          <w:szCs w:val="28"/>
          <w:lang w:val="uk-UA"/>
        </w:rPr>
      </w:pPr>
      <w:r w:rsidRPr="00EB20C8">
        <w:rPr>
          <w:rFonts w:cs="Times New Roman"/>
          <w:sz w:val="28"/>
          <w:szCs w:val="28"/>
          <w:lang w:val="uk-UA"/>
        </w:rPr>
        <w:t xml:space="preserve">зменшення частки зовнішньої заборгованості в загальній частці боргу країни, оскільки зовнішні запозичення являють собою фактичне вивезенням капіталу з країни, тому що, по-перше, є фактично продажем нерезидентам права на отримання частини прибутку резидентів України, тобто </w:t>
      </w:r>
      <w:proofErr w:type="spellStart"/>
      <w:r w:rsidRPr="00EB20C8">
        <w:rPr>
          <w:rFonts w:cs="Times New Roman"/>
          <w:sz w:val="28"/>
          <w:szCs w:val="28"/>
          <w:lang w:val="uk-UA"/>
        </w:rPr>
        <w:t>декапіталізацію</w:t>
      </w:r>
      <w:proofErr w:type="spellEnd"/>
      <w:r w:rsidRPr="00EB20C8">
        <w:rPr>
          <w:rFonts w:cs="Times New Roman"/>
          <w:sz w:val="28"/>
          <w:szCs w:val="28"/>
          <w:lang w:val="uk-UA"/>
        </w:rPr>
        <w:t xml:space="preserve"> національної економіки, а по-друге, збільшить кредитні ризики країни, бо залежать від коливань курсів іноземних валют;</w:t>
      </w:r>
    </w:p>
    <w:p w:rsidR="00F97FED" w:rsidRPr="00EB20C8" w:rsidRDefault="008203DC" w:rsidP="00EB20C8">
      <w:pPr>
        <w:pStyle w:val="Standard"/>
        <w:numPr>
          <w:ilvl w:val="0"/>
          <w:numId w:val="3"/>
        </w:numPr>
        <w:spacing w:line="360" w:lineRule="auto"/>
        <w:ind w:left="0" w:firstLine="709"/>
        <w:jc w:val="both"/>
        <w:rPr>
          <w:rFonts w:cs="Times New Roman"/>
          <w:sz w:val="28"/>
          <w:szCs w:val="28"/>
          <w:lang w:val="uk-UA"/>
        </w:rPr>
      </w:pPr>
      <w:r w:rsidRPr="00EB20C8">
        <w:rPr>
          <w:rFonts w:cs="Times New Roman"/>
          <w:sz w:val="28"/>
          <w:szCs w:val="28"/>
          <w:lang w:val="uk-UA"/>
        </w:rPr>
        <w:t>дотримуватись економічно обґрунтованого обсягу дефіциту Державного бюджету України та визначити напрями підвищення доходів державного бюджету, насамперед завдяки покращенню конкурентного середовища та підвищенню ділової активності вітчизняного бізнесу [4].</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Останнім часом спрямування заходів на зменшення ризиків, спричинених макроекономічними шоками, є більш дієвим шляхом підвищення ефективності боргової політики у порівнянні зі стратегією зменшення витрат на обслуговування та погашення державного боргу. Тому потреба в застосовуванні цінних паперів стає актуальнішою. Ефективне функціонування первинного ринку державних боргових паперів не лише позитивно впливає на реалізацію державних програм соціально</w:t>
      </w:r>
      <w:r w:rsidR="00EB20C8">
        <w:rPr>
          <w:rFonts w:cs="Times New Roman"/>
          <w:sz w:val="28"/>
          <w:szCs w:val="28"/>
          <w:lang w:val="uk-UA"/>
        </w:rPr>
        <w:t>-</w:t>
      </w:r>
      <w:r w:rsidRPr="00EB20C8">
        <w:rPr>
          <w:rFonts w:cs="Times New Roman"/>
          <w:sz w:val="28"/>
          <w:szCs w:val="28"/>
          <w:lang w:val="uk-UA"/>
        </w:rPr>
        <w:t xml:space="preserve">економічного розвитку, а й на кредитний рейтинг держави, закріплює за державою імідж надійного позичальника та формує позитивні тенденції щодо подальшого залучення позик на вигідніших умовах. Низька активність населення на ринку ОВДП і значні розміри депозитів населення в банках свідчать про його значний потенціал як інвестора та необхідність використання цього джерела ресурсів у забезпеченні фінансування </w:t>
      </w:r>
      <w:proofErr w:type="spellStart"/>
      <w:r w:rsidRPr="00EB20C8">
        <w:rPr>
          <w:rFonts w:cs="Times New Roman"/>
          <w:sz w:val="28"/>
          <w:szCs w:val="28"/>
          <w:lang w:val="uk-UA"/>
        </w:rPr>
        <w:t>держав-</w:t>
      </w:r>
      <w:proofErr w:type="spellEnd"/>
      <w:r w:rsidRPr="00EB20C8">
        <w:rPr>
          <w:rFonts w:cs="Times New Roman"/>
          <w:sz w:val="28"/>
          <w:szCs w:val="28"/>
          <w:lang w:val="uk-UA"/>
        </w:rPr>
        <w:t xml:space="preserve"> них програм. Вагому роль у забезпеченні ефективності управління державним боргом відіграє виважена й узгоджена із соціально-економічними процесами і пріоритетами боргова політика держави, розрахована на </w:t>
      </w:r>
      <w:r w:rsidRPr="00EB20C8">
        <w:rPr>
          <w:rFonts w:cs="Times New Roman"/>
          <w:sz w:val="28"/>
          <w:szCs w:val="28"/>
          <w:lang w:val="uk-UA"/>
        </w:rPr>
        <w:lastRenderedPageBreak/>
        <w:t>середньострокову 27 перспективу, що надає можливість забезпечити комплексний підхід до управління державним боргом на всіх етапах, починаючи з його планування і прогнозування [5, с. 57].</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 xml:space="preserve"> Крім того, стратегічною метою боргової політики країни повинно бути залучення фінансових ресурсів для реалізації програм інвестиційного розвитку країни. Одночасно з цим необхідно забезпечувати стабільність показників боргового навантаження. Розробка нових боргових інструментів дасть змогу поєднати страхування ризиків та спрямування запозичених коштів на інвестиційні цілі, що сприятиме підвищенню ефективності боргової політики В контексті управління державним боргом важливим є проведення ряду заходів, спрямованих на підвищення рівня боргової безпеки держави та його нарощення.</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Напрямами нарощування боргової безпеки України є:</w:t>
      </w:r>
    </w:p>
    <w:p w:rsidR="00F97FED" w:rsidRPr="00EB20C8" w:rsidRDefault="008203DC" w:rsidP="00EB20C8">
      <w:pPr>
        <w:pStyle w:val="Standard"/>
        <w:numPr>
          <w:ilvl w:val="0"/>
          <w:numId w:val="4"/>
        </w:numPr>
        <w:spacing w:line="360" w:lineRule="auto"/>
        <w:ind w:left="0" w:firstLine="709"/>
        <w:jc w:val="both"/>
        <w:rPr>
          <w:rFonts w:cs="Times New Roman"/>
          <w:sz w:val="28"/>
          <w:szCs w:val="28"/>
          <w:lang w:val="uk-UA"/>
        </w:rPr>
      </w:pPr>
      <w:r w:rsidRPr="00EB20C8">
        <w:rPr>
          <w:rFonts w:cs="Times New Roman"/>
          <w:sz w:val="28"/>
          <w:szCs w:val="28"/>
          <w:lang w:val="uk-UA"/>
        </w:rPr>
        <w:t>Удосконалення боргової політики держави та перехід до стратегічного управління державним боргом, має на меті:</w:t>
      </w:r>
    </w:p>
    <w:p w:rsidR="00F97FED" w:rsidRPr="00EB20C8" w:rsidRDefault="008203DC" w:rsidP="00EB20C8">
      <w:pPr>
        <w:pStyle w:val="Standard"/>
        <w:numPr>
          <w:ilvl w:val="0"/>
          <w:numId w:val="6"/>
        </w:numPr>
        <w:spacing w:line="360" w:lineRule="auto"/>
        <w:ind w:left="0" w:firstLine="709"/>
        <w:jc w:val="both"/>
        <w:rPr>
          <w:rFonts w:cs="Times New Roman"/>
          <w:sz w:val="28"/>
          <w:szCs w:val="28"/>
          <w:lang w:val="uk-UA"/>
        </w:rPr>
      </w:pPr>
      <w:r w:rsidRPr="00EB20C8">
        <w:rPr>
          <w:rFonts w:cs="Times New Roman"/>
          <w:sz w:val="28"/>
          <w:szCs w:val="28"/>
          <w:lang w:val="uk-UA"/>
        </w:rPr>
        <w:t>вибір типу боргової політики відповідно до соціально-економічних умов розвитку та реалізація відповідних комплексних заходів щодо покращення ситуації на внутрішньому та зовнішньому ринках;</w:t>
      </w:r>
    </w:p>
    <w:p w:rsidR="00F97FED" w:rsidRPr="00EB20C8" w:rsidRDefault="008203DC" w:rsidP="00EB20C8">
      <w:pPr>
        <w:pStyle w:val="Standard"/>
        <w:numPr>
          <w:ilvl w:val="0"/>
          <w:numId w:val="6"/>
        </w:numPr>
        <w:spacing w:line="360" w:lineRule="auto"/>
        <w:ind w:left="0" w:firstLine="709"/>
        <w:jc w:val="both"/>
        <w:rPr>
          <w:rFonts w:cs="Times New Roman"/>
          <w:sz w:val="28"/>
          <w:szCs w:val="28"/>
          <w:lang w:val="uk-UA"/>
        </w:rPr>
      </w:pPr>
      <w:r w:rsidRPr="00EB20C8">
        <w:rPr>
          <w:rFonts w:cs="Times New Roman"/>
          <w:sz w:val="28"/>
          <w:szCs w:val="28"/>
          <w:lang w:val="uk-UA"/>
        </w:rPr>
        <w:t>удосконалення інституційної складової та адаптацію світового досвіду (впровадження рекомендацій з управління державним боргом, підготовлених МВФ спільно із Світовим банком тощо).</w:t>
      </w:r>
    </w:p>
    <w:p w:rsidR="00F97FED" w:rsidRPr="00EB20C8" w:rsidRDefault="008203DC" w:rsidP="00EB20C8">
      <w:pPr>
        <w:pStyle w:val="Standard"/>
        <w:numPr>
          <w:ilvl w:val="0"/>
          <w:numId w:val="4"/>
        </w:numPr>
        <w:spacing w:line="360" w:lineRule="auto"/>
        <w:ind w:left="0" w:firstLine="709"/>
        <w:jc w:val="both"/>
        <w:rPr>
          <w:rFonts w:cs="Times New Roman"/>
          <w:sz w:val="28"/>
          <w:szCs w:val="28"/>
          <w:lang w:val="uk-UA"/>
        </w:rPr>
      </w:pPr>
      <w:r w:rsidRPr="00EB20C8">
        <w:rPr>
          <w:rFonts w:cs="Times New Roman"/>
          <w:sz w:val="28"/>
          <w:szCs w:val="28"/>
          <w:lang w:val="uk-UA"/>
        </w:rPr>
        <w:t>Забезпечення подальшого виконання заходів програми в рамках Механізму розширеного фінансування України Міжнародним валютним фондом та посилення співпраці з міжнародними фінансовими організаціями.</w:t>
      </w:r>
    </w:p>
    <w:p w:rsidR="00F97FED" w:rsidRPr="00EB20C8" w:rsidRDefault="008203DC" w:rsidP="00EB20C8">
      <w:pPr>
        <w:pStyle w:val="Standard"/>
        <w:numPr>
          <w:ilvl w:val="0"/>
          <w:numId w:val="4"/>
        </w:numPr>
        <w:spacing w:line="360" w:lineRule="auto"/>
        <w:ind w:left="0" w:firstLine="709"/>
        <w:jc w:val="both"/>
        <w:rPr>
          <w:rFonts w:cs="Times New Roman"/>
          <w:sz w:val="28"/>
          <w:szCs w:val="28"/>
          <w:lang w:val="uk-UA"/>
        </w:rPr>
      </w:pPr>
      <w:r w:rsidRPr="00EB20C8">
        <w:rPr>
          <w:rFonts w:cs="Times New Roman"/>
          <w:sz w:val="28"/>
          <w:szCs w:val="28"/>
          <w:lang w:val="uk-UA"/>
        </w:rPr>
        <w:t xml:space="preserve">Підвищення якості середньострокового економічного прогнозування та планування для формування та реалізації середньострокової фінансової політики України, тому що складання оптимістичних макроекономічних прогнозів в умовах, що не виключають наявність політичного тиску, призводить до системних проблем в економіці. Прогнози на тривалу перспективу дають 28 можливість визначити боргові ризики та </w:t>
      </w:r>
      <w:r w:rsidRPr="00EB20C8">
        <w:rPr>
          <w:rFonts w:cs="Times New Roman"/>
          <w:sz w:val="28"/>
          <w:szCs w:val="28"/>
          <w:lang w:val="uk-UA"/>
        </w:rPr>
        <w:lastRenderedPageBreak/>
        <w:t>скоригувати боргову політику для утримання боргової безпеки на належному рівні.</w:t>
      </w:r>
    </w:p>
    <w:p w:rsidR="00F97FED" w:rsidRPr="00EB20C8" w:rsidRDefault="008203DC" w:rsidP="00EB20C8">
      <w:pPr>
        <w:pStyle w:val="Standard"/>
        <w:numPr>
          <w:ilvl w:val="0"/>
          <w:numId w:val="4"/>
        </w:numPr>
        <w:spacing w:line="360" w:lineRule="auto"/>
        <w:ind w:left="0" w:firstLine="709"/>
        <w:jc w:val="both"/>
        <w:rPr>
          <w:rFonts w:cs="Times New Roman"/>
          <w:sz w:val="28"/>
          <w:szCs w:val="28"/>
          <w:lang w:val="uk-UA"/>
        </w:rPr>
      </w:pPr>
      <w:r w:rsidRPr="00EB20C8">
        <w:rPr>
          <w:rFonts w:cs="Times New Roman"/>
          <w:sz w:val="28"/>
          <w:szCs w:val="28"/>
          <w:lang w:val="uk-UA"/>
        </w:rPr>
        <w:t>Забезпечення реалізації ефективної боргової політики в частині оптимізації співвідношення обсягів, структури, вартості та джерел його погашення. Цей напрям можна реалізувати завдяки запровадженню еквівалентності бюджетно-податкових змін та встановленню боргових фіскальних правил як чинників оптимізації державних запозичень. Наприклад, стягнення податків при нарощування боргу та збільшенні витрат на його обслуговування і погашення. Найбільш прийнятним для України є досвід країн ЄС, зокрема Польщі, Угорщини. У Польщі при перевищенні державним боргом рівня 55 % ВВП автоматично підвищується ставка ПДВ .</w:t>
      </w:r>
    </w:p>
    <w:p w:rsidR="00F97FED" w:rsidRPr="00EB20C8" w:rsidRDefault="008203DC" w:rsidP="00EB20C8">
      <w:pPr>
        <w:pStyle w:val="Standard"/>
        <w:numPr>
          <w:ilvl w:val="0"/>
          <w:numId w:val="4"/>
        </w:numPr>
        <w:spacing w:line="360" w:lineRule="auto"/>
        <w:ind w:left="0" w:firstLine="709"/>
        <w:jc w:val="both"/>
        <w:rPr>
          <w:rFonts w:cs="Times New Roman"/>
          <w:sz w:val="28"/>
          <w:szCs w:val="28"/>
          <w:lang w:val="uk-UA"/>
        </w:rPr>
      </w:pPr>
      <w:r w:rsidRPr="00EB20C8">
        <w:rPr>
          <w:rFonts w:cs="Times New Roman"/>
          <w:sz w:val="28"/>
          <w:szCs w:val="28"/>
          <w:lang w:val="uk-UA"/>
        </w:rPr>
        <w:t>Активізація розвитку вітчизняного внутрішнього фінансового ринку як елементу цілісної фінансової системи та зниження вартості державних запозичень шляхом:</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стимулювання розвитку фондового, зокрема, вторинного, ринку боргових державних цінних паперів для забезпечення їх ліквідності, повноцінності та привабливості як для нерезидентів й українських інвесторів, так і для населення;</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підвищення ефективності управління державними зобов’язаннями через вдосконалення інформаційного забезпечення прийняття рішень та системи оцінки результатів управління портфелем державних зобов’язань;</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удосконалення інституційного середовища, регулювання та синхронізації функціонування всіх його секторів;</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вдосконалення законодавства щодо залучення іноземних інвесторів та покращення інвестиційного клімату, що дозволить підвищення ефективності державної інвестиційної політики сприяння припливу інвестицій в економіку країни.</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 xml:space="preserve">Отже, вищезазначене свідчить про складність механізму управління державним боргом і необхідність забезпечення його ефективності. Це потребує врахування значної кількості чинників, якісного контролю та постійного </w:t>
      </w:r>
      <w:r w:rsidRPr="00EB20C8">
        <w:rPr>
          <w:rFonts w:cs="Times New Roman"/>
          <w:sz w:val="28"/>
          <w:szCs w:val="28"/>
          <w:lang w:val="uk-UA"/>
        </w:rPr>
        <w:lastRenderedPageBreak/>
        <w:t>моніторингу й обліку не лише розмірів державного боргу, а й результативності кредитних проектів, боргових інструментів і відповідних видатків бюджетів [5, с. 57].</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Саме тому ми пропонуємо розробити механізм моніторингу боргової безпеки, суть якої полягає у ідентифікації ризиків, що загрожують борговій безпеці, та умов (факторів), які визначають загострення цих ризиків, або ж можуть пом’якшити їх вплив на стан боргової безпеки. Метою системи моніторингу боргової безпеки стане:</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комплексний аналіз індикаторів боргової безпеки з виявленням потенційно можливих загроз для динамічного і стабільного розвитку фінансової системи України;</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постійний моніторинг впливу на боргову безпеку процесів внутрішнього і зовнішнього характерів, що відбуваються в економічній, політичній, фінансовій та інших сферах;</w:t>
      </w:r>
    </w:p>
    <w:p w:rsidR="00F97FED" w:rsidRP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прогнозування, виявлення та оцінка можливих загроз і дестабілізуючих чинників для боргової безпеки, причин їх виникнення та наслідків прояву;</w:t>
      </w:r>
    </w:p>
    <w:p w:rsidR="00EB20C8" w:rsidRDefault="008203DC" w:rsidP="00EB20C8">
      <w:pPr>
        <w:pStyle w:val="Standard"/>
        <w:numPr>
          <w:ilvl w:val="0"/>
          <w:numId w:val="7"/>
        </w:numPr>
        <w:spacing w:line="360" w:lineRule="auto"/>
        <w:ind w:left="0" w:firstLine="709"/>
        <w:jc w:val="both"/>
        <w:rPr>
          <w:rFonts w:cs="Times New Roman"/>
          <w:sz w:val="28"/>
          <w:szCs w:val="28"/>
          <w:lang w:val="uk-UA"/>
        </w:rPr>
      </w:pPr>
      <w:r w:rsidRPr="00EB20C8">
        <w:rPr>
          <w:rFonts w:cs="Times New Roman"/>
          <w:sz w:val="28"/>
          <w:szCs w:val="28"/>
          <w:lang w:val="uk-UA"/>
        </w:rPr>
        <w:t xml:space="preserve">оцінка результативності дій основних суб’єктів у сфері гарантування боргової безпеки [4]. </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За рахунок пропонованих заходів можлива модернізація боргової політики, встановлення стійкої тенденції до зниження боргового навантаження та його поступового наближення до економічно-безпечного рівня. Загалом управління державним боргом і оптимізація боргової безпеки повинно стати одним з ключових завдань економічної політики держави, 30 оскільки зменшення боргу держави означає зменшення залежності від кредиторів, що в свою чергу означає зростання не лише економічної, але і політичної незалежності [6, с. 1016]</w:t>
      </w:r>
    </w:p>
    <w:p w:rsidR="00F97FED" w:rsidRPr="00EB20C8" w:rsidRDefault="008203DC" w:rsidP="00EB20C8">
      <w:pPr>
        <w:pStyle w:val="Standard"/>
        <w:spacing w:line="360" w:lineRule="auto"/>
        <w:ind w:firstLine="709"/>
        <w:jc w:val="both"/>
        <w:rPr>
          <w:rFonts w:cs="Times New Roman"/>
          <w:sz w:val="28"/>
          <w:szCs w:val="28"/>
          <w:lang w:val="uk-UA"/>
        </w:rPr>
      </w:pPr>
      <w:r w:rsidRPr="00EB20C8">
        <w:rPr>
          <w:rFonts w:cs="Times New Roman"/>
          <w:sz w:val="28"/>
          <w:szCs w:val="28"/>
          <w:lang w:val="uk-UA"/>
        </w:rPr>
        <w:t xml:space="preserve">В результаті проведеного дослідження можна дійти висновку, що оцінювання рівня боргової безпеки має здійснюватися з огляду на фактори, які обумовлюють нарощення державних боргів. Однак, вплив усіх факторів </w:t>
      </w:r>
      <w:r w:rsidRPr="00EB20C8">
        <w:rPr>
          <w:rFonts w:cs="Times New Roman"/>
          <w:sz w:val="28"/>
          <w:szCs w:val="28"/>
          <w:lang w:val="uk-UA"/>
        </w:rPr>
        <w:lastRenderedPageBreak/>
        <w:t>оцінити кількісно досить складно. Особливо це стосується їх якісної складової. Складним і суперечливим є також питання методології оцінки індикаторів боргової безпеки з позицій вітчизняної методології та поглядів на оцінку боргових показників світовою спільнотою. Обрані індикатори в повній мірі не віддзеркалюють реального становища боргової безпеки. При цьому високі темпи накопичення державних зобов’язань та утримання державного дефіциту на високому рівні можуть спровокувати боргову кризу. Тому для проведення подальшого аналізу стану державного боргу необхідно розширити та законодавчо регламентувати індикатори боргової безпеки з коригуванням уже існуючих нормативних значень відповідно до міжнародної практики. Це дозволить об’єктивно оцінювати стан боргової безпеки та забезпечить механізм оперативного прийняття рішень внаслідок виявлення певних відхилень.</w:t>
      </w:r>
    </w:p>
    <w:p w:rsidR="00F97FED" w:rsidRDefault="00F97FED">
      <w:pPr>
        <w:pStyle w:val="Standard"/>
        <w:rPr>
          <w:lang w:val="ru-RU"/>
        </w:rPr>
      </w:pPr>
    </w:p>
    <w:p w:rsidR="00F97FED" w:rsidRPr="00275EF0" w:rsidRDefault="00275EF0" w:rsidP="00275EF0">
      <w:pPr>
        <w:pStyle w:val="Standard"/>
        <w:spacing w:line="360" w:lineRule="auto"/>
        <w:ind w:firstLine="709"/>
        <w:jc w:val="both"/>
        <w:rPr>
          <w:b/>
          <w:bCs/>
          <w:sz w:val="28"/>
          <w:szCs w:val="28"/>
          <w:lang w:val="uk-UA"/>
        </w:rPr>
      </w:pPr>
      <w:r>
        <w:rPr>
          <w:b/>
          <w:bCs/>
          <w:sz w:val="28"/>
          <w:szCs w:val="28"/>
          <w:lang w:val="uk-UA"/>
        </w:rPr>
        <w:t>Список використан</w:t>
      </w:r>
      <w:r w:rsidRPr="00275EF0">
        <w:rPr>
          <w:b/>
          <w:bCs/>
          <w:sz w:val="28"/>
          <w:szCs w:val="28"/>
          <w:lang w:val="uk-UA"/>
        </w:rPr>
        <w:t>их джерел:</w:t>
      </w:r>
    </w:p>
    <w:p w:rsidR="00275EF0" w:rsidRPr="00275EF0" w:rsidRDefault="00275EF0" w:rsidP="00275EF0">
      <w:pPr>
        <w:pStyle w:val="Standard"/>
        <w:numPr>
          <w:ilvl w:val="0"/>
          <w:numId w:val="11"/>
        </w:numPr>
        <w:spacing w:line="360" w:lineRule="auto"/>
        <w:ind w:left="0" w:firstLine="709"/>
        <w:jc w:val="both"/>
        <w:rPr>
          <w:sz w:val="28"/>
          <w:szCs w:val="28"/>
          <w:lang w:val="uk-UA"/>
        </w:rPr>
      </w:pPr>
      <w:r w:rsidRPr="00275EF0">
        <w:rPr>
          <w:sz w:val="28"/>
          <w:szCs w:val="28"/>
          <w:lang w:val="uk-UA"/>
        </w:rPr>
        <w:t>Василенко Д.А. Боргова безпека України – сучасний стан і напрямки покращення [Електронний ресурс] / Д.А. Василенко// Режим доступу: http://naub.oa.edu.ua/2014/borhova-bezpeka-ukrajiny-suchasnyj-stan-i-napryamkypokraschennya/. 34</w:t>
      </w:r>
    </w:p>
    <w:p w:rsidR="00275EF0" w:rsidRPr="00275EF0" w:rsidRDefault="00275EF0" w:rsidP="00275EF0">
      <w:pPr>
        <w:pStyle w:val="Standard"/>
        <w:numPr>
          <w:ilvl w:val="0"/>
          <w:numId w:val="11"/>
        </w:numPr>
        <w:spacing w:line="360" w:lineRule="auto"/>
        <w:ind w:left="0" w:firstLine="709"/>
        <w:jc w:val="both"/>
        <w:rPr>
          <w:sz w:val="28"/>
          <w:szCs w:val="28"/>
          <w:lang w:val="uk-UA"/>
        </w:rPr>
      </w:pPr>
      <w:r w:rsidRPr="00275EF0">
        <w:rPr>
          <w:sz w:val="28"/>
          <w:szCs w:val="28"/>
          <w:lang w:val="uk-UA"/>
        </w:rPr>
        <w:t>Вісник Національної юридичної академії ім. Я. Мудрого. – 2011. – № 2 (5). – С. 41–48. 35</w:t>
      </w:r>
    </w:p>
    <w:p w:rsidR="00275EF0" w:rsidRPr="00275EF0" w:rsidRDefault="00275EF0" w:rsidP="00275EF0">
      <w:pPr>
        <w:pStyle w:val="Standard"/>
        <w:numPr>
          <w:ilvl w:val="0"/>
          <w:numId w:val="11"/>
        </w:numPr>
        <w:spacing w:line="360" w:lineRule="auto"/>
        <w:ind w:left="0" w:firstLine="709"/>
        <w:jc w:val="both"/>
        <w:rPr>
          <w:sz w:val="28"/>
          <w:szCs w:val="28"/>
          <w:lang w:val="uk-UA"/>
        </w:rPr>
      </w:pPr>
      <w:proofErr w:type="spellStart"/>
      <w:r w:rsidRPr="00275EF0">
        <w:rPr>
          <w:sz w:val="28"/>
          <w:szCs w:val="28"/>
          <w:lang w:val="uk-UA"/>
        </w:rPr>
        <w:t>Котіна</w:t>
      </w:r>
      <w:proofErr w:type="spellEnd"/>
      <w:r w:rsidRPr="00275EF0">
        <w:rPr>
          <w:sz w:val="28"/>
          <w:szCs w:val="28"/>
          <w:lang w:val="uk-UA"/>
        </w:rPr>
        <w:t xml:space="preserve"> Г., </w:t>
      </w:r>
      <w:proofErr w:type="spellStart"/>
      <w:r w:rsidRPr="00275EF0">
        <w:rPr>
          <w:sz w:val="28"/>
          <w:szCs w:val="28"/>
          <w:lang w:val="uk-UA"/>
        </w:rPr>
        <w:t>Степура</w:t>
      </w:r>
      <w:proofErr w:type="spellEnd"/>
      <w:r w:rsidRPr="00275EF0">
        <w:rPr>
          <w:sz w:val="28"/>
          <w:szCs w:val="28"/>
          <w:lang w:val="uk-UA"/>
        </w:rPr>
        <w:t xml:space="preserve"> М., </w:t>
      </w:r>
      <w:proofErr w:type="spellStart"/>
      <w:r w:rsidRPr="00275EF0">
        <w:rPr>
          <w:sz w:val="28"/>
          <w:szCs w:val="28"/>
          <w:lang w:val="uk-UA"/>
        </w:rPr>
        <w:t>Кондро</w:t>
      </w:r>
      <w:proofErr w:type="spellEnd"/>
      <w:r w:rsidRPr="00275EF0">
        <w:rPr>
          <w:sz w:val="28"/>
          <w:szCs w:val="28"/>
          <w:lang w:val="uk-UA"/>
        </w:rPr>
        <w:t xml:space="preserve"> П. Боргова безпека України: оцінка, ризики та перспективи // Економічні науки. – 2017. – № 3 (149). – С. 10–15.</w:t>
      </w:r>
    </w:p>
    <w:p w:rsidR="00275EF0" w:rsidRPr="00275EF0" w:rsidRDefault="00275EF0" w:rsidP="00275EF0">
      <w:pPr>
        <w:pStyle w:val="Standard"/>
        <w:numPr>
          <w:ilvl w:val="0"/>
          <w:numId w:val="11"/>
        </w:numPr>
        <w:spacing w:line="360" w:lineRule="auto"/>
        <w:ind w:left="0" w:firstLine="709"/>
        <w:jc w:val="both"/>
        <w:rPr>
          <w:sz w:val="28"/>
          <w:szCs w:val="28"/>
          <w:lang w:val="uk-UA"/>
        </w:rPr>
      </w:pPr>
      <w:r w:rsidRPr="00275EF0">
        <w:rPr>
          <w:sz w:val="28"/>
          <w:szCs w:val="28"/>
          <w:lang w:val="uk-UA"/>
        </w:rPr>
        <w:t>Кучер Г. В. Ефективність системи управління державним боргом в Україні / Г. В. Кучер // Фінанси України. – 2012. – № 6. – С. 44–57.</w:t>
      </w:r>
    </w:p>
    <w:p w:rsidR="00275EF0" w:rsidRPr="00275EF0" w:rsidRDefault="00275EF0" w:rsidP="00275EF0">
      <w:pPr>
        <w:pStyle w:val="Standard"/>
        <w:numPr>
          <w:ilvl w:val="0"/>
          <w:numId w:val="11"/>
        </w:numPr>
        <w:spacing w:line="360" w:lineRule="auto"/>
        <w:ind w:left="0" w:firstLine="709"/>
        <w:jc w:val="both"/>
        <w:rPr>
          <w:sz w:val="28"/>
          <w:szCs w:val="28"/>
          <w:lang w:val="uk-UA"/>
        </w:rPr>
      </w:pPr>
      <w:r w:rsidRPr="00275EF0">
        <w:rPr>
          <w:sz w:val="28"/>
          <w:szCs w:val="28"/>
          <w:lang w:val="uk-UA"/>
        </w:rPr>
        <w:t>Малютін О. Місце державного зовнішнього боргу в економічному розвитку України // Наука молода. – 2009. – № 11. – С. 114–117.</w:t>
      </w:r>
    </w:p>
    <w:p w:rsidR="00275EF0" w:rsidRPr="00275EF0" w:rsidRDefault="00275EF0" w:rsidP="00275EF0">
      <w:pPr>
        <w:pStyle w:val="Standard"/>
        <w:numPr>
          <w:ilvl w:val="0"/>
          <w:numId w:val="11"/>
        </w:numPr>
        <w:spacing w:line="360" w:lineRule="auto"/>
        <w:ind w:left="0" w:firstLine="709"/>
        <w:jc w:val="both"/>
        <w:rPr>
          <w:sz w:val="28"/>
          <w:szCs w:val="28"/>
          <w:lang w:val="uk-UA"/>
        </w:rPr>
      </w:pPr>
      <w:r w:rsidRPr="00275EF0">
        <w:rPr>
          <w:sz w:val="28"/>
          <w:szCs w:val="28"/>
          <w:lang w:val="uk-UA"/>
        </w:rPr>
        <w:t xml:space="preserve">Омельченко Л.С., </w:t>
      </w:r>
      <w:proofErr w:type="spellStart"/>
      <w:r w:rsidRPr="00275EF0">
        <w:rPr>
          <w:sz w:val="28"/>
          <w:szCs w:val="28"/>
          <w:lang w:val="uk-UA"/>
        </w:rPr>
        <w:t>Суміна</w:t>
      </w:r>
      <w:proofErr w:type="spellEnd"/>
      <w:r w:rsidRPr="00275EF0">
        <w:rPr>
          <w:sz w:val="28"/>
          <w:szCs w:val="28"/>
          <w:lang w:val="uk-UA"/>
        </w:rPr>
        <w:t xml:space="preserve"> І.В. Боргова безпека України та аналіз її сучасного стану// Збірник наукових праць Національного університету ДПСУ. – 2012. – № 1. – С. 309–320.</w:t>
      </w:r>
    </w:p>
    <w:p w:rsidR="00275EF0" w:rsidRPr="00275EF0" w:rsidRDefault="00275EF0" w:rsidP="00275EF0">
      <w:pPr>
        <w:pStyle w:val="Standard"/>
        <w:numPr>
          <w:ilvl w:val="0"/>
          <w:numId w:val="11"/>
        </w:numPr>
        <w:spacing w:line="360" w:lineRule="auto"/>
        <w:ind w:left="0" w:firstLine="709"/>
        <w:jc w:val="both"/>
        <w:rPr>
          <w:sz w:val="28"/>
          <w:szCs w:val="28"/>
          <w:lang w:val="uk-UA"/>
        </w:rPr>
      </w:pPr>
      <w:r w:rsidRPr="00275EF0">
        <w:rPr>
          <w:sz w:val="28"/>
          <w:szCs w:val="28"/>
          <w:lang w:val="uk-UA"/>
        </w:rPr>
        <w:t xml:space="preserve">Юрій Е.О., Грицак А.В Практика оцінювання рівня боргової безпеки </w:t>
      </w:r>
      <w:r w:rsidRPr="00275EF0">
        <w:rPr>
          <w:sz w:val="28"/>
          <w:szCs w:val="28"/>
          <w:lang w:val="uk-UA"/>
        </w:rPr>
        <w:lastRenderedPageBreak/>
        <w:t>держави// «Молодий вчений» – 2016 р. – № 12.1 (40). – С. 1014–1017.</w:t>
      </w:r>
    </w:p>
    <w:sectPr w:rsidR="00275EF0" w:rsidRPr="00275EF0" w:rsidSect="001B73CA">
      <w:footerReference w:type="default" r:id="rId7"/>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C46" w:rsidRDefault="00477C46">
      <w:r>
        <w:separator/>
      </w:r>
    </w:p>
  </w:endnote>
  <w:endnote w:type="continuationSeparator" w:id="0">
    <w:p w:rsidR="00477C46" w:rsidRDefault="00477C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2315530"/>
      <w:docPartObj>
        <w:docPartGallery w:val="Page Numbers (Bottom of Page)"/>
        <w:docPartUnique/>
      </w:docPartObj>
    </w:sdtPr>
    <w:sdtContent>
      <w:p w:rsidR="00275EF0" w:rsidRDefault="001B73CA">
        <w:pPr>
          <w:pStyle w:val="a8"/>
          <w:jc w:val="right"/>
        </w:pPr>
        <w:r>
          <w:fldChar w:fldCharType="begin"/>
        </w:r>
        <w:r w:rsidR="00275EF0">
          <w:instrText>PAGE   \* MERGEFORMAT</w:instrText>
        </w:r>
        <w:r>
          <w:fldChar w:fldCharType="separate"/>
        </w:r>
        <w:r w:rsidR="008A4050" w:rsidRPr="008A4050">
          <w:rPr>
            <w:noProof/>
            <w:lang w:val="ru-RU"/>
          </w:rPr>
          <w:t>1</w:t>
        </w:r>
        <w:r>
          <w:fldChar w:fldCharType="end"/>
        </w:r>
      </w:p>
    </w:sdtContent>
  </w:sdt>
  <w:p w:rsidR="00275EF0" w:rsidRDefault="00275EF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C46" w:rsidRDefault="00477C46">
      <w:r>
        <w:rPr>
          <w:color w:val="000000"/>
        </w:rPr>
        <w:separator/>
      </w:r>
    </w:p>
  </w:footnote>
  <w:footnote w:type="continuationSeparator" w:id="0">
    <w:p w:rsidR="00477C46" w:rsidRDefault="00477C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961"/>
    <w:multiLevelType w:val="hybridMultilevel"/>
    <w:tmpl w:val="9F8C6C28"/>
    <w:lvl w:ilvl="0" w:tplc="F9EED6F8">
      <w:numFmt w:val="bullet"/>
      <w:lvlText w:val="-"/>
      <w:lvlJc w:val="left"/>
      <w:pPr>
        <w:ind w:left="1579" w:hanging="870"/>
      </w:pPr>
      <w:rPr>
        <w:rFonts w:ascii="Times New Roman" w:eastAsia="Andale Sans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930B8E"/>
    <w:multiLevelType w:val="hybridMultilevel"/>
    <w:tmpl w:val="16C044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A4421D"/>
    <w:multiLevelType w:val="hybridMultilevel"/>
    <w:tmpl w:val="378A399C"/>
    <w:lvl w:ilvl="0" w:tplc="F9EED6F8">
      <w:numFmt w:val="bullet"/>
      <w:lvlText w:val="-"/>
      <w:lvlJc w:val="left"/>
      <w:pPr>
        <w:ind w:left="2288" w:hanging="870"/>
      </w:pPr>
      <w:rPr>
        <w:rFonts w:ascii="Times New Roman" w:eastAsia="Andale Sans U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CA5083"/>
    <w:multiLevelType w:val="hybridMultilevel"/>
    <w:tmpl w:val="B1E672F2"/>
    <w:lvl w:ilvl="0" w:tplc="F9EED6F8">
      <w:numFmt w:val="bullet"/>
      <w:lvlText w:val="-"/>
      <w:lvlJc w:val="left"/>
      <w:pPr>
        <w:ind w:left="2288" w:hanging="870"/>
      </w:pPr>
      <w:rPr>
        <w:rFonts w:ascii="Times New Roman" w:eastAsia="Andale Sans U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AF8795B"/>
    <w:multiLevelType w:val="hybridMultilevel"/>
    <w:tmpl w:val="F2343D38"/>
    <w:lvl w:ilvl="0" w:tplc="F9EED6F8">
      <w:numFmt w:val="bullet"/>
      <w:lvlText w:val="-"/>
      <w:lvlJc w:val="left"/>
      <w:pPr>
        <w:ind w:left="2288" w:hanging="870"/>
      </w:pPr>
      <w:rPr>
        <w:rFonts w:ascii="Times New Roman" w:eastAsia="Andale Sans U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8397B94"/>
    <w:multiLevelType w:val="hybridMultilevel"/>
    <w:tmpl w:val="4EA8ECEC"/>
    <w:lvl w:ilvl="0" w:tplc="3C087F36">
      <w:start w:val="1"/>
      <w:numFmt w:val="bullet"/>
      <w:lvlText w:val=""/>
      <w:lvlJc w:val="left"/>
      <w:pPr>
        <w:ind w:left="2288" w:hanging="87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A1E76C1"/>
    <w:multiLevelType w:val="hybridMultilevel"/>
    <w:tmpl w:val="4EB00CEC"/>
    <w:lvl w:ilvl="0" w:tplc="3C087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01A1699"/>
    <w:multiLevelType w:val="hybridMultilevel"/>
    <w:tmpl w:val="676C04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3034749"/>
    <w:multiLevelType w:val="hybridMultilevel"/>
    <w:tmpl w:val="FF086B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D454216"/>
    <w:multiLevelType w:val="hybridMultilevel"/>
    <w:tmpl w:val="21E0E1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B746E37"/>
    <w:multiLevelType w:val="hybridMultilevel"/>
    <w:tmpl w:val="F61E8E76"/>
    <w:lvl w:ilvl="0" w:tplc="F9EED6F8">
      <w:numFmt w:val="bullet"/>
      <w:lvlText w:val="-"/>
      <w:lvlJc w:val="left"/>
      <w:pPr>
        <w:ind w:left="2288" w:hanging="870"/>
      </w:pPr>
      <w:rPr>
        <w:rFonts w:ascii="Times New Roman" w:eastAsia="Andale Sans U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9"/>
  </w:num>
  <w:num w:numId="3">
    <w:abstractNumId w:val="6"/>
  </w:num>
  <w:num w:numId="4">
    <w:abstractNumId w:val="1"/>
  </w:num>
  <w:num w:numId="5">
    <w:abstractNumId w:val="0"/>
  </w:num>
  <w:num w:numId="6">
    <w:abstractNumId w:val="4"/>
  </w:num>
  <w:num w:numId="7">
    <w:abstractNumId w:val="3"/>
  </w:num>
  <w:num w:numId="8">
    <w:abstractNumId w:val="10"/>
  </w:num>
  <w:num w:numId="9">
    <w:abstractNumId w:val="2"/>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autoHyphenation/>
  <w:characterSpacingControl w:val="doNotCompress"/>
  <w:footnotePr>
    <w:footnote w:id="-1"/>
    <w:footnote w:id="0"/>
  </w:footnotePr>
  <w:endnotePr>
    <w:endnote w:id="-1"/>
    <w:endnote w:id="0"/>
  </w:endnotePr>
  <w:compat/>
  <w:rsids>
    <w:rsidRoot w:val="00F97FED"/>
    <w:rsid w:val="001B73CA"/>
    <w:rsid w:val="00275EF0"/>
    <w:rsid w:val="00477C46"/>
    <w:rsid w:val="008203DC"/>
    <w:rsid w:val="008A4050"/>
    <w:rsid w:val="00EB20C8"/>
    <w:rsid w:val="00F97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B73CA"/>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B73CA"/>
    <w:pPr>
      <w:suppressAutoHyphens/>
    </w:pPr>
  </w:style>
  <w:style w:type="paragraph" w:customStyle="1" w:styleId="Heading">
    <w:name w:val="Heading"/>
    <w:basedOn w:val="Standard"/>
    <w:next w:val="Textbody"/>
    <w:rsid w:val="001B73CA"/>
    <w:pPr>
      <w:keepNext/>
      <w:spacing w:before="240" w:after="120"/>
    </w:pPr>
    <w:rPr>
      <w:rFonts w:ascii="Arial" w:hAnsi="Arial"/>
      <w:sz w:val="28"/>
      <w:szCs w:val="28"/>
    </w:rPr>
  </w:style>
  <w:style w:type="paragraph" w:customStyle="1" w:styleId="Textbody">
    <w:name w:val="Text body"/>
    <w:basedOn w:val="Standard"/>
    <w:rsid w:val="001B73CA"/>
    <w:pPr>
      <w:spacing w:after="120"/>
    </w:pPr>
  </w:style>
  <w:style w:type="paragraph" w:styleId="a3">
    <w:name w:val="List"/>
    <w:basedOn w:val="Textbody"/>
    <w:rsid w:val="001B73CA"/>
  </w:style>
  <w:style w:type="paragraph" w:styleId="a4">
    <w:name w:val="caption"/>
    <w:basedOn w:val="Standard"/>
    <w:rsid w:val="001B73CA"/>
    <w:pPr>
      <w:suppressLineNumbers/>
      <w:spacing w:before="120" w:after="120"/>
    </w:pPr>
    <w:rPr>
      <w:i/>
      <w:iCs/>
    </w:rPr>
  </w:style>
  <w:style w:type="paragraph" w:customStyle="1" w:styleId="Index">
    <w:name w:val="Index"/>
    <w:basedOn w:val="Standard"/>
    <w:rsid w:val="001B73CA"/>
    <w:pPr>
      <w:suppressLineNumbers/>
    </w:pPr>
  </w:style>
  <w:style w:type="character" w:styleId="a5">
    <w:name w:val="Hyperlink"/>
    <w:basedOn w:val="a0"/>
    <w:rsid w:val="001B73CA"/>
    <w:rPr>
      <w:color w:val="0563C1"/>
      <w:u w:val="single"/>
    </w:rPr>
  </w:style>
  <w:style w:type="character" w:customStyle="1" w:styleId="Internetlink">
    <w:name w:val="Internet link"/>
    <w:rsid w:val="001B73CA"/>
    <w:rPr>
      <w:color w:val="000080"/>
      <w:u w:val="single"/>
    </w:rPr>
  </w:style>
  <w:style w:type="paragraph" w:styleId="a6">
    <w:name w:val="header"/>
    <w:basedOn w:val="a"/>
    <w:link w:val="a7"/>
    <w:uiPriority w:val="99"/>
    <w:unhideWhenUsed/>
    <w:rsid w:val="00275EF0"/>
    <w:pPr>
      <w:tabs>
        <w:tab w:val="center" w:pos="4677"/>
        <w:tab w:val="right" w:pos="9355"/>
      </w:tabs>
    </w:pPr>
  </w:style>
  <w:style w:type="character" w:customStyle="1" w:styleId="a7">
    <w:name w:val="Верхний колонтитул Знак"/>
    <w:basedOn w:val="a0"/>
    <w:link w:val="a6"/>
    <w:uiPriority w:val="99"/>
    <w:rsid w:val="00275EF0"/>
  </w:style>
  <w:style w:type="paragraph" w:styleId="a8">
    <w:name w:val="footer"/>
    <w:basedOn w:val="a"/>
    <w:link w:val="a9"/>
    <w:uiPriority w:val="99"/>
    <w:unhideWhenUsed/>
    <w:rsid w:val="00275EF0"/>
    <w:pPr>
      <w:tabs>
        <w:tab w:val="center" w:pos="4677"/>
        <w:tab w:val="right" w:pos="9355"/>
      </w:tabs>
    </w:pPr>
  </w:style>
  <w:style w:type="character" w:customStyle="1" w:styleId="a9">
    <w:name w:val="Нижний колонтитул Знак"/>
    <w:basedOn w:val="a0"/>
    <w:link w:val="a8"/>
    <w:uiPriority w:val="99"/>
    <w:rsid w:val="00275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a5">
    <w:name w:val="Hyperlink"/>
    <w:basedOn w:val="a0"/>
    <w:rPr>
      <w:color w:val="0563C1"/>
      <w:u w:val="single"/>
    </w:rPr>
  </w:style>
  <w:style w:type="character" w:customStyle="1" w:styleId="Internetlink">
    <w:name w:val="Internet link"/>
    <w:rPr>
      <w:color w:val="000080"/>
      <w:u w:val="single"/>
    </w:rPr>
  </w:style>
  <w:style w:type="paragraph" w:styleId="a6">
    <w:name w:val="header"/>
    <w:basedOn w:val="a"/>
    <w:link w:val="a7"/>
    <w:uiPriority w:val="99"/>
    <w:unhideWhenUsed/>
    <w:rsid w:val="00275EF0"/>
    <w:pPr>
      <w:tabs>
        <w:tab w:val="center" w:pos="4677"/>
        <w:tab w:val="right" w:pos="9355"/>
      </w:tabs>
    </w:pPr>
  </w:style>
  <w:style w:type="character" w:customStyle="1" w:styleId="a7">
    <w:name w:val="Верхний колонтитул Знак"/>
    <w:basedOn w:val="a0"/>
    <w:link w:val="a6"/>
    <w:uiPriority w:val="99"/>
    <w:rsid w:val="00275EF0"/>
  </w:style>
  <w:style w:type="paragraph" w:styleId="a8">
    <w:name w:val="footer"/>
    <w:basedOn w:val="a"/>
    <w:link w:val="a9"/>
    <w:uiPriority w:val="99"/>
    <w:unhideWhenUsed/>
    <w:rsid w:val="00275EF0"/>
    <w:pPr>
      <w:tabs>
        <w:tab w:val="center" w:pos="4677"/>
        <w:tab w:val="right" w:pos="9355"/>
      </w:tabs>
    </w:pPr>
  </w:style>
  <w:style w:type="character" w:customStyle="1" w:styleId="a9">
    <w:name w:val="Нижний колонтитул Знак"/>
    <w:basedOn w:val="a0"/>
    <w:link w:val="a8"/>
    <w:uiPriority w:val="99"/>
    <w:rsid w:val="00275EF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2184</Words>
  <Characters>12451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2009-04-16T11:32:00Z</dcterms:created>
  <dcterms:modified xsi:type="dcterms:W3CDTF">2019-11-30T16:49:00Z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