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568" w:rsidRDefault="00C75C0D">
      <w:pPr>
        <w:pStyle w:val="normal"/>
        <w:ind w:right="-150" w:hanging="1020"/>
        <w:jc w:val="center"/>
      </w:pPr>
      <w:r>
        <w:rPr>
          <w:b/>
          <w:sz w:val="36"/>
          <w:szCs w:val="36"/>
          <w:lang w:val="en-US"/>
        </w:rPr>
        <w:t>LLC</w:t>
      </w:r>
      <w:r w:rsidR="00D74D70">
        <w:rPr>
          <w:b/>
          <w:sz w:val="36"/>
          <w:szCs w:val="36"/>
        </w:rPr>
        <w:t xml:space="preserve"> « </w:t>
      </w:r>
      <w:proofErr w:type="spellStart"/>
      <w:r>
        <w:rPr>
          <w:b/>
          <w:sz w:val="36"/>
          <w:szCs w:val="36"/>
          <w:lang w:val="en-US"/>
        </w:rPr>
        <w:t>Dominanta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Ukraina</w:t>
      </w:r>
      <w:proofErr w:type="spellEnd"/>
      <w:r w:rsidR="00D74D70">
        <w:rPr>
          <w:b/>
          <w:sz w:val="36"/>
          <w:szCs w:val="36"/>
        </w:rPr>
        <w:t xml:space="preserve"> »</w:t>
      </w:r>
    </w:p>
    <w:p w:rsidR="00535568" w:rsidRPr="00C75C0D" w:rsidRDefault="00D74D70">
      <w:pPr>
        <w:pStyle w:val="normal"/>
        <w:jc w:val="center"/>
        <w:rPr>
          <w:lang w:val="en-US"/>
        </w:rPr>
      </w:pPr>
      <w:r w:rsidRPr="00C75C0D">
        <w:rPr>
          <w:b/>
          <w:sz w:val="24"/>
          <w:szCs w:val="24"/>
          <w:lang w:val="en-US"/>
        </w:rPr>
        <w:t xml:space="preserve">23224, </w:t>
      </w:r>
      <w:r w:rsidR="00C75C0D">
        <w:rPr>
          <w:b/>
          <w:sz w:val="24"/>
          <w:szCs w:val="24"/>
          <w:lang w:val="en-US"/>
        </w:rPr>
        <w:t>Ukraine</w:t>
      </w:r>
      <w:r w:rsidRPr="00C75C0D">
        <w:rPr>
          <w:b/>
          <w:sz w:val="24"/>
          <w:szCs w:val="24"/>
          <w:lang w:val="en-US"/>
        </w:rPr>
        <w:t xml:space="preserve">, </w:t>
      </w:r>
      <w:proofErr w:type="spellStart"/>
      <w:r w:rsidR="00C75C0D">
        <w:rPr>
          <w:b/>
          <w:sz w:val="24"/>
          <w:szCs w:val="24"/>
          <w:lang w:val="en-US"/>
        </w:rPr>
        <w:t>Vinnitsya</w:t>
      </w:r>
      <w:proofErr w:type="spellEnd"/>
      <w:r w:rsidR="00C75C0D" w:rsidRPr="00C75C0D">
        <w:rPr>
          <w:b/>
          <w:sz w:val="24"/>
          <w:szCs w:val="24"/>
          <w:lang w:val="en-US"/>
        </w:rPr>
        <w:t xml:space="preserve"> </w:t>
      </w:r>
      <w:r w:rsidR="00C75C0D">
        <w:rPr>
          <w:b/>
          <w:sz w:val="24"/>
          <w:szCs w:val="24"/>
          <w:lang w:val="en-US"/>
        </w:rPr>
        <w:t>region</w:t>
      </w:r>
      <w:r w:rsidRPr="00C75C0D">
        <w:rPr>
          <w:b/>
          <w:sz w:val="24"/>
          <w:szCs w:val="24"/>
          <w:lang w:val="en-US"/>
        </w:rPr>
        <w:t xml:space="preserve">, </w:t>
      </w:r>
      <w:proofErr w:type="spellStart"/>
      <w:r w:rsidR="00C75C0D">
        <w:rPr>
          <w:b/>
          <w:sz w:val="24"/>
          <w:szCs w:val="24"/>
          <w:lang w:val="en-US"/>
        </w:rPr>
        <w:t>Vinnitsya</w:t>
      </w:r>
      <w:proofErr w:type="spellEnd"/>
      <w:r w:rsidR="00C75C0D">
        <w:rPr>
          <w:b/>
          <w:sz w:val="24"/>
          <w:szCs w:val="24"/>
          <w:lang w:val="en-US"/>
        </w:rPr>
        <w:t xml:space="preserve"> district</w:t>
      </w:r>
      <w:r w:rsidRPr="00C75C0D">
        <w:rPr>
          <w:b/>
          <w:sz w:val="24"/>
          <w:szCs w:val="24"/>
          <w:lang w:val="en-US"/>
        </w:rPr>
        <w:t xml:space="preserve">, </w:t>
      </w:r>
    </w:p>
    <w:p w:rsidR="00535568" w:rsidRPr="00EF0833" w:rsidRDefault="00C75C0D">
      <w:pPr>
        <w:pStyle w:val="normal"/>
        <w:jc w:val="center"/>
        <w:rPr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Sloboda-Dashkovetska</w:t>
      </w:r>
      <w:proofErr w:type="spellEnd"/>
      <w:r w:rsidR="00312E3D" w:rsidRPr="00312E3D">
        <w:rPr>
          <w:b/>
          <w:sz w:val="24"/>
          <w:szCs w:val="24"/>
          <w:lang w:val="en-US"/>
        </w:rPr>
        <w:t xml:space="preserve"> </w:t>
      </w:r>
      <w:r w:rsidR="00312E3D">
        <w:rPr>
          <w:b/>
          <w:sz w:val="24"/>
          <w:szCs w:val="24"/>
          <w:lang w:val="en-US"/>
        </w:rPr>
        <w:t>Village</w:t>
      </w:r>
      <w:r w:rsidR="00D74D70" w:rsidRPr="00EF0833">
        <w:rPr>
          <w:b/>
          <w:sz w:val="24"/>
          <w:szCs w:val="24"/>
          <w:lang w:val="en-US"/>
        </w:rPr>
        <w:t xml:space="preserve">, </w:t>
      </w:r>
      <w:r w:rsidR="00457CE3" w:rsidRPr="00EF0833">
        <w:rPr>
          <w:b/>
          <w:sz w:val="24"/>
          <w:szCs w:val="24"/>
          <w:lang w:val="en-US"/>
        </w:rPr>
        <w:t>6</w:t>
      </w:r>
      <w:r w:rsidR="00457CE3">
        <w:rPr>
          <w:b/>
          <w:sz w:val="24"/>
          <w:szCs w:val="24"/>
          <w:lang w:val="en-US"/>
        </w:rPr>
        <w:t xml:space="preserve">B </w:t>
      </w:r>
      <w:proofErr w:type="spellStart"/>
      <w:r w:rsidR="00EF0833">
        <w:rPr>
          <w:b/>
          <w:sz w:val="24"/>
          <w:szCs w:val="24"/>
          <w:lang w:val="en-US"/>
        </w:rPr>
        <w:t>Kolgospna</w:t>
      </w:r>
      <w:proofErr w:type="spellEnd"/>
      <w:r w:rsidR="00EF0833">
        <w:rPr>
          <w:b/>
          <w:sz w:val="24"/>
          <w:szCs w:val="24"/>
          <w:lang w:val="en-US"/>
        </w:rPr>
        <w:t xml:space="preserve"> St</w:t>
      </w:r>
      <w:r w:rsidR="00457CE3">
        <w:rPr>
          <w:b/>
          <w:sz w:val="24"/>
          <w:szCs w:val="24"/>
          <w:lang w:val="en-US"/>
        </w:rPr>
        <w:t>r.</w:t>
      </w:r>
      <w:r w:rsidR="00D74D70" w:rsidRPr="00EF0833">
        <w:rPr>
          <w:b/>
          <w:sz w:val="24"/>
          <w:szCs w:val="24"/>
          <w:lang w:val="en-US"/>
        </w:rPr>
        <w:t>,</w:t>
      </w:r>
      <w:proofErr w:type="gramEnd"/>
      <w:r w:rsidR="00D74D70" w:rsidRPr="00EF0833">
        <w:rPr>
          <w:b/>
          <w:sz w:val="24"/>
          <w:szCs w:val="24"/>
          <w:lang w:val="en-US"/>
        </w:rPr>
        <w:t xml:space="preserve"> </w:t>
      </w:r>
    </w:p>
    <w:p w:rsidR="00535568" w:rsidRPr="00312E3D" w:rsidRDefault="00D74D70">
      <w:pPr>
        <w:pStyle w:val="normal"/>
        <w:jc w:val="center"/>
        <w:rPr>
          <w:lang w:val="de-DE"/>
        </w:rPr>
      </w:pPr>
      <w:r w:rsidRPr="00EF0833">
        <w:rPr>
          <w:b/>
          <w:sz w:val="24"/>
          <w:szCs w:val="24"/>
          <w:lang w:val="en-US"/>
        </w:rPr>
        <w:t xml:space="preserve"> </w:t>
      </w:r>
      <w:hyperlink r:id="rId5">
        <w:r w:rsidRPr="00312E3D">
          <w:rPr>
            <w:b/>
            <w:sz w:val="24"/>
            <w:szCs w:val="24"/>
            <w:u w:val="single"/>
            <w:lang w:val="de-DE"/>
          </w:rPr>
          <w:t>http://dominanta-ukr.com</w:t>
        </w:r>
      </w:hyperlink>
      <w:r w:rsidRPr="00312E3D">
        <w:rPr>
          <w:b/>
          <w:sz w:val="24"/>
          <w:szCs w:val="24"/>
          <w:highlight w:val="white"/>
          <w:lang w:val="de-DE"/>
        </w:rPr>
        <w:t xml:space="preserve"> , e-</w:t>
      </w:r>
      <w:proofErr w:type="spellStart"/>
      <w:r w:rsidRPr="00312E3D">
        <w:rPr>
          <w:b/>
          <w:sz w:val="24"/>
          <w:szCs w:val="24"/>
          <w:highlight w:val="white"/>
          <w:lang w:val="de-DE"/>
        </w:rPr>
        <w:t>mail</w:t>
      </w:r>
      <w:proofErr w:type="spellEnd"/>
      <w:r w:rsidRPr="00312E3D">
        <w:rPr>
          <w:b/>
          <w:sz w:val="24"/>
          <w:szCs w:val="24"/>
          <w:highlight w:val="white"/>
          <w:lang w:val="de-DE"/>
        </w:rPr>
        <w:t xml:space="preserve">: </w:t>
      </w:r>
      <w:hyperlink r:id="rId6">
        <w:r w:rsidRPr="00312E3D">
          <w:rPr>
            <w:b/>
            <w:color w:val="1155CC"/>
            <w:sz w:val="24"/>
            <w:szCs w:val="24"/>
            <w:highlight w:val="white"/>
            <w:u w:val="single"/>
            <w:lang w:val="de-DE"/>
          </w:rPr>
          <w:t>babush.ed@ukr.net</w:t>
        </w:r>
      </w:hyperlink>
    </w:p>
    <w:p w:rsidR="00535568" w:rsidRPr="00EF0833" w:rsidRDefault="00EF0833">
      <w:pPr>
        <w:pStyle w:val="normal"/>
        <w:jc w:val="center"/>
        <w:rPr>
          <w:lang w:val="en-US"/>
        </w:rPr>
      </w:pPr>
      <w:proofErr w:type="gramStart"/>
      <w:r>
        <w:rPr>
          <w:b/>
          <w:sz w:val="24"/>
          <w:szCs w:val="24"/>
          <w:highlight w:val="white"/>
          <w:lang w:val="en-US"/>
        </w:rPr>
        <w:t>phone</w:t>
      </w:r>
      <w:proofErr w:type="gramEnd"/>
      <w:r>
        <w:rPr>
          <w:b/>
          <w:sz w:val="24"/>
          <w:szCs w:val="24"/>
          <w:highlight w:val="white"/>
          <w:lang w:val="en-US"/>
        </w:rPr>
        <w:t xml:space="preserve"> number</w:t>
      </w:r>
      <w:r w:rsidRPr="00EF0833">
        <w:rPr>
          <w:b/>
          <w:sz w:val="24"/>
          <w:szCs w:val="24"/>
          <w:highlight w:val="white"/>
          <w:lang w:val="en-US"/>
        </w:rPr>
        <w:t>/</w:t>
      </w:r>
      <w:r>
        <w:rPr>
          <w:b/>
          <w:sz w:val="24"/>
          <w:szCs w:val="24"/>
          <w:highlight w:val="white"/>
          <w:lang w:val="en-US"/>
        </w:rPr>
        <w:t>fax</w:t>
      </w:r>
      <w:r w:rsidR="00D74D70" w:rsidRPr="00EF0833">
        <w:rPr>
          <w:b/>
          <w:sz w:val="24"/>
          <w:szCs w:val="24"/>
          <w:highlight w:val="white"/>
          <w:lang w:val="en-US"/>
        </w:rPr>
        <w:t xml:space="preserve"> +38(0432)505-180 ; </w:t>
      </w:r>
      <w:r>
        <w:rPr>
          <w:b/>
          <w:sz w:val="24"/>
          <w:szCs w:val="24"/>
          <w:highlight w:val="white"/>
          <w:lang w:val="en-US"/>
        </w:rPr>
        <w:t>business phone</w:t>
      </w:r>
      <w:r w:rsidR="00457CE3">
        <w:rPr>
          <w:b/>
          <w:sz w:val="24"/>
          <w:szCs w:val="24"/>
          <w:highlight w:val="white"/>
          <w:lang w:val="en-US"/>
        </w:rPr>
        <w:t xml:space="preserve"> number</w:t>
      </w:r>
      <w:r w:rsidR="00D74D70" w:rsidRPr="00EF0833">
        <w:rPr>
          <w:b/>
          <w:sz w:val="24"/>
          <w:szCs w:val="24"/>
          <w:highlight w:val="white"/>
          <w:lang w:val="en-US"/>
        </w:rPr>
        <w:t xml:space="preserve"> +38 (050) 313 46 78;</w:t>
      </w:r>
    </w:p>
    <w:p w:rsidR="00535568" w:rsidRPr="00EF0833" w:rsidRDefault="00D74D70">
      <w:pPr>
        <w:pStyle w:val="normal"/>
        <w:jc w:val="center"/>
        <w:rPr>
          <w:lang w:val="en-US"/>
        </w:rPr>
      </w:pPr>
      <w:r w:rsidRPr="00EF0833">
        <w:rPr>
          <w:b/>
          <w:sz w:val="24"/>
          <w:szCs w:val="24"/>
          <w:highlight w:val="white"/>
          <w:lang w:val="en-US"/>
        </w:rPr>
        <w:t xml:space="preserve"> +38 (067) 444 01 65  </w:t>
      </w:r>
    </w:p>
    <w:p w:rsidR="00535568" w:rsidRPr="00EF0833" w:rsidRDefault="00535568">
      <w:pPr>
        <w:pStyle w:val="normal"/>
        <w:jc w:val="center"/>
        <w:rPr>
          <w:lang w:val="en-US"/>
        </w:rPr>
      </w:pPr>
    </w:p>
    <w:p w:rsidR="00535568" w:rsidRPr="00EF0833" w:rsidRDefault="00EF0833">
      <w:pPr>
        <w:pStyle w:val="normal"/>
        <w:jc w:val="center"/>
        <w:rPr>
          <w:lang w:val="en-US"/>
        </w:rPr>
      </w:pPr>
      <w:r>
        <w:rPr>
          <w:b/>
          <w:color w:val="FF0000"/>
          <w:sz w:val="28"/>
          <w:szCs w:val="28"/>
          <w:highlight w:val="white"/>
          <w:lang w:val="en-US"/>
        </w:rPr>
        <w:t>Boluses</w:t>
      </w:r>
      <w:r w:rsidR="00D74D70" w:rsidRPr="00EF0833">
        <w:rPr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b/>
          <w:color w:val="FF0000"/>
          <w:sz w:val="28"/>
          <w:szCs w:val="28"/>
          <w:highlight w:val="white"/>
          <w:lang w:val="en-US"/>
        </w:rPr>
        <w:t>for</w:t>
      </w:r>
      <w:r w:rsidR="00D74D70" w:rsidRPr="00EF0833">
        <w:rPr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cattle</w:t>
      </w:r>
    </w:p>
    <w:p w:rsidR="00535568" w:rsidRPr="00EF0833" w:rsidRDefault="00535568">
      <w:pPr>
        <w:pStyle w:val="normal"/>
        <w:jc w:val="center"/>
        <w:rPr>
          <w:lang w:val="en-US"/>
        </w:rPr>
      </w:pPr>
    </w:p>
    <w:p w:rsidR="00535568" w:rsidRPr="00EF0833" w:rsidRDefault="00056578">
      <w:pPr>
        <w:pStyle w:val="normal"/>
        <w:rPr>
          <w:lang w:val="en-US"/>
        </w:rPr>
      </w:pPr>
      <w:r>
        <w:rPr>
          <w:b/>
          <w:lang w:val="en-US"/>
        </w:rPr>
        <w:t>Vitamin</w:t>
      </w:r>
      <w:r w:rsidR="00312E3D" w:rsidRPr="00312E3D">
        <w:rPr>
          <w:b/>
          <w:lang w:val="en-US"/>
        </w:rPr>
        <w:t xml:space="preserve"> </w:t>
      </w:r>
      <w:r w:rsidR="00312E3D">
        <w:rPr>
          <w:b/>
          <w:lang w:val="en-US"/>
        </w:rPr>
        <w:t xml:space="preserve">and </w:t>
      </w:r>
      <w:r w:rsidR="00EF0833">
        <w:rPr>
          <w:b/>
          <w:lang w:val="en-US"/>
        </w:rPr>
        <w:t>mineral</w:t>
      </w:r>
      <w:r w:rsidR="00D74D70" w:rsidRPr="00EF0833">
        <w:rPr>
          <w:b/>
          <w:lang w:val="en-US"/>
        </w:rPr>
        <w:t xml:space="preserve"> </w:t>
      </w:r>
      <w:r w:rsidR="00EF0833">
        <w:rPr>
          <w:b/>
          <w:lang w:val="en-US"/>
        </w:rPr>
        <w:t>boluses</w:t>
      </w:r>
      <w:r w:rsidR="00D74D70" w:rsidRPr="00EF0833">
        <w:rPr>
          <w:b/>
          <w:lang w:val="en-US"/>
        </w:rPr>
        <w:t xml:space="preserve"> </w:t>
      </w:r>
      <w:r w:rsidR="00457CE3">
        <w:rPr>
          <w:b/>
          <w:lang w:val="en-US"/>
        </w:rPr>
        <w:t>offer</w:t>
      </w:r>
      <w:r w:rsidR="00D74D70" w:rsidRPr="00EF0833">
        <w:rPr>
          <w:b/>
          <w:lang w:val="en-US"/>
        </w:rPr>
        <w:t>:</w:t>
      </w:r>
    </w:p>
    <w:p w:rsidR="00535568" w:rsidRPr="00EF0833" w:rsidRDefault="00457CE3">
      <w:pPr>
        <w:pStyle w:val="normal"/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A p</w:t>
      </w:r>
      <w:r w:rsidR="00EF0833">
        <w:rPr>
          <w:lang w:val="en-US"/>
        </w:rPr>
        <w:t xml:space="preserve">hysiological method of </w:t>
      </w:r>
      <w:r w:rsidR="00725159">
        <w:rPr>
          <w:lang w:val="en-US"/>
        </w:rPr>
        <w:t xml:space="preserve">supplying </w:t>
      </w:r>
      <w:r w:rsidR="00EF0833">
        <w:rPr>
          <w:lang w:val="en-US"/>
        </w:rPr>
        <w:t>microelements and vitamins through the digestive system</w:t>
      </w:r>
      <w:r w:rsidR="00D74D70" w:rsidRPr="00EF0833">
        <w:rPr>
          <w:lang w:val="en-US"/>
        </w:rPr>
        <w:t>;</w:t>
      </w:r>
    </w:p>
    <w:p w:rsidR="00535568" w:rsidRPr="00725159" w:rsidRDefault="00725159">
      <w:pPr>
        <w:pStyle w:val="normal"/>
        <w:numPr>
          <w:ilvl w:val="0"/>
          <w:numId w:val="1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Long-term effect of prolonged boluses’ resolution</w:t>
      </w:r>
      <w:r w:rsidR="00D74D70" w:rsidRPr="00725159">
        <w:rPr>
          <w:lang w:val="en-US"/>
        </w:rPr>
        <w:t xml:space="preserve">: </w:t>
      </w:r>
      <w:r>
        <w:rPr>
          <w:lang w:val="en-US"/>
        </w:rPr>
        <w:t>from</w:t>
      </w:r>
      <w:r w:rsidR="00312E3D">
        <w:rPr>
          <w:lang w:val="en-US"/>
        </w:rPr>
        <w:t xml:space="preserve"> 4 till</w:t>
      </w:r>
      <w:r w:rsidR="00D74D70" w:rsidRPr="00725159">
        <w:rPr>
          <w:lang w:val="en-US"/>
        </w:rPr>
        <w:t xml:space="preserve"> 8 </w:t>
      </w:r>
      <w:r>
        <w:rPr>
          <w:lang w:val="en-US"/>
        </w:rPr>
        <w:t>months</w:t>
      </w:r>
      <w:r w:rsidR="00D74D70" w:rsidRPr="00725159">
        <w:rPr>
          <w:lang w:val="en-US"/>
        </w:rPr>
        <w:t>;</w:t>
      </w:r>
    </w:p>
    <w:p w:rsidR="00535568" w:rsidRPr="00725159" w:rsidRDefault="00725159">
      <w:pPr>
        <w:pStyle w:val="normal"/>
        <w:numPr>
          <w:ilvl w:val="0"/>
          <w:numId w:val="1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Daily</w:t>
      </w:r>
      <w:r w:rsidR="00D74D70" w:rsidRPr="00725159">
        <w:rPr>
          <w:lang w:val="en-US"/>
        </w:rPr>
        <w:t xml:space="preserve">, </w:t>
      </w:r>
      <w:r>
        <w:rPr>
          <w:lang w:val="en-US"/>
        </w:rPr>
        <w:t>regular and moderate release of microelements and vitamins</w:t>
      </w:r>
      <w:r w:rsidR="00D74D70" w:rsidRPr="00725159">
        <w:rPr>
          <w:lang w:val="en-US"/>
        </w:rPr>
        <w:t xml:space="preserve">, </w:t>
      </w:r>
      <w:r>
        <w:rPr>
          <w:lang w:val="en-US"/>
        </w:rPr>
        <w:t>regardless of cattle’s appetite</w:t>
      </w:r>
      <w:r w:rsidR="00D74D70" w:rsidRPr="00725159">
        <w:rPr>
          <w:lang w:val="en-US"/>
        </w:rPr>
        <w:t xml:space="preserve">, </w:t>
      </w:r>
      <w:r>
        <w:rPr>
          <w:lang w:val="en-US"/>
        </w:rPr>
        <w:t xml:space="preserve">food mixture quality </w:t>
      </w:r>
      <w:r w:rsidR="00D74D70" w:rsidRPr="00725159">
        <w:rPr>
          <w:lang w:val="en-US"/>
        </w:rPr>
        <w:t xml:space="preserve">, </w:t>
      </w:r>
      <w:r>
        <w:rPr>
          <w:lang w:val="en-US"/>
        </w:rPr>
        <w:t>weather</w:t>
      </w:r>
      <w:r w:rsidR="00D74D70" w:rsidRPr="00725159">
        <w:rPr>
          <w:lang w:val="en-US"/>
        </w:rPr>
        <w:t xml:space="preserve"> </w:t>
      </w:r>
      <w:r>
        <w:rPr>
          <w:lang w:val="en-US"/>
        </w:rPr>
        <w:t>and other</w:t>
      </w:r>
      <w:r w:rsidR="00D74D70" w:rsidRPr="00725159">
        <w:rPr>
          <w:lang w:val="en-US"/>
        </w:rPr>
        <w:t xml:space="preserve"> </w:t>
      </w:r>
      <w:r>
        <w:rPr>
          <w:lang w:val="en-US"/>
        </w:rPr>
        <w:t>external factors</w:t>
      </w:r>
      <w:r w:rsidR="00D74D70" w:rsidRPr="00725159">
        <w:rPr>
          <w:lang w:val="en-US"/>
        </w:rPr>
        <w:t>;</w:t>
      </w:r>
    </w:p>
    <w:p w:rsidR="00535568" w:rsidRPr="001F18F7" w:rsidRDefault="001F18F7">
      <w:pPr>
        <w:pStyle w:val="normal"/>
        <w:numPr>
          <w:ilvl w:val="0"/>
          <w:numId w:val="1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 xml:space="preserve">Maximal </w:t>
      </w:r>
      <w:r w:rsidR="00457CE3">
        <w:rPr>
          <w:lang w:val="en-US"/>
        </w:rPr>
        <w:t>digestion</w:t>
      </w:r>
      <w:r>
        <w:rPr>
          <w:lang w:val="en-US"/>
        </w:rPr>
        <w:t xml:space="preserve"> of vitamins and microelements</w:t>
      </w:r>
      <w:r w:rsidR="00D74D70" w:rsidRPr="001F18F7">
        <w:rPr>
          <w:lang w:val="en-US"/>
        </w:rPr>
        <w:t xml:space="preserve"> </w:t>
      </w:r>
      <w:r>
        <w:rPr>
          <w:lang w:val="en-US"/>
        </w:rPr>
        <w:t>as boluses are located in a net which</w:t>
      </w:r>
      <w:r w:rsidR="00D74D70" w:rsidRPr="001F18F7">
        <w:rPr>
          <w:lang w:val="en-US"/>
        </w:rPr>
        <w:t xml:space="preserve"> </w:t>
      </w:r>
      <w:r>
        <w:rPr>
          <w:lang w:val="en-US"/>
        </w:rPr>
        <w:t xml:space="preserve">enables </w:t>
      </w:r>
      <w:r w:rsidR="00D74D70" w:rsidRPr="001F18F7">
        <w:rPr>
          <w:lang w:val="en-US"/>
        </w:rPr>
        <w:t xml:space="preserve">100% </w:t>
      </w:r>
      <w:r>
        <w:rPr>
          <w:lang w:val="en-US"/>
        </w:rPr>
        <w:t xml:space="preserve">components </w:t>
      </w:r>
      <w:r w:rsidR="00457CE3">
        <w:rPr>
          <w:lang w:val="en-US"/>
        </w:rPr>
        <w:t>direct absorption</w:t>
      </w:r>
      <w:r>
        <w:rPr>
          <w:lang w:val="en-US"/>
        </w:rPr>
        <w:t xml:space="preserve"> </w:t>
      </w:r>
      <w:r w:rsidR="00457CE3">
        <w:rPr>
          <w:lang w:val="en-US"/>
        </w:rPr>
        <w:t>into the blood in a natural way.</w:t>
      </w:r>
    </w:p>
    <w:p w:rsidR="00535568" w:rsidRPr="001F18F7" w:rsidRDefault="00535568">
      <w:pPr>
        <w:pStyle w:val="normal"/>
        <w:jc w:val="both"/>
        <w:rPr>
          <w:lang w:val="en-US"/>
        </w:rPr>
      </w:pPr>
    </w:p>
    <w:tbl>
      <w:tblPr>
        <w:tblStyle w:val="a5"/>
        <w:tblW w:w="10500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00"/>
        <w:gridCol w:w="1470"/>
        <w:gridCol w:w="1875"/>
        <w:gridCol w:w="1800"/>
        <w:gridCol w:w="1680"/>
        <w:gridCol w:w="1575"/>
      </w:tblGrid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A44461" w:rsidRDefault="00A44461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Index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A44461" w:rsidRDefault="00A44461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Unit of measure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99333B">
            <w:pPr>
              <w:pStyle w:val="normal"/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en-US"/>
              </w:rPr>
              <w:t>Calcium bolus</w:t>
            </w:r>
            <w:r>
              <w:rPr>
                <w:b/>
                <w:sz w:val="20"/>
                <w:szCs w:val="20"/>
              </w:rPr>
              <w:t xml:space="preserve"> (15 </w:t>
            </w:r>
            <w:r>
              <w:rPr>
                <w:b/>
                <w:sz w:val="20"/>
                <w:szCs w:val="20"/>
                <w:lang w:val="en-US"/>
              </w:rPr>
              <w:t>min</w:t>
            </w:r>
            <w:r w:rsidR="00D74D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99333B">
            <w:pPr>
              <w:pStyle w:val="normal"/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en-US"/>
              </w:rPr>
              <w:t>Energy bolus</w:t>
            </w:r>
            <w:r>
              <w:rPr>
                <w:b/>
                <w:sz w:val="20"/>
                <w:szCs w:val="20"/>
              </w:rPr>
              <w:t xml:space="preserve"> (24 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 w:rsidR="00D74D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99333B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Pregnan</w:t>
            </w:r>
            <w:r w:rsidR="00F3204E">
              <w:rPr>
                <w:b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bolus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>
              <w:rPr>
                <w:b/>
                <w:sz w:val="20"/>
                <w:szCs w:val="20"/>
              </w:rPr>
              <w:t xml:space="preserve"> 120 </w:t>
            </w:r>
            <w:r>
              <w:rPr>
                <w:b/>
                <w:sz w:val="20"/>
                <w:szCs w:val="20"/>
                <w:lang w:val="en-US"/>
              </w:rPr>
              <w:t>days</w:t>
            </w:r>
            <w:r w:rsidR="00D74D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99333B">
            <w:pPr>
              <w:pStyle w:val="normal"/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en-US"/>
              </w:rPr>
              <w:t>Lacto bolus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="00D74D70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 xml:space="preserve">40 </w:t>
            </w:r>
            <w:r>
              <w:rPr>
                <w:b/>
                <w:sz w:val="20"/>
                <w:szCs w:val="20"/>
                <w:lang w:val="en-US"/>
              </w:rPr>
              <w:t>days</w:t>
            </w:r>
            <w:r w:rsidR="00D74D70">
              <w:rPr>
                <w:b/>
                <w:sz w:val="20"/>
                <w:szCs w:val="20"/>
              </w:rPr>
              <w:t>)</w:t>
            </w:r>
          </w:p>
        </w:tc>
      </w:tr>
      <w:tr w:rsidR="00535568">
        <w:trPr>
          <w:trHeight w:val="420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A44461" w:rsidRDefault="00A44461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Price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A44461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hryvnia</w:t>
            </w:r>
            <w:proofErr w:type="spellEnd"/>
            <w:r w:rsidR="00D74D70">
              <w:rPr>
                <w:b/>
                <w:color w:val="FF0000"/>
                <w:sz w:val="24"/>
                <w:szCs w:val="24"/>
              </w:rPr>
              <w:t xml:space="preserve"> / </w:t>
            </w:r>
            <w:r w:rsidR="0099333B">
              <w:rPr>
                <w:b/>
                <w:color w:val="FF0000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125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145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190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210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Calcium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Phosphorus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Magnesium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Propane (propionate)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Monosaccharide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99333B" w:rsidRDefault="0099333B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Vitamin A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IU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565000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550000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Vitamin</w:t>
            </w:r>
            <w:r w:rsidRPr="002317D9">
              <w:t xml:space="preserve"> D3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IU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115000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110000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Vitamin 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Copper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Cobalt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Selenium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2317D9" w:rsidRDefault="00312E3D" w:rsidP="002317D9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</w:t>
            </w:r>
            <w:r w:rsidR="002317D9">
              <w:rPr>
                <w:sz w:val="20"/>
                <w:szCs w:val="20"/>
                <w:lang w:val="en-US"/>
              </w:rPr>
              <w:t>ganese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9200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9000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Zink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15400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14000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Iodine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</w:tr>
      <w:tr w:rsidR="00535568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Niacin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Pr="00323EB4" w:rsidRDefault="00323EB4">
            <w:pPr>
              <w:pStyle w:val="normal"/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568" w:rsidRDefault="00D74D70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5568" w:rsidRDefault="00535568">
      <w:pPr>
        <w:pStyle w:val="normal"/>
      </w:pPr>
    </w:p>
    <w:p w:rsidR="00535568" w:rsidRDefault="00535568">
      <w:pPr>
        <w:pStyle w:val="normal"/>
      </w:pPr>
    </w:p>
    <w:p w:rsidR="00535568" w:rsidRPr="00056578" w:rsidRDefault="00056578">
      <w:pPr>
        <w:pStyle w:val="normal"/>
        <w:rPr>
          <w:lang w:val="en-US"/>
        </w:rPr>
      </w:pPr>
      <w:r>
        <w:rPr>
          <w:b/>
          <w:lang w:val="en-US"/>
        </w:rPr>
        <w:lastRenderedPageBreak/>
        <w:t>Practical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use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vitamin</w:t>
      </w:r>
      <w:r w:rsidR="00312E3D">
        <w:rPr>
          <w:b/>
          <w:lang w:val="en-US"/>
        </w:rPr>
        <w:t xml:space="preserve"> and </w:t>
      </w:r>
      <w:r>
        <w:rPr>
          <w:b/>
          <w:lang w:val="en-US"/>
        </w:rPr>
        <w:t>mineral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boluses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in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conditions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milk</w:t>
      </w:r>
      <w:r w:rsidRPr="00056578">
        <w:rPr>
          <w:b/>
          <w:lang w:val="en-US"/>
        </w:rPr>
        <w:t xml:space="preserve"> </w:t>
      </w:r>
      <w:r>
        <w:rPr>
          <w:b/>
          <w:lang w:val="en-US"/>
        </w:rPr>
        <w:t>production enables to</w:t>
      </w:r>
      <w:r w:rsidR="00D74D70" w:rsidRPr="00056578">
        <w:rPr>
          <w:b/>
          <w:lang w:val="en-US"/>
        </w:rPr>
        <w:t>:</w:t>
      </w:r>
      <w:r w:rsidR="00D74D70" w:rsidRPr="00056578">
        <w:rPr>
          <w:b/>
          <w:lang w:val="en-US"/>
        </w:rPr>
        <w:tab/>
      </w:r>
    </w:p>
    <w:p w:rsidR="00535568" w:rsidRPr="00056578" w:rsidRDefault="00056578">
      <w:pPr>
        <w:pStyle w:val="normal"/>
        <w:numPr>
          <w:ilvl w:val="0"/>
          <w:numId w:val="2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Reduce</w:t>
      </w:r>
      <w:r w:rsidRPr="00056578">
        <w:rPr>
          <w:lang w:val="en-US"/>
        </w:rPr>
        <w:t xml:space="preserve"> </w:t>
      </w:r>
      <w:r w:rsidR="00312E3D">
        <w:rPr>
          <w:lang w:val="en-US"/>
        </w:rPr>
        <w:t>costs for keeping</w:t>
      </w:r>
      <w:r>
        <w:rPr>
          <w:lang w:val="en-US"/>
        </w:rPr>
        <w:t xml:space="preserve"> livestock to</w:t>
      </w:r>
      <w:r w:rsidRPr="00056578">
        <w:rPr>
          <w:lang w:val="en-US"/>
        </w:rPr>
        <w:t xml:space="preserve"> </w:t>
      </w:r>
      <w:r>
        <w:rPr>
          <w:lang w:val="en-US"/>
        </w:rPr>
        <w:t>the</w:t>
      </w:r>
      <w:r w:rsidRPr="00056578">
        <w:rPr>
          <w:lang w:val="en-US"/>
        </w:rPr>
        <w:t xml:space="preserve"> </w:t>
      </w:r>
      <w:r w:rsidR="00312E3D">
        <w:rPr>
          <w:lang w:val="en-US"/>
        </w:rPr>
        <w:t>minimum</w:t>
      </w:r>
      <w:r w:rsidR="00D74D70" w:rsidRPr="00056578">
        <w:rPr>
          <w:lang w:val="en-US"/>
        </w:rPr>
        <w:t xml:space="preserve"> </w:t>
      </w:r>
      <w:r w:rsidR="00EF76CE">
        <w:rPr>
          <w:lang w:val="en-US"/>
        </w:rPr>
        <w:t>by reducing amount of</w:t>
      </w:r>
      <w:r>
        <w:rPr>
          <w:lang w:val="en-US"/>
        </w:rPr>
        <w:t xml:space="preserve"> work </w:t>
      </w:r>
      <w:r w:rsidR="00D9314E">
        <w:rPr>
          <w:lang w:val="en-US"/>
        </w:rPr>
        <w:t xml:space="preserve">at the farm, as boluses make up the </w:t>
      </w:r>
      <w:r w:rsidR="00312E3D">
        <w:rPr>
          <w:lang w:val="en-US"/>
        </w:rPr>
        <w:t>shortage</w:t>
      </w:r>
      <w:r w:rsidR="00D9314E">
        <w:rPr>
          <w:lang w:val="en-US"/>
        </w:rPr>
        <w:t xml:space="preserve"> of nutriments and also provide their regular and daily supply </w:t>
      </w:r>
      <w:r w:rsidR="00312E3D">
        <w:rPr>
          <w:lang w:val="en-US"/>
        </w:rPr>
        <w:t xml:space="preserve">at the time </w:t>
      </w:r>
      <w:r w:rsidR="00F3204E">
        <w:rPr>
          <w:lang w:val="en-US"/>
        </w:rPr>
        <w:t>when animals demand them</w:t>
      </w:r>
      <w:r w:rsidR="00D9314E">
        <w:rPr>
          <w:lang w:val="en-US"/>
        </w:rPr>
        <w:t xml:space="preserve"> more than usual</w:t>
      </w:r>
      <w:r w:rsidR="00D74D70" w:rsidRPr="00056578">
        <w:rPr>
          <w:lang w:val="en-US"/>
        </w:rPr>
        <w:t>;</w:t>
      </w:r>
    </w:p>
    <w:p w:rsidR="00535568" w:rsidRPr="00D9314E" w:rsidRDefault="00D9314E">
      <w:pPr>
        <w:pStyle w:val="normal"/>
        <w:numPr>
          <w:ilvl w:val="0"/>
          <w:numId w:val="2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Raise</w:t>
      </w:r>
      <w:r w:rsidRPr="00D9314E">
        <w:rPr>
          <w:lang w:val="en-US"/>
        </w:rPr>
        <w:t xml:space="preserve"> </w:t>
      </w:r>
      <w:r>
        <w:rPr>
          <w:lang w:val="en-US"/>
        </w:rPr>
        <w:t>the efficiency</w:t>
      </w:r>
      <w:r w:rsidR="00D74D70" w:rsidRPr="00D9314E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436226">
        <w:rPr>
          <w:lang w:val="en-US"/>
        </w:rPr>
        <w:t>cows’</w:t>
      </w:r>
      <w:r>
        <w:rPr>
          <w:lang w:val="en-US"/>
        </w:rPr>
        <w:t xml:space="preserve"> insemination </w:t>
      </w:r>
      <w:r w:rsidR="00436226">
        <w:rPr>
          <w:lang w:val="en-US"/>
        </w:rPr>
        <w:t>by improving fertility and desire degree</w:t>
      </w:r>
      <w:r w:rsidR="00D74D70" w:rsidRPr="00D9314E">
        <w:rPr>
          <w:lang w:val="en-US"/>
        </w:rPr>
        <w:t>;</w:t>
      </w:r>
    </w:p>
    <w:p w:rsidR="00535568" w:rsidRPr="00436226" w:rsidRDefault="00436226">
      <w:pPr>
        <w:pStyle w:val="normal"/>
        <w:numPr>
          <w:ilvl w:val="0"/>
          <w:numId w:val="2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Reduce</w:t>
      </w:r>
      <w:r w:rsidRPr="00436226">
        <w:rPr>
          <w:lang w:val="en-US"/>
        </w:rPr>
        <w:t xml:space="preserve"> </w:t>
      </w:r>
      <w:r>
        <w:rPr>
          <w:lang w:val="en-US"/>
        </w:rPr>
        <w:t>costs</w:t>
      </w:r>
      <w:r w:rsidRPr="00436226">
        <w:rPr>
          <w:lang w:val="en-US"/>
        </w:rPr>
        <w:t xml:space="preserve"> </w:t>
      </w:r>
      <w:r>
        <w:rPr>
          <w:lang w:val="en-US"/>
        </w:rPr>
        <w:t>for</w:t>
      </w:r>
      <w:r w:rsidRPr="00436226">
        <w:rPr>
          <w:lang w:val="en-US"/>
        </w:rPr>
        <w:t xml:space="preserve"> </w:t>
      </w:r>
      <w:r w:rsidR="007B5618">
        <w:rPr>
          <w:lang w:val="en-US"/>
        </w:rPr>
        <w:t>veterinary drugs</w:t>
      </w:r>
      <w:r w:rsidR="00F3204E">
        <w:rPr>
          <w:lang w:val="en-US"/>
        </w:rPr>
        <w:t xml:space="preserve"> by reducing</w:t>
      </w:r>
      <w:r>
        <w:rPr>
          <w:lang w:val="en-US"/>
        </w:rPr>
        <w:t xml:space="preserve"> frequency of </w:t>
      </w:r>
      <w:proofErr w:type="spellStart"/>
      <w:r w:rsidR="007B5618">
        <w:rPr>
          <w:lang w:val="en-US"/>
        </w:rPr>
        <w:t>faecal</w:t>
      </w:r>
      <w:proofErr w:type="spellEnd"/>
      <w:r w:rsidR="007B5618">
        <w:rPr>
          <w:lang w:val="en-US"/>
        </w:rPr>
        <w:t xml:space="preserve"> retention</w:t>
      </w:r>
      <w:r w:rsidR="00EF76CE">
        <w:rPr>
          <w:lang w:val="en-US"/>
        </w:rPr>
        <w:t xml:space="preserve">, </w:t>
      </w:r>
      <w:proofErr w:type="spellStart"/>
      <w:r w:rsidR="00EF76CE">
        <w:rPr>
          <w:lang w:val="en-US"/>
        </w:rPr>
        <w:t>metritis</w:t>
      </w:r>
      <w:proofErr w:type="spellEnd"/>
      <w:r w:rsidR="00EF76CE">
        <w:rPr>
          <w:lang w:val="en-US"/>
        </w:rPr>
        <w:t xml:space="preserve"> and mastitis</w:t>
      </w:r>
      <w:r w:rsidR="00D74D70" w:rsidRPr="00436226">
        <w:rPr>
          <w:lang w:val="en-US"/>
        </w:rPr>
        <w:t>;</w:t>
      </w:r>
    </w:p>
    <w:p w:rsidR="00535568" w:rsidRPr="00312E3D" w:rsidRDefault="00D74D70">
      <w:pPr>
        <w:pStyle w:val="normal"/>
        <w:numPr>
          <w:ilvl w:val="0"/>
          <w:numId w:val="2"/>
        </w:numPr>
        <w:ind w:hanging="360"/>
        <w:contextualSpacing/>
        <w:jc w:val="both"/>
        <w:rPr>
          <w:lang w:val="en-US"/>
        </w:rPr>
      </w:pPr>
      <w:r>
        <w:rPr>
          <w:lang w:val="en-US"/>
        </w:rPr>
        <w:t>G</w:t>
      </w:r>
      <w:r w:rsidR="00EF76CE">
        <w:rPr>
          <w:lang w:val="en-US"/>
        </w:rPr>
        <w:t xml:space="preserve">row a productive cow by enhancing </w:t>
      </w:r>
      <w:proofErr w:type="spellStart"/>
      <w:r w:rsidR="007B5618">
        <w:rPr>
          <w:lang w:val="en-US"/>
        </w:rPr>
        <w:t>colostrum</w:t>
      </w:r>
      <w:proofErr w:type="spellEnd"/>
      <w:r w:rsidR="007B5618">
        <w:rPr>
          <w:lang w:val="en-US"/>
        </w:rPr>
        <w:t xml:space="preserve"> quality</w:t>
      </w:r>
      <w:r w:rsidR="00EF76CE">
        <w:rPr>
          <w:lang w:val="en-US"/>
        </w:rPr>
        <w:t xml:space="preserve"> during the first</w:t>
      </w:r>
      <w:r w:rsidR="007B5618">
        <w:rPr>
          <w:lang w:val="en-US"/>
        </w:rPr>
        <w:t xml:space="preserve"> calf rearing, consequently raising</w:t>
      </w:r>
      <w:r>
        <w:rPr>
          <w:lang w:val="en-US"/>
        </w:rPr>
        <w:t xml:space="preserve"> resistan</w:t>
      </w:r>
      <w:r w:rsidR="007B5618">
        <w:rPr>
          <w:lang w:val="en-US"/>
        </w:rPr>
        <w:t>ce of young animals and minimizing</w:t>
      </w:r>
      <w:r w:rsidR="00F3204E">
        <w:rPr>
          <w:lang w:val="en-US"/>
        </w:rPr>
        <w:t xml:space="preserve"> the use of antibiotics.</w:t>
      </w:r>
    </w:p>
    <w:p w:rsidR="00535568" w:rsidRPr="00312E3D" w:rsidRDefault="00535568">
      <w:pPr>
        <w:pStyle w:val="normal"/>
        <w:rPr>
          <w:lang w:val="en-US"/>
        </w:rPr>
      </w:pPr>
    </w:p>
    <w:p w:rsidR="00535568" w:rsidRDefault="00D74D70">
      <w:pPr>
        <w:pStyle w:val="normal"/>
      </w:pPr>
      <w:r>
        <w:rPr>
          <w:b/>
          <w:lang w:val="en-US"/>
        </w:rPr>
        <w:t>Economic and commercial policy</w:t>
      </w:r>
      <w:r>
        <w:rPr>
          <w:b/>
        </w:rPr>
        <w:t>:</w:t>
      </w:r>
    </w:p>
    <w:p w:rsidR="00535568" w:rsidRDefault="00535568">
      <w:pPr>
        <w:pStyle w:val="normal"/>
      </w:pPr>
    </w:p>
    <w:tbl>
      <w:tblPr>
        <w:tblStyle w:val="a6"/>
        <w:tblW w:w="8460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3630"/>
        <w:gridCol w:w="4830"/>
      </w:tblGrid>
      <w:tr w:rsidR="00535568"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Pr="00D74D70" w:rsidRDefault="007B5618" w:rsidP="00D74D70">
            <w:pPr>
              <w:pStyle w:val="normal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Purchase amount per</w:t>
            </w:r>
            <w:r w:rsidR="00D74D70">
              <w:rPr>
                <w:b/>
                <w:sz w:val="24"/>
                <w:szCs w:val="24"/>
                <w:lang w:val="en-US"/>
              </w:rPr>
              <w:t xml:space="preserve"> month</w:t>
            </w:r>
            <w:r w:rsidR="00D74D70" w:rsidRPr="00D74D70">
              <w:rPr>
                <w:b/>
                <w:sz w:val="24"/>
                <w:szCs w:val="24"/>
                <w:lang w:val="en-US"/>
              </w:rPr>
              <w:t xml:space="preserve">, </w:t>
            </w:r>
            <w:r w:rsidR="00D74D70">
              <w:rPr>
                <w:b/>
                <w:sz w:val="24"/>
                <w:szCs w:val="24"/>
                <w:lang w:val="en-US"/>
              </w:rPr>
              <w:t>UAH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Default="00D74D70">
            <w:pPr>
              <w:pStyle w:val="normal"/>
              <w:jc w:val="center"/>
            </w:pPr>
            <w:r>
              <w:rPr>
                <w:b/>
                <w:sz w:val="24"/>
                <w:szCs w:val="24"/>
                <w:lang w:val="en-US"/>
              </w:rPr>
              <w:t>Discount</w:t>
            </w:r>
            <w:r>
              <w:rPr>
                <w:b/>
                <w:sz w:val="24"/>
                <w:szCs w:val="24"/>
              </w:rPr>
              <w:t>, %</w:t>
            </w:r>
          </w:p>
        </w:tc>
      </w:tr>
      <w:tr w:rsidR="00535568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Pr="00D74D70" w:rsidRDefault="00D74D70">
            <w:pPr>
              <w:pStyle w:val="normal"/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0-20 000 </w:t>
            </w:r>
            <w:r>
              <w:rPr>
                <w:sz w:val="24"/>
                <w:szCs w:val="24"/>
                <w:lang w:val="en-US"/>
              </w:rPr>
              <w:t>UAH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Default="00D74D70">
            <w:pPr>
              <w:pStyle w:val="normal"/>
              <w:jc w:val="center"/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35568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Pr="00D74D70" w:rsidRDefault="00D74D70">
            <w:pPr>
              <w:pStyle w:val="normal"/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20 000-100 000 </w:t>
            </w:r>
            <w:r>
              <w:rPr>
                <w:sz w:val="24"/>
                <w:szCs w:val="24"/>
                <w:lang w:val="en-US"/>
              </w:rPr>
              <w:t>UAH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Default="00D74D70">
            <w:pPr>
              <w:pStyle w:val="normal"/>
              <w:jc w:val="center"/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R="00535568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Pr="00D74D70" w:rsidRDefault="00D74D70">
            <w:pPr>
              <w:pStyle w:val="normal"/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100 000-200 000 </w:t>
            </w:r>
            <w:r>
              <w:rPr>
                <w:sz w:val="24"/>
                <w:szCs w:val="24"/>
                <w:lang w:val="en-US"/>
              </w:rPr>
              <w:t>UAH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Default="00D74D70">
            <w:pPr>
              <w:pStyle w:val="normal"/>
              <w:jc w:val="center"/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</w:tr>
      <w:tr w:rsidR="00535568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Pr="00D74D70" w:rsidRDefault="00D74D70">
            <w:pPr>
              <w:pStyle w:val="normal"/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200 000-300 000 </w:t>
            </w:r>
            <w:r>
              <w:rPr>
                <w:sz w:val="24"/>
                <w:szCs w:val="24"/>
                <w:lang w:val="en-US"/>
              </w:rPr>
              <w:t>UAH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Default="00D74D70">
            <w:pPr>
              <w:pStyle w:val="normal"/>
              <w:jc w:val="center"/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</w:tr>
      <w:tr w:rsidR="00535568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Pr="00D74D70" w:rsidRDefault="00D74D70">
            <w:pPr>
              <w:pStyle w:val="normal"/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More than</w:t>
            </w:r>
            <w:r>
              <w:rPr>
                <w:sz w:val="24"/>
                <w:szCs w:val="24"/>
              </w:rPr>
              <w:t xml:space="preserve"> 300 000 </w:t>
            </w:r>
            <w:r>
              <w:rPr>
                <w:sz w:val="24"/>
                <w:szCs w:val="24"/>
                <w:lang w:val="en-US"/>
              </w:rPr>
              <w:t>UAH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35568" w:rsidRDefault="00D74D70">
            <w:pPr>
              <w:pStyle w:val="normal"/>
              <w:jc w:val="center"/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</w:tr>
    </w:tbl>
    <w:p w:rsidR="00535568" w:rsidRDefault="00535568">
      <w:pPr>
        <w:pStyle w:val="normal"/>
      </w:pPr>
    </w:p>
    <w:sectPr w:rsidR="00535568" w:rsidSect="00535568">
      <w:pgSz w:w="11909" w:h="16834"/>
      <w:pgMar w:top="1440" w:right="720" w:bottom="62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F5C"/>
    <w:multiLevelType w:val="multilevel"/>
    <w:tmpl w:val="6C405390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">
    <w:nsid w:val="173D3746"/>
    <w:multiLevelType w:val="multilevel"/>
    <w:tmpl w:val="B1D6F4A8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2">
    <w:nsid w:val="4304294B"/>
    <w:multiLevelType w:val="multilevel"/>
    <w:tmpl w:val="AED490D0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535568"/>
    <w:rsid w:val="00056578"/>
    <w:rsid w:val="001F18F7"/>
    <w:rsid w:val="002317D9"/>
    <w:rsid w:val="00312E3D"/>
    <w:rsid w:val="00323EB4"/>
    <w:rsid w:val="00436226"/>
    <w:rsid w:val="00457CE3"/>
    <w:rsid w:val="00514969"/>
    <w:rsid w:val="00535568"/>
    <w:rsid w:val="00725159"/>
    <w:rsid w:val="007B5618"/>
    <w:rsid w:val="00900C0D"/>
    <w:rsid w:val="0099333B"/>
    <w:rsid w:val="00A44461"/>
    <w:rsid w:val="00C75C0D"/>
    <w:rsid w:val="00D74D70"/>
    <w:rsid w:val="00D9314E"/>
    <w:rsid w:val="00EF0833"/>
    <w:rsid w:val="00EF76CE"/>
    <w:rsid w:val="00F3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0D"/>
  </w:style>
  <w:style w:type="paragraph" w:styleId="1">
    <w:name w:val="heading 1"/>
    <w:basedOn w:val="normal"/>
    <w:next w:val="normal"/>
    <w:rsid w:val="0053556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53556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53556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53556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53556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53556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5568"/>
  </w:style>
  <w:style w:type="table" w:customStyle="1" w:styleId="TableNormal">
    <w:name w:val="Table Normal"/>
    <w:rsid w:val="005355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556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53556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5355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355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ush.ed@ukr.net" TargetMode="External"/><Relationship Id="rId5" Type="http://schemas.openxmlformats.org/officeDocument/2006/relationships/hyperlink" Target="http://dominanta-uk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7</cp:revision>
  <dcterms:created xsi:type="dcterms:W3CDTF">2015-06-11T14:49:00Z</dcterms:created>
  <dcterms:modified xsi:type="dcterms:W3CDTF">2015-06-12T08:55:00Z</dcterms:modified>
</cp:coreProperties>
</file>