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445" w:rsidRPr="009A7445" w:rsidRDefault="009A7445" w:rsidP="009A7445">
      <w:pPr>
        <w:pStyle w:val="a7"/>
        <w:jc w:val="center"/>
        <w:rPr>
          <w:rFonts w:ascii="Arial" w:hAnsi="Arial" w:cs="Arial"/>
        </w:rPr>
      </w:pPr>
      <w:r w:rsidRPr="009A7445">
        <w:rPr>
          <w:rFonts w:ascii="Arial" w:hAnsi="Arial" w:cs="Arial"/>
        </w:rPr>
        <w:t xml:space="preserve">"Види </w:t>
      </w:r>
      <w:proofErr w:type="spellStart"/>
      <w:r w:rsidRPr="009A7445">
        <w:rPr>
          <w:rFonts w:ascii="Arial" w:hAnsi="Arial" w:cs="Arial"/>
        </w:rPr>
        <w:t>закупівель</w:t>
      </w:r>
      <w:proofErr w:type="spellEnd"/>
      <w:r w:rsidRPr="009A7445">
        <w:rPr>
          <w:rFonts w:ascii="Arial" w:hAnsi="Arial" w:cs="Arial"/>
        </w:rPr>
        <w:t xml:space="preserve"> (тендерів) ProZorro"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Законом України «Про публічні закупівлі» (далі – Закону) передбачено оголошення та про</w:t>
      </w:r>
      <w:r w:rsidRPr="009A7445">
        <w:rPr>
          <w:rFonts w:ascii="Arial" w:hAnsi="Arial" w:cs="Arial"/>
        </w:rPr>
        <w:t xml:space="preserve">ведення таких видів </w:t>
      </w:r>
      <w:proofErr w:type="spellStart"/>
      <w:r w:rsidRPr="009A7445">
        <w:rPr>
          <w:rFonts w:ascii="Arial" w:hAnsi="Arial" w:cs="Arial"/>
        </w:rPr>
        <w:t>закупівель</w:t>
      </w:r>
      <w:proofErr w:type="spellEnd"/>
      <w:r w:rsidRPr="009A7445">
        <w:rPr>
          <w:rFonts w:ascii="Arial" w:hAnsi="Arial" w:cs="Arial"/>
        </w:rPr>
        <w:t>: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- відкриті торги;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- торги з обмеженою участю;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- конкурентний діалог;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- укладення рамкової угоди;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- спрощена закупівля;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- переговорна процедура;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- пер</w:t>
      </w:r>
      <w:r w:rsidRPr="009A7445">
        <w:rPr>
          <w:rFonts w:ascii="Arial" w:hAnsi="Arial" w:cs="Arial"/>
        </w:rPr>
        <w:t>еговорна процедура (скорочена);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- звіт про укладений договір.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 xml:space="preserve">Найбільш поширеними видами </w:t>
      </w:r>
      <w:proofErr w:type="spellStart"/>
      <w:r w:rsidRPr="009A7445">
        <w:rPr>
          <w:rFonts w:ascii="Arial" w:hAnsi="Arial" w:cs="Arial"/>
        </w:rPr>
        <w:t>закупівель</w:t>
      </w:r>
      <w:proofErr w:type="spellEnd"/>
      <w:r w:rsidRPr="009A7445">
        <w:rPr>
          <w:rFonts w:ascii="Arial" w:hAnsi="Arial" w:cs="Arial"/>
        </w:rPr>
        <w:t>, які використовуються замовниками є відкриті торги, спрощені закупівлі та звіт про укладений догові</w:t>
      </w:r>
      <w:r w:rsidR="00FE3636">
        <w:rPr>
          <w:rFonts w:ascii="Arial" w:hAnsi="Arial" w:cs="Arial"/>
        </w:rPr>
        <w:t>р.</w:t>
      </w:r>
    </w:p>
    <w:p w:rsidR="009A7445" w:rsidRPr="009A7445" w:rsidRDefault="009A7445" w:rsidP="009A7445">
      <w:pPr>
        <w:pStyle w:val="1"/>
      </w:pPr>
      <w:r w:rsidRPr="009A7445">
        <w:t>Відкриті торги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 xml:space="preserve">Відкриті торги - конкурентна та найбільш прозора процедура </w:t>
      </w:r>
      <w:proofErr w:type="spellStart"/>
      <w:r w:rsidRPr="009A7445">
        <w:rPr>
          <w:rFonts w:ascii="Arial" w:hAnsi="Arial" w:cs="Arial"/>
        </w:rPr>
        <w:t>закупівель</w:t>
      </w:r>
      <w:proofErr w:type="spellEnd"/>
      <w:r w:rsidRPr="009A7445">
        <w:rPr>
          <w:rFonts w:ascii="Arial" w:hAnsi="Arial" w:cs="Arial"/>
        </w:rPr>
        <w:t>, оскільки включає в себе багато етапів та проводиться через систему ProZorro. Відкриті торги відбуваються за участі не менше 2 учасників. Якщо подана менша кількість пропозицій закупівля скасовується.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Вартісний поріг, у класичному варіанті, для проведення такого виду торгів становить: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</w:p>
    <w:p w:rsidR="009A7445" w:rsidRPr="009A7445" w:rsidRDefault="009A7445" w:rsidP="00F7459B">
      <w:pPr>
        <w:pStyle w:val="a7"/>
        <w:numPr>
          <w:ilvl w:val="0"/>
          <w:numId w:val="12"/>
        </w:numPr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товари і</w:t>
      </w:r>
      <w:r w:rsidR="00FE3636">
        <w:rPr>
          <w:rFonts w:ascii="Arial" w:hAnsi="Arial" w:cs="Arial"/>
        </w:rPr>
        <w:t xml:space="preserve"> послуги від 200 тисяч гривень;</w:t>
      </w:r>
    </w:p>
    <w:p w:rsidR="009A7445" w:rsidRPr="009A7445" w:rsidRDefault="009A7445" w:rsidP="00F7459B">
      <w:pPr>
        <w:pStyle w:val="a7"/>
        <w:numPr>
          <w:ilvl w:val="0"/>
          <w:numId w:val="12"/>
        </w:numPr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роботи – від 1, 5 мільйона гривень.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Строк подання пропозицій для участі у відкритих торгах, не може бути меншим, ніж 15 днів з дня оприлюднення в системі ProZorro оголошення про їх проведення. Разом з оголошенням Замовник публікує тендерну документацію, технічні вимоги та проект договору. При проведенні відкритих торгів, Замовник, на власний розсуд, встановлює один або відразу кі</w:t>
      </w:r>
      <w:r w:rsidR="00FE3636">
        <w:rPr>
          <w:rFonts w:ascii="Arial" w:hAnsi="Arial" w:cs="Arial"/>
        </w:rPr>
        <w:t>лька кваліфікаційних критеріїв.</w:t>
      </w:r>
    </w:p>
    <w:p w:rsidR="009A7445" w:rsidRPr="009A7445" w:rsidRDefault="009A7445" w:rsidP="009A7445">
      <w:pPr>
        <w:pStyle w:val="1"/>
      </w:pPr>
      <w:r w:rsidRPr="009A7445">
        <w:t>Торги з обмеженою участю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Торги з обмеженою участю проводяться з метою попередньої оцінки відповідності учасників вимогам Замовника шляхом двоетапного відбору. При цьому замовник застосовує одночасно всі 4 кваліфікаційні критерії відповідності передбачені статті 16 Закону. Оголошення щодо проведення таких торгів публікується англійською та українською мовами. Першим етапом є розгляд пропозицій учасників без розкриття ціни, а другим є безпосередньо аукціон. У порівнянні із відкритими торгами, для участі у кваліфікаційному відборі мають подати не менше, ніж 4 учасники. В іншому випадку, торги з обмеженою участю вважаються такими, що не відбулись. Публікація оголошення про проведення даного виду торгів, відбувається не пізніше, ніж за 30 днів до кінцевого строку подання докуме</w:t>
      </w:r>
      <w:r w:rsidR="00FE3636">
        <w:rPr>
          <w:rFonts w:ascii="Arial" w:hAnsi="Arial" w:cs="Arial"/>
        </w:rPr>
        <w:t>нтів на кваліфікаційний відбір.</w:t>
      </w:r>
    </w:p>
    <w:p w:rsidR="009A7445" w:rsidRPr="009A7445" w:rsidRDefault="009A7445" w:rsidP="009A7445">
      <w:pPr>
        <w:pStyle w:val="1"/>
      </w:pPr>
      <w:r w:rsidRPr="009A7445">
        <w:t>Конкурентний діалог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 xml:space="preserve">Конкурентний діалог порівняно нова процедура при проведенні </w:t>
      </w:r>
      <w:proofErr w:type="spellStart"/>
      <w:r w:rsidRPr="009A7445">
        <w:rPr>
          <w:rFonts w:ascii="Arial" w:hAnsi="Arial" w:cs="Arial"/>
        </w:rPr>
        <w:t>закупівель</w:t>
      </w:r>
      <w:proofErr w:type="spellEnd"/>
      <w:r w:rsidRPr="009A7445">
        <w:rPr>
          <w:rFonts w:ascii="Arial" w:hAnsi="Arial" w:cs="Arial"/>
        </w:rPr>
        <w:t xml:space="preserve">, яка нагадує поєднання двох процедур: попередня </w:t>
      </w:r>
      <w:r w:rsidR="00FE3636">
        <w:rPr>
          <w:rFonts w:ascii="Arial" w:hAnsi="Arial" w:cs="Arial"/>
        </w:rPr>
        <w:t>кваліфікація та відкриті торги.</w:t>
      </w:r>
    </w:p>
    <w:p w:rsid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Замовник може застосуват</w:t>
      </w:r>
      <w:r w:rsidR="00FE3636">
        <w:rPr>
          <w:rFonts w:ascii="Arial" w:hAnsi="Arial" w:cs="Arial"/>
        </w:rPr>
        <w:t>и дану процедуру за умов, якщо:</w:t>
      </w:r>
    </w:p>
    <w:p w:rsidR="00FE3636" w:rsidRPr="009A7445" w:rsidRDefault="00FE3636" w:rsidP="009A7445">
      <w:pPr>
        <w:pStyle w:val="a7"/>
        <w:jc w:val="both"/>
        <w:rPr>
          <w:rFonts w:ascii="Arial" w:hAnsi="Arial" w:cs="Arial"/>
        </w:rPr>
      </w:pPr>
    </w:p>
    <w:p w:rsidR="009A7445" w:rsidRPr="009A7445" w:rsidRDefault="009A7445" w:rsidP="00F7459B">
      <w:pPr>
        <w:pStyle w:val="a7"/>
        <w:numPr>
          <w:ilvl w:val="0"/>
          <w:numId w:val="11"/>
        </w:numPr>
        <w:ind w:left="0" w:firstLine="284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неможливо визначити технічні, якісні або кількісні умови</w:t>
      </w:r>
      <w:r w:rsidR="00FE3636">
        <w:rPr>
          <w:rFonts w:ascii="Arial" w:hAnsi="Arial" w:cs="Arial"/>
        </w:rPr>
        <w:t xml:space="preserve"> закупівлі, що має проводитися;</w:t>
      </w:r>
    </w:p>
    <w:p w:rsidR="009A7445" w:rsidRPr="009A7445" w:rsidRDefault="009A7445" w:rsidP="00F7459B">
      <w:pPr>
        <w:pStyle w:val="a7"/>
        <w:numPr>
          <w:ilvl w:val="0"/>
          <w:numId w:val="11"/>
        </w:numPr>
        <w:ind w:left="0" w:firstLine="284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предметом закупівлі є надання послуг з використанням інноваційних технологій або створення нового проекту для над</w:t>
      </w:r>
      <w:r w:rsidR="00FE3636">
        <w:rPr>
          <w:rFonts w:ascii="Arial" w:hAnsi="Arial" w:cs="Arial"/>
        </w:rPr>
        <w:t>ання послуг або виконання робіт.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 xml:space="preserve">Конкурентний діалог може відбутися лише за умови наявності 3 пропозицій учасників. Даний вид </w:t>
      </w:r>
      <w:proofErr w:type="spellStart"/>
      <w:r w:rsidRPr="009A7445">
        <w:rPr>
          <w:rFonts w:ascii="Arial" w:hAnsi="Arial" w:cs="Arial"/>
        </w:rPr>
        <w:t>закупівель</w:t>
      </w:r>
      <w:proofErr w:type="spellEnd"/>
      <w:r w:rsidRPr="009A7445">
        <w:rPr>
          <w:rFonts w:ascii="Arial" w:hAnsi="Arial" w:cs="Arial"/>
        </w:rPr>
        <w:t xml:space="preserve"> проводиться у 2 етапи. При першому етапі учасники пропонують умови надання послуг, характеристики товарів, а також допомагають у формулюванні предмету закупівлі. Замовник аналізує отримані пропозиції на відповідність кваліфікації та приймає рішення про </w:t>
      </w:r>
      <w:r w:rsidRPr="009A7445">
        <w:rPr>
          <w:rFonts w:ascii="Arial" w:hAnsi="Arial" w:cs="Arial"/>
        </w:rPr>
        <w:lastRenderedPageBreak/>
        <w:t>допуск учасників до наступного етапу. На другому етапі відбувається аукціон на пониження ціни,</w:t>
      </w:r>
      <w:r w:rsidR="00FE3636">
        <w:rPr>
          <w:rFonts w:ascii="Arial" w:hAnsi="Arial" w:cs="Arial"/>
        </w:rPr>
        <w:t xml:space="preserve"> як аукціон у відкритих торгах.</w:t>
      </w:r>
    </w:p>
    <w:p w:rsidR="009A7445" w:rsidRPr="009A7445" w:rsidRDefault="009A7445" w:rsidP="009A7445">
      <w:pPr>
        <w:pStyle w:val="1"/>
      </w:pPr>
      <w:r w:rsidRPr="009A7445">
        <w:t>Рамкова угода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 xml:space="preserve">Укладення рамкової угоди - конкурентний вид закупівлі, яка організовується Замовником з ціллю визначити обмежену кількість постачальників товарів або послуг, для своїх майбутніх </w:t>
      </w:r>
      <w:proofErr w:type="spellStart"/>
      <w:r w:rsidRPr="009A7445">
        <w:rPr>
          <w:rFonts w:ascii="Arial" w:hAnsi="Arial" w:cs="Arial"/>
        </w:rPr>
        <w:t>закупівель</w:t>
      </w:r>
      <w:proofErr w:type="spellEnd"/>
      <w:r w:rsidRPr="009A7445">
        <w:rPr>
          <w:rFonts w:ascii="Arial" w:hAnsi="Arial" w:cs="Arial"/>
        </w:rPr>
        <w:t>. У порівнянні із конкурентним діалогом, рамкова угода укладається із кількома учасниками, які визнані переможцями відкритих торгів, за умови, що участь у ній брали не менше 3 учасників. Строк дії угоди не може бути меншим, ніж 4 роки. Після укладення рамкової угоди Замовник має право закупляти товари або послуги лише у сторін такої угоди шляхом проведе</w:t>
      </w:r>
      <w:r w:rsidR="00FE3636">
        <w:rPr>
          <w:rFonts w:ascii="Arial" w:hAnsi="Arial" w:cs="Arial"/>
        </w:rPr>
        <w:t>ння звичайних відкритих торгів.</w:t>
      </w:r>
    </w:p>
    <w:p w:rsidR="009A7445" w:rsidRPr="009A7445" w:rsidRDefault="009A7445" w:rsidP="009A7445">
      <w:pPr>
        <w:pStyle w:val="1"/>
      </w:pPr>
      <w:r w:rsidRPr="009A7445">
        <w:t>Спрощена закупівля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 xml:space="preserve">Спрощена закупівля має дещо схожий алгоритм оголошення та проведення </w:t>
      </w:r>
      <w:proofErr w:type="spellStart"/>
      <w:r w:rsidRPr="009A7445">
        <w:rPr>
          <w:rFonts w:ascii="Arial" w:hAnsi="Arial" w:cs="Arial"/>
        </w:rPr>
        <w:t>закупівель</w:t>
      </w:r>
      <w:proofErr w:type="spellEnd"/>
      <w:r w:rsidRPr="009A7445">
        <w:rPr>
          <w:rFonts w:ascii="Arial" w:hAnsi="Arial" w:cs="Arial"/>
        </w:rPr>
        <w:t xml:space="preserve"> із відкритими торгами, однак для них встановлено нижчий вартісний поріг. Зокрема, спрощені закупівлі застосовуються для придбання замовником товарів, робіт і послуг, вартість яких дорівнює або перевищує 50 тисяч гривень та є нижчою порогу, встановленого для відкритих торгів. Суттєвою різницею також є те, що спрощена закупівля може відбутися за участі лише одного учасника. В такому випадку, закупівля минає етап аукціону та переходить ві</w:t>
      </w:r>
      <w:r w:rsidR="00FE3636">
        <w:rPr>
          <w:rFonts w:ascii="Arial" w:hAnsi="Arial" w:cs="Arial"/>
        </w:rPr>
        <w:t>дразу до кваліфікації учасника.</w:t>
      </w:r>
    </w:p>
    <w:p w:rsidR="009A7445" w:rsidRPr="009A7445" w:rsidRDefault="009A7445" w:rsidP="009A7445">
      <w:pPr>
        <w:pStyle w:val="1"/>
      </w:pPr>
      <w:r w:rsidRPr="009A7445">
        <w:t>Переговорна процедура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Переговорна процедура закупівлі застосовується як виняток, відповідно до якої замовник укладає договір за результатами переговорів щодо ціни та інших умов договору про закупівлю з одним або кількома учасниками.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Осо</w:t>
      </w:r>
      <w:r w:rsidR="00FE3636">
        <w:rPr>
          <w:rFonts w:ascii="Arial" w:hAnsi="Arial" w:cs="Arial"/>
        </w:rPr>
        <w:t>бливості даного виду закупівлі:</w:t>
      </w:r>
    </w:p>
    <w:p w:rsidR="009A7445" w:rsidRPr="009A7445" w:rsidRDefault="009A7445" w:rsidP="00F7459B">
      <w:pPr>
        <w:pStyle w:val="a7"/>
        <w:numPr>
          <w:ilvl w:val="0"/>
          <w:numId w:val="14"/>
        </w:numPr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не передбачається розробка та пуб</w:t>
      </w:r>
      <w:r w:rsidR="00FE3636">
        <w:rPr>
          <w:rFonts w:ascii="Arial" w:hAnsi="Arial" w:cs="Arial"/>
        </w:rPr>
        <w:t>лікація тендерної документації;</w:t>
      </w:r>
    </w:p>
    <w:p w:rsidR="009A7445" w:rsidRPr="009A7445" w:rsidRDefault="00FE3636" w:rsidP="00F7459B">
      <w:pPr>
        <w:pStyle w:val="a7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не проводиться аукціон;</w:t>
      </w:r>
    </w:p>
    <w:p w:rsidR="009A7445" w:rsidRPr="009A7445" w:rsidRDefault="009A7445" w:rsidP="00F7459B">
      <w:pPr>
        <w:pStyle w:val="a7"/>
        <w:numPr>
          <w:ilvl w:val="0"/>
          <w:numId w:val="14"/>
        </w:numPr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мінімальні с</w:t>
      </w:r>
      <w:r w:rsidR="00FE3636">
        <w:rPr>
          <w:rFonts w:ascii="Arial" w:hAnsi="Arial" w:cs="Arial"/>
        </w:rPr>
        <w:t>троки для проведення процедури;</w:t>
      </w:r>
    </w:p>
    <w:p w:rsidR="009A7445" w:rsidRPr="009A7445" w:rsidRDefault="009A7445" w:rsidP="00F7459B">
      <w:pPr>
        <w:pStyle w:val="a7"/>
        <w:numPr>
          <w:ilvl w:val="0"/>
          <w:numId w:val="14"/>
        </w:numPr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переговорна процедура проводиться за наявності певних умов.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Вичерпний перелік умов при яких застосовується переговорна процедура встановлений у частині 2 статті 40 Закону. Наприклад, закупівля двічі не відбулась через відсутність конкуренції на ринку, у разі заку</w:t>
      </w:r>
      <w:r w:rsidR="00FE3636">
        <w:rPr>
          <w:rFonts w:ascii="Arial" w:hAnsi="Arial" w:cs="Arial"/>
        </w:rPr>
        <w:t>півлі витворів мистецтва, тощо.</w:t>
      </w:r>
    </w:p>
    <w:p w:rsidR="009A7445" w:rsidRPr="009A7445" w:rsidRDefault="009A7445" w:rsidP="009A7445">
      <w:pPr>
        <w:pStyle w:val="1"/>
      </w:pPr>
      <w:r w:rsidRPr="009A7445">
        <w:t>Скорочена переговорна процедура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Скорочена переговорна процедура закупівлі, на відміну від звичайної, передбачає менші строки на укладення договору за результатами застосування переговорної процедури, при умові, що у замовника виникла нагальна потреба здійснити закупівлю у випадках передбачених пунктом 3 частиною 2 статті 40 Закону. Скорочена переговорна процедура передбачає можливість укладення договору не раніше, ніж через 5 днів (а не через 10, у випадку із звичайною переговорною процедурою) з дня оприлюднення в системі ProZorro повідомлення про намір</w:t>
      </w:r>
      <w:r w:rsidR="00FE3636">
        <w:rPr>
          <w:rFonts w:ascii="Arial" w:hAnsi="Arial" w:cs="Arial"/>
        </w:rPr>
        <w:t xml:space="preserve"> укласти договір про закупівлю.</w:t>
      </w:r>
    </w:p>
    <w:p w:rsidR="009A7445" w:rsidRPr="009A7445" w:rsidRDefault="009A7445" w:rsidP="009A7445">
      <w:pPr>
        <w:pStyle w:val="1"/>
      </w:pPr>
      <w:r w:rsidRPr="009A7445">
        <w:t>Звіт про укладений договір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Звіт про у</w:t>
      </w:r>
      <w:bookmarkStart w:id="0" w:name="_GoBack"/>
      <w:bookmarkEnd w:id="0"/>
      <w:r w:rsidRPr="009A7445">
        <w:rPr>
          <w:rFonts w:ascii="Arial" w:hAnsi="Arial" w:cs="Arial"/>
        </w:rPr>
        <w:t>кладений договір або його ще називають «прямий» договір, – є неконкурентною закупівлею, яка відбувається без використання системи ProZorro та при умові закупівлі товарів, робіт або послуг до 50 тисяч гривень. При цьому, наявні обов’язкові етапи публікації інформації в системі: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</w:p>
    <w:p w:rsidR="009A7445" w:rsidRPr="009A7445" w:rsidRDefault="009A7445" w:rsidP="00F7459B">
      <w:pPr>
        <w:pStyle w:val="a7"/>
        <w:numPr>
          <w:ilvl w:val="0"/>
          <w:numId w:val="16"/>
        </w:numPr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спочатку публікується форма оголошення звіту (включає інформацію про кількість, ціну за одиницю, м</w:t>
      </w:r>
      <w:r w:rsidR="00FE3636">
        <w:rPr>
          <w:rFonts w:ascii="Arial" w:hAnsi="Arial" w:cs="Arial"/>
        </w:rPr>
        <w:t>ісце та термін поставки, тощо);</w:t>
      </w:r>
    </w:p>
    <w:p w:rsidR="009A7445" w:rsidRPr="009A7445" w:rsidRDefault="009A7445" w:rsidP="00F7459B">
      <w:pPr>
        <w:pStyle w:val="a7"/>
        <w:numPr>
          <w:ilvl w:val="0"/>
          <w:numId w:val="16"/>
        </w:numPr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потім – інформація про укладений договір.</w:t>
      </w:r>
    </w:p>
    <w:p w:rsidR="009A7445" w:rsidRPr="009A7445" w:rsidRDefault="009A7445" w:rsidP="009A7445">
      <w:pPr>
        <w:pStyle w:val="a7"/>
        <w:jc w:val="both"/>
        <w:rPr>
          <w:rFonts w:ascii="Arial" w:hAnsi="Arial" w:cs="Arial"/>
        </w:rPr>
      </w:pPr>
    </w:p>
    <w:p w:rsidR="00891AF0" w:rsidRPr="009A7445" w:rsidRDefault="009A7445" w:rsidP="009A7445">
      <w:pPr>
        <w:pStyle w:val="a7"/>
        <w:jc w:val="both"/>
        <w:rPr>
          <w:rFonts w:ascii="Arial" w:hAnsi="Arial" w:cs="Arial"/>
        </w:rPr>
      </w:pPr>
      <w:r w:rsidRPr="009A7445">
        <w:rPr>
          <w:rFonts w:ascii="Arial" w:hAnsi="Arial" w:cs="Arial"/>
        </w:rPr>
        <w:t>Зверніть увагу, що оприлюднення договору та додатків до нього, укладеного без використання системи ProZorro не передбачено Законом та здійснюється на розсуд Замовника.</w:t>
      </w:r>
    </w:p>
    <w:sectPr w:rsidR="00891AF0" w:rsidRPr="009A7445" w:rsidSect="00F7459B">
      <w:pgSz w:w="11906" w:h="16838"/>
      <w:pgMar w:top="567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F3C94"/>
    <w:multiLevelType w:val="hybridMultilevel"/>
    <w:tmpl w:val="847283C0"/>
    <w:lvl w:ilvl="0" w:tplc="1790353A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F195A"/>
    <w:multiLevelType w:val="hybridMultilevel"/>
    <w:tmpl w:val="8E48F3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045DB"/>
    <w:multiLevelType w:val="hybridMultilevel"/>
    <w:tmpl w:val="3F38B1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B369C"/>
    <w:multiLevelType w:val="hybridMultilevel"/>
    <w:tmpl w:val="803611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072D4"/>
    <w:multiLevelType w:val="hybridMultilevel"/>
    <w:tmpl w:val="007863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90D6C"/>
    <w:multiLevelType w:val="hybridMultilevel"/>
    <w:tmpl w:val="540CE824"/>
    <w:lvl w:ilvl="0" w:tplc="1790353A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443FB"/>
    <w:multiLevelType w:val="hybridMultilevel"/>
    <w:tmpl w:val="5B9016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86E2C"/>
    <w:multiLevelType w:val="hybridMultilevel"/>
    <w:tmpl w:val="FC38ADEC"/>
    <w:lvl w:ilvl="0" w:tplc="56600AE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4C4593"/>
    <w:multiLevelType w:val="hybridMultilevel"/>
    <w:tmpl w:val="DA2A37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0C7F50"/>
    <w:multiLevelType w:val="hybridMultilevel"/>
    <w:tmpl w:val="E55EFC82"/>
    <w:lvl w:ilvl="0" w:tplc="1790353A">
      <w:numFmt w:val="bullet"/>
      <w:lvlText w:val="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E46672E"/>
    <w:multiLevelType w:val="hybridMultilevel"/>
    <w:tmpl w:val="D204622C"/>
    <w:lvl w:ilvl="0" w:tplc="1790353A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E32EA4"/>
    <w:multiLevelType w:val="hybridMultilevel"/>
    <w:tmpl w:val="19D699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5D694F"/>
    <w:multiLevelType w:val="hybridMultilevel"/>
    <w:tmpl w:val="8EB2ED3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EC5398"/>
    <w:multiLevelType w:val="hybridMultilevel"/>
    <w:tmpl w:val="8F7E57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246D8D"/>
    <w:multiLevelType w:val="hybridMultilevel"/>
    <w:tmpl w:val="4F0261EA"/>
    <w:lvl w:ilvl="0" w:tplc="1790353A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8C1562"/>
    <w:multiLevelType w:val="hybridMultilevel"/>
    <w:tmpl w:val="F6804F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2"/>
  </w:num>
  <w:num w:numId="4">
    <w:abstractNumId w:val="4"/>
  </w:num>
  <w:num w:numId="5">
    <w:abstractNumId w:val="13"/>
  </w:num>
  <w:num w:numId="6">
    <w:abstractNumId w:val="11"/>
  </w:num>
  <w:num w:numId="7">
    <w:abstractNumId w:val="3"/>
  </w:num>
  <w:num w:numId="8">
    <w:abstractNumId w:val="1"/>
  </w:num>
  <w:num w:numId="9">
    <w:abstractNumId w:val="14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  <w:num w:numId="14">
    <w:abstractNumId w:val="15"/>
  </w:num>
  <w:num w:numId="15">
    <w:abstractNumId w:val="10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57"/>
    <w:rsid w:val="00030415"/>
    <w:rsid w:val="00047312"/>
    <w:rsid w:val="00051FC7"/>
    <w:rsid w:val="00087ED8"/>
    <w:rsid w:val="001D736B"/>
    <w:rsid w:val="001E02C4"/>
    <w:rsid w:val="001E78CB"/>
    <w:rsid w:val="00200288"/>
    <w:rsid w:val="00217319"/>
    <w:rsid w:val="00257403"/>
    <w:rsid w:val="0025764F"/>
    <w:rsid w:val="002C7E03"/>
    <w:rsid w:val="00310DF9"/>
    <w:rsid w:val="004177C0"/>
    <w:rsid w:val="00431F53"/>
    <w:rsid w:val="00445E85"/>
    <w:rsid w:val="0045419B"/>
    <w:rsid w:val="00460FBD"/>
    <w:rsid w:val="00487055"/>
    <w:rsid w:val="004E1E4D"/>
    <w:rsid w:val="0054080D"/>
    <w:rsid w:val="00543270"/>
    <w:rsid w:val="0055331F"/>
    <w:rsid w:val="00555787"/>
    <w:rsid w:val="0056357C"/>
    <w:rsid w:val="005E63C3"/>
    <w:rsid w:val="006426E6"/>
    <w:rsid w:val="00650B8F"/>
    <w:rsid w:val="00652AE3"/>
    <w:rsid w:val="006833FC"/>
    <w:rsid w:val="006A1354"/>
    <w:rsid w:val="006E6847"/>
    <w:rsid w:val="007415D1"/>
    <w:rsid w:val="007424BF"/>
    <w:rsid w:val="007A2B14"/>
    <w:rsid w:val="008177A2"/>
    <w:rsid w:val="00820E9C"/>
    <w:rsid w:val="00833CE0"/>
    <w:rsid w:val="008419A8"/>
    <w:rsid w:val="00843CB9"/>
    <w:rsid w:val="00891AF0"/>
    <w:rsid w:val="008A648B"/>
    <w:rsid w:val="008A758A"/>
    <w:rsid w:val="008C0267"/>
    <w:rsid w:val="008C7D57"/>
    <w:rsid w:val="009A7445"/>
    <w:rsid w:val="009B510D"/>
    <w:rsid w:val="009B6E63"/>
    <w:rsid w:val="009F2BC7"/>
    <w:rsid w:val="00A41553"/>
    <w:rsid w:val="00A46D05"/>
    <w:rsid w:val="00A91713"/>
    <w:rsid w:val="00AA4801"/>
    <w:rsid w:val="00AD2B03"/>
    <w:rsid w:val="00B743B1"/>
    <w:rsid w:val="00BB6C4F"/>
    <w:rsid w:val="00BF6716"/>
    <w:rsid w:val="00C1211F"/>
    <w:rsid w:val="00C15326"/>
    <w:rsid w:val="00C5586F"/>
    <w:rsid w:val="00C578AF"/>
    <w:rsid w:val="00C8580A"/>
    <w:rsid w:val="00CC723B"/>
    <w:rsid w:val="00D01EF5"/>
    <w:rsid w:val="00D55719"/>
    <w:rsid w:val="00D71449"/>
    <w:rsid w:val="00D845D2"/>
    <w:rsid w:val="00D900B8"/>
    <w:rsid w:val="00D935A0"/>
    <w:rsid w:val="00DC642F"/>
    <w:rsid w:val="00DF1395"/>
    <w:rsid w:val="00E42F2C"/>
    <w:rsid w:val="00E46FAE"/>
    <w:rsid w:val="00E6535F"/>
    <w:rsid w:val="00EA5FCE"/>
    <w:rsid w:val="00F21326"/>
    <w:rsid w:val="00F33AA9"/>
    <w:rsid w:val="00F7459B"/>
    <w:rsid w:val="00F745D0"/>
    <w:rsid w:val="00F74AEE"/>
    <w:rsid w:val="00F96D73"/>
    <w:rsid w:val="00FC5CCB"/>
    <w:rsid w:val="00FE23E0"/>
    <w:rsid w:val="00FE3636"/>
    <w:rsid w:val="00FF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B05C9-648B-43EB-A4F8-DBC9C09F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57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74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5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57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Subtitle"/>
    <w:basedOn w:val="a"/>
    <w:next w:val="a"/>
    <w:link w:val="a5"/>
    <w:uiPriority w:val="11"/>
    <w:qFormat/>
    <w:rsid w:val="00D5571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D55719"/>
    <w:rPr>
      <w:rFonts w:eastAsiaTheme="minorEastAsia"/>
      <w:color w:val="5A5A5A" w:themeColor="text1" w:themeTint="A5"/>
      <w:spacing w:val="15"/>
    </w:rPr>
  </w:style>
  <w:style w:type="character" w:styleId="a6">
    <w:name w:val="Strong"/>
    <w:basedOn w:val="a0"/>
    <w:uiPriority w:val="22"/>
    <w:qFormat/>
    <w:rsid w:val="00D55719"/>
    <w:rPr>
      <w:b/>
      <w:bCs/>
    </w:rPr>
  </w:style>
  <w:style w:type="paragraph" w:styleId="a7">
    <w:name w:val="No Spacing"/>
    <w:uiPriority w:val="1"/>
    <w:qFormat/>
    <w:rsid w:val="009A744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A74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9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78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D99B3-17B9-4FE3-8927-85BDD867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3951</Words>
  <Characters>2253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2021-09-14T08:42:00Z</dcterms:created>
  <dcterms:modified xsi:type="dcterms:W3CDTF">2021-09-14T13:55:00Z</dcterms:modified>
</cp:coreProperties>
</file>