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1954" w:rsidRPr="006E5643" w:rsidRDefault="00AF37E1">
      <w:pPr>
        <w:rPr>
          <w:rFonts w:ascii="Times New Roman" w:hAnsi="Times New Roman" w:cs="Times New Roman"/>
          <w:sz w:val="18"/>
          <w:szCs w:val="18"/>
          <w:lang w:val="ru-RU"/>
        </w:rPr>
      </w:pPr>
      <w:r w:rsidRPr="006E5643">
        <w:rPr>
          <w:rFonts w:ascii="Times New Roman" w:hAnsi="Times New Roman" w:cs="Times New Roman"/>
          <w:sz w:val="18"/>
          <w:szCs w:val="18"/>
          <w:lang w:val="ru-RU"/>
        </w:rPr>
        <w:fldChar w:fldCharType="begin"/>
      </w:r>
      <w:r w:rsidRPr="006E5643">
        <w:rPr>
          <w:rFonts w:ascii="Times New Roman" w:hAnsi="Times New Roman" w:cs="Times New Roman"/>
          <w:sz w:val="18"/>
          <w:szCs w:val="18"/>
          <w:lang w:val="ru-RU"/>
        </w:rPr>
        <w:instrText xml:space="preserve"> HYPERLINK "https://www.hopearea.com/analysis/" </w:instrText>
      </w:r>
      <w:r w:rsidRPr="006E5643">
        <w:rPr>
          <w:rFonts w:ascii="Times New Roman" w:hAnsi="Times New Roman" w:cs="Times New Roman"/>
          <w:sz w:val="18"/>
          <w:szCs w:val="18"/>
          <w:lang w:val="ru-RU"/>
        </w:rPr>
        <w:fldChar w:fldCharType="separate"/>
      </w:r>
      <w:r w:rsidRPr="006E5643">
        <w:rPr>
          <w:rStyle w:val="a3"/>
          <w:rFonts w:ascii="Times New Roman" w:hAnsi="Times New Roman" w:cs="Times New Roman"/>
          <w:sz w:val="18"/>
          <w:szCs w:val="18"/>
          <w:lang w:val="ru-RU"/>
        </w:rPr>
        <w:t>https://www.hopearea.com/analysis/</w:t>
      </w:r>
      <w:r w:rsidRPr="006E5643">
        <w:rPr>
          <w:rFonts w:ascii="Times New Roman" w:hAnsi="Times New Roman" w:cs="Times New Roman"/>
          <w:sz w:val="18"/>
          <w:szCs w:val="18"/>
          <w:lang w:val="ru-RU"/>
        </w:rPr>
        <w:fldChar w:fldCharType="end"/>
      </w:r>
    </w:p>
    <w:p w:rsidR="00AF37E1" w:rsidRPr="006E5643" w:rsidRDefault="00AF37E1">
      <w:pPr>
        <w:rPr>
          <w:rFonts w:ascii="Times New Roman" w:hAnsi="Times New Roman" w:cs="Times New Roman"/>
          <w:b/>
          <w:sz w:val="18"/>
          <w:szCs w:val="18"/>
          <w:lang w:val="ru-RU"/>
        </w:rPr>
      </w:pPr>
      <w:r w:rsidRPr="006E5643">
        <w:rPr>
          <w:rFonts w:ascii="Times New Roman" w:hAnsi="Times New Roman" w:cs="Times New Roman"/>
          <w:b/>
          <w:sz w:val="18"/>
          <w:szCs w:val="18"/>
          <w:lang w:val="ru-RU"/>
        </w:rPr>
        <w:t>АНАЛИЗ</w:t>
      </w:r>
    </w:p>
    <w:p w:rsidR="00AF37E1" w:rsidRPr="006E5643" w:rsidRDefault="00AF37E1" w:rsidP="00AF37E1">
      <w:pPr>
        <w:jc w:val="center"/>
        <w:rPr>
          <w:rFonts w:ascii="Times New Roman" w:hAnsi="Times New Roman" w:cs="Times New Roman"/>
          <w:b/>
          <w:sz w:val="18"/>
          <w:szCs w:val="18"/>
          <w:lang w:val="ru-RU"/>
        </w:rPr>
      </w:pPr>
      <w:r w:rsidRPr="006E5643">
        <w:rPr>
          <w:rFonts w:ascii="Times New Roman" w:hAnsi="Times New Roman" w:cs="Times New Roman"/>
          <w:b/>
          <w:sz w:val="18"/>
          <w:szCs w:val="18"/>
          <w:lang w:val="ru-RU"/>
        </w:rPr>
        <w:t>ЭЕСПЕРТНАЯ ОЦЕНКА</w:t>
      </w:r>
    </w:p>
    <w:p w:rsidR="00AF37E1" w:rsidRPr="006E5643" w:rsidRDefault="00AF37E1" w:rsidP="00AF37E1">
      <w:pPr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proofErr w:type="spellStart"/>
      <w:r w:rsidRPr="006E5643">
        <w:rPr>
          <w:rFonts w:ascii="Times New Roman" w:hAnsi="Times New Roman" w:cs="Times New Roman"/>
          <w:sz w:val="18"/>
          <w:szCs w:val="18"/>
          <w:lang w:val="ru-RU"/>
        </w:rPr>
        <w:t>Hope</w:t>
      </w:r>
      <w:proofErr w:type="spellEnd"/>
      <w:r w:rsidRPr="006E5643">
        <w:rPr>
          <w:rFonts w:ascii="Times New Roman" w:hAnsi="Times New Roman" w:cs="Times New Roman"/>
          <w:sz w:val="18"/>
          <w:szCs w:val="18"/>
          <w:lang w:val="ru-RU"/>
        </w:rPr>
        <w:t xml:space="preserve"> </w:t>
      </w:r>
      <w:proofErr w:type="spellStart"/>
      <w:r w:rsidRPr="006E5643">
        <w:rPr>
          <w:rFonts w:ascii="Times New Roman" w:hAnsi="Times New Roman" w:cs="Times New Roman"/>
          <w:sz w:val="18"/>
          <w:szCs w:val="18"/>
          <w:lang w:val="ru-RU"/>
        </w:rPr>
        <w:t>Area</w:t>
      </w:r>
      <w:proofErr w:type="spellEnd"/>
      <w:r w:rsidRPr="006E5643">
        <w:rPr>
          <w:rFonts w:ascii="Times New Roman" w:hAnsi="Times New Roman" w:cs="Times New Roman"/>
          <w:sz w:val="18"/>
          <w:szCs w:val="18"/>
          <w:lang w:val="ru-RU"/>
        </w:rPr>
        <w:t xml:space="preserve"> пров</w:t>
      </w:r>
      <w:r w:rsidR="00F61BA0" w:rsidRPr="006E5643">
        <w:rPr>
          <w:rFonts w:ascii="Times New Roman" w:hAnsi="Times New Roman" w:cs="Times New Roman"/>
          <w:sz w:val="18"/>
          <w:szCs w:val="18"/>
          <w:lang w:val="ru-RU"/>
        </w:rPr>
        <w:t>едет</w:t>
      </w:r>
      <w:r w:rsidRPr="006E5643">
        <w:rPr>
          <w:rFonts w:ascii="Times New Roman" w:hAnsi="Times New Roman" w:cs="Times New Roman"/>
          <w:sz w:val="18"/>
          <w:szCs w:val="18"/>
          <w:lang w:val="ru-RU"/>
        </w:rPr>
        <w:t xml:space="preserve"> вас по нестабильны</w:t>
      </w:r>
      <w:r w:rsidR="00F61BA0" w:rsidRPr="006E5643">
        <w:rPr>
          <w:rFonts w:ascii="Times New Roman" w:hAnsi="Times New Roman" w:cs="Times New Roman"/>
          <w:sz w:val="18"/>
          <w:szCs w:val="18"/>
          <w:lang w:val="ru-RU"/>
        </w:rPr>
        <w:t>м</w:t>
      </w:r>
      <w:r w:rsidRPr="006E5643">
        <w:rPr>
          <w:rFonts w:ascii="Times New Roman" w:hAnsi="Times New Roman" w:cs="Times New Roman"/>
          <w:sz w:val="18"/>
          <w:szCs w:val="18"/>
          <w:lang w:val="ru-RU"/>
        </w:rPr>
        <w:t xml:space="preserve"> рынка</w:t>
      </w:r>
      <w:r w:rsidR="00F61BA0" w:rsidRPr="006E5643">
        <w:rPr>
          <w:rFonts w:ascii="Times New Roman" w:hAnsi="Times New Roman" w:cs="Times New Roman"/>
          <w:sz w:val="18"/>
          <w:szCs w:val="18"/>
          <w:lang w:val="ru-RU"/>
        </w:rPr>
        <w:t>м</w:t>
      </w:r>
      <w:r w:rsidRPr="006E5643">
        <w:rPr>
          <w:rFonts w:ascii="Times New Roman" w:hAnsi="Times New Roman" w:cs="Times New Roman"/>
          <w:sz w:val="18"/>
          <w:szCs w:val="18"/>
          <w:lang w:val="ru-RU"/>
        </w:rPr>
        <w:t xml:space="preserve"> с уверенностью и опытом, используя уникальный трехсторонний подход.</w:t>
      </w:r>
    </w:p>
    <w:p w:rsidR="00F61BA0" w:rsidRPr="006E5643" w:rsidRDefault="00F61BA0" w:rsidP="00AF37E1">
      <w:pPr>
        <w:jc w:val="center"/>
        <w:rPr>
          <w:rFonts w:ascii="Times New Roman" w:hAnsi="Times New Roman" w:cs="Times New Roman"/>
          <w:sz w:val="18"/>
          <w:szCs w:val="18"/>
          <w:lang w:val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3226"/>
        <w:gridCol w:w="3227"/>
      </w:tblGrid>
      <w:tr w:rsidR="00AF37E1" w:rsidRPr="0033427D" w:rsidTr="00AF37E1">
        <w:tc>
          <w:tcPr>
            <w:tcW w:w="3226" w:type="dxa"/>
          </w:tcPr>
          <w:p w:rsidR="00AF37E1" w:rsidRPr="006E5643" w:rsidRDefault="00AF37E1" w:rsidP="00AF37E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6E5643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Внимание</w:t>
            </w:r>
          </w:p>
          <w:p w:rsidR="00AF37E1" w:rsidRPr="006E5643" w:rsidRDefault="00AF37E1" w:rsidP="00AF37E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E564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Сосредоточить внимание на активы, которые подходят для торговых возможностей и интересов наших клиентов</w:t>
            </w:r>
          </w:p>
        </w:tc>
        <w:tc>
          <w:tcPr>
            <w:tcW w:w="3226" w:type="dxa"/>
          </w:tcPr>
          <w:p w:rsidR="00AF37E1" w:rsidRPr="006E5643" w:rsidRDefault="00AF37E1" w:rsidP="00AF37E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6E5643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Взгляд</w:t>
            </w:r>
          </w:p>
          <w:p w:rsidR="00AF37E1" w:rsidRPr="006E5643" w:rsidRDefault="00AF37E1" w:rsidP="00AF37E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E564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Предусмотрительно узнавать о новых акциях и валютах по всему спектру рынков</w:t>
            </w:r>
          </w:p>
        </w:tc>
        <w:tc>
          <w:tcPr>
            <w:tcW w:w="3227" w:type="dxa"/>
          </w:tcPr>
          <w:p w:rsidR="00AF37E1" w:rsidRPr="006E5643" w:rsidRDefault="00AF37E1" w:rsidP="00AF37E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6E5643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Сила</w:t>
            </w:r>
          </w:p>
          <w:p w:rsidR="00AF37E1" w:rsidRPr="006E5643" w:rsidRDefault="00AF37E1" w:rsidP="00AF37E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E564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Наша сила основана на точном техническом и фундаментальном анализе, надежном управлении рисками и проверенных стратегиях хеджирования.</w:t>
            </w:r>
          </w:p>
        </w:tc>
      </w:tr>
    </w:tbl>
    <w:p w:rsidR="00AF37E1" w:rsidRPr="006E5643" w:rsidRDefault="00AF37E1" w:rsidP="00AF37E1">
      <w:pPr>
        <w:rPr>
          <w:rFonts w:ascii="Times New Roman" w:hAnsi="Times New Roman" w:cs="Times New Roman"/>
          <w:b/>
          <w:sz w:val="18"/>
          <w:szCs w:val="18"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2"/>
        <w:gridCol w:w="709"/>
        <w:gridCol w:w="709"/>
        <w:gridCol w:w="709"/>
        <w:gridCol w:w="992"/>
        <w:gridCol w:w="1134"/>
        <w:gridCol w:w="992"/>
        <w:gridCol w:w="992"/>
        <w:gridCol w:w="2880"/>
      </w:tblGrid>
      <w:tr w:rsidR="00BF5CDF" w:rsidRPr="006E5643" w:rsidTr="00BF5CDF">
        <w:tc>
          <w:tcPr>
            <w:tcW w:w="2689" w:type="dxa"/>
            <w:gridSpan w:val="4"/>
          </w:tcPr>
          <w:p w:rsidR="00BF5CDF" w:rsidRPr="006E5643" w:rsidRDefault="00BF5CDF" w:rsidP="00BF5CD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6E5643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ТОП-ТРЕЙДЫ</w:t>
            </w:r>
          </w:p>
        </w:tc>
        <w:tc>
          <w:tcPr>
            <w:tcW w:w="4110" w:type="dxa"/>
            <w:gridSpan w:val="4"/>
          </w:tcPr>
          <w:p w:rsidR="00BF5CDF" w:rsidRPr="006E5643" w:rsidRDefault="00BF5CDF" w:rsidP="00BF5CD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6E5643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ПОПУЛЯРНЫЕ ТЕНДЕНЦИИ</w:t>
            </w:r>
          </w:p>
        </w:tc>
        <w:tc>
          <w:tcPr>
            <w:tcW w:w="2880" w:type="dxa"/>
          </w:tcPr>
          <w:p w:rsidR="00BF5CDF" w:rsidRPr="006E5643" w:rsidRDefault="00BF5CDF" w:rsidP="00BF5CD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6E5643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ФИНАНСОВЫЕ НОВОСТИ</w:t>
            </w:r>
          </w:p>
        </w:tc>
      </w:tr>
      <w:tr w:rsidR="00BF5CDF" w:rsidRPr="006E5643" w:rsidTr="00BF5CDF">
        <w:tc>
          <w:tcPr>
            <w:tcW w:w="562" w:type="dxa"/>
          </w:tcPr>
          <w:p w:rsidR="00BF5CDF" w:rsidRPr="006E5643" w:rsidRDefault="00BF5CDF" w:rsidP="00AF37E1">
            <w:pPr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</w:tcPr>
          <w:p w:rsidR="00BF5CDF" w:rsidRPr="006E5643" w:rsidRDefault="00BF5CDF" w:rsidP="00AF37E1">
            <w:pPr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</w:tcPr>
          <w:p w:rsidR="00BF5CDF" w:rsidRPr="006E5643" w:rsidRDefault="00BF5CDF" w:rsidP="00AF37E1">
            <w:pPr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</w:tcPr>
          <w:p w:rsidR="00BF5CDF" w:rsidRPr="006E5643" w:rsidRDefault="00BF5CDF" w:rsidP="00AF37E1">
            <w:pPr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</w:tcPr>
          <w:p w:rsidR="00BF5CDF" w:rsidRPr="006E5643" w:rsidRDefault="00BF5CDF" w:rsidP="00AF37E1">
            <w:pPr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</w:tcPr>
          <w:p w:rsidR="00BF5CDF" w:rsidRPr="006E5643" w:rsidRDefault="00BF5CDF" w:rsidP="00AF37E1">
            <w:pPr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</w:tcPr>
          <w:p w:rsidR="00BF5CDF" w:rsidRPr="006E5643" w:rsidRDefault="00BF5CDF" w:rsidP="00AF37E1">
            <w:pPr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</w:tcPr>
          <w:p w:rsidR="00BF5CDF" w:rsidRPr="006E5643" w:rsidRDefault="00BF5CDF" w:rsidP="00AF37E1">
            <w:pPr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</w:p>
        </w:tc>
        <w:tc>
          <w:tcPr>
            <w:tcW w:w="2880" w:type="dxa"/>
          </w:tcPr>
          <w:p w:rsidR="00BF5CDF" w:rsidRPr="006E5643" w:rsidRDefault="00BF5CDF" w:rsidP="00AF37E1">
            <w:pPr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</w:p>
        </w:tc>
      </w:tr>
    </w:tbl>
    <w:p w:rsidR="00BF5CDF" w:rsidRPr="006E5643" w:rsidRDefault="00BF5CDF" w:rsidP="00AF37E1">
      <w:pPr>
        <w:rPr>
          <w:rFonts w:ascii="Times New Roman" w:hAnsi="Times New Roman" w:cs="Times New Roman"/>
          <w:b/>
          <w:sz w:val="18"/>
          <w:szCs w:val="18"/>
          <w:lang w:val="ru-RU"/>
        </w:rPr>
      </w:pPr>
    </w:p>
    <w:p w:rsidR="00BF5CDF" w:rsidRPr="006E5643" w:rsidRDefault="00BF5CDF" w:rsidP="00AF37E1">
      <w:pPr>
        <w:rPr>
          <w:rFonts w:ascii="Times New Roman" w:hAnsi="Times New Roman" w:cs="Times New Roman"/>
          <w:b/>
          <w:sz w:val="18"/>
          <w:szCs w:val="18"/>
          <w:lang w:val="ru-RU"/>
        </w:rPr>
      </w:pPr>
      <w:bookmarkStart w:id="0" w:name="_GoBack"/>
      <w:bookmarkEnd w:id="0"/>
    </w:p>
    <w:p w:rsidR="00BF5CDF" w:rsidRPr="006E5643" w:rsidRDefault="00BF5CDF" w:rsidP="00AF37E1">
      <w:pPr>
        <w:rPr>
          <w:rFonts w:ascii="Times New Roman" w:hAnsi="Times New Roman" w:cs="Times New Roman"/>
          <w:b/>
          <w:sz w:val="18"/>
          <w:szCs w:val="18"/>
          <w:lang w:val="ru-RU"/>
        </w:rPr>
      </w:pPr>
    </w:p>
    <w:sectPr w:rsidR="00BF5CDF" w:rsidRPr="006E5643">
      <w:headerReference w:type="default" r:id="rId6"/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3FA4" w:rsidRDefault="00543FA4" w:rsidP="006E5643">
      <w:pPr>
        <w:spacing w:after="0" w:line="240" w:lineRule="auto"/>
      </w:pPr>
      <w:r>
        <w:separator/>
      </w:r>
    </w:p>
  </w:endnote>
  <w:endnote w:type="continuationSeparator" w:id="0">
    <w:p w:rsidR="00543FA4" w:rsidRDefault="00543FA4" w:rsidP="006E5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3FA4" w:rsidRDefault="00543FA4" w:rsidP="006E5643">
      <w:pPr>
        <w:spacing w:after="0" w:line="240" w:lineRule="auto"/>
      </w:pPr>
      <w:r>
        <w:separator/>
      </w:r>
    </w:p>
  </w:footnote>
  <w:footnote w:type="continuationSeparator" w:id="0">
    <w:p w:rsidR="00543FA4" w:rsidRDefault="00543FA4" w:rsidP="006E56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5643" w:rsidRDefault="006E5643">
    <w:pPr>
      <w:pStyle w:val="a5"/>
    </w:pPr>
    <w:r>
      <w:rPr>
        <w:noProof/>
      </w:rPr>
      <w:drawing>
        <wp:inline distT="0" distB="0" distL="0" distR="0" wp14:anchorId="57248654" wp14:editId="2F4216A3">
          <wp:extent cx="1311981" cy="356870"/>
          <wp:effectExtent l="0" t="0" r="8890" b="0"/>
          <wp:docPr id="2" name="Picture 2" descr="../../pack/hope%20area%20logo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../../pack/hope%20area%20logo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8560" cy="35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E5643" w:rsidRDefault="006E564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D89"/>
    <w:rsid w:val="0033427D"/>
    <w:rsid w:val="00543FA4"/>
    <w:rsid w:val="005A1954"/>
    <w:rsid w:val="006E5643"/>
    <w:rsid w:val="00AF37E1"/>
    <w:rsid w:val="00B35A54"/>
    <w:rsid w:val="00BF5CDF"/>
    <w:rsid w:val="00DA0AE7"/>
    <w:rsid w:val="00F61BA0"/>
    <w:rsid w:val="00FA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2129FE"/>
  <w15:chartTrackingRefBased/>
  <w15:docId w15:val="{E3AAA789-1788-4775-8A82-49B6ADBDD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E1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AF37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E564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E5643"/>
  </w:style>
  <w:style w:type="paragraph" w:styleId="a7">
    <w:name w:val="footer"/>
    <w:basedOn w:val="a"/>
    <w:link w:val="a8"/>
    <w:uiPriority w:val="99"/>
    <w:unhideWhenUsed/>
    <w:rsid w:val="006E564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E56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2018-07-16T17:20:00Z</dcterms:created>
  <dcterms:modified xsi:type="dcterms:W3CDTF">2018-07-19T04:11:00Z</dcterms:modified>
</cp:coreProperties>
</file>