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4"/>
          <w:szCs w:val="24"/>
          <w:u w:val="single"/>
        </w:rPr>
      </w:pPr>
      <w:r w:rsidDel="00000000" w:rsidR="00000000" w:rsidRPr="00000000">
        <w:rPr>
          <w:b w:val="1"/>
          <w:sz w:val="24"/>
          <w:szCs w:val="24"/>
          <w:u w:val="single"/>
          <w:rtl w:val="0"/>
        </w:rPr>
        <w:t xml:space="preserve">Italiano-Русский-Український</w:t>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 </w:t>
      </w:r>
    </w:p>
    <w:p w:rsidR="00000000" w:rsidDel="00000000" w:rsidP="00000000" w:rsidRDefault="00000000" w:rsidRPr="00000000" w14:paraId="00000004">
      <w:pPr>
        <w:rPr>
          <w:b w:val="1"/>
          <w:sz w:val="36"/>
          <w:szCs w:val="36"/>
        </w:rPr>
      </w:pPr>
      <w:r w:rsidDel="00000000" w:rsidR="00000000" w:rsidRPr="00000000">
        <w:rPr>
          <w:rFonts w:ascii="Lora" w:cs="Lora" w:eastAsia="Lora" w:hAnsi="Lora"/>
          <w:b w:val="1"/>
          <w:sz w:val="28"/>
          <w:szCs w:val="28"/>
          <w:rtl w:val="0"/>
        </w:rPr>
        <w:t xml:space="preserve">Литературный отрывок</w:t>
      </w:r>
      <w:r w:rsidDel="00000000" w:rsidR="00000000" w:rsidRPr="00000000">
        <w:rPr>
          <w:b w:val="1"/>
          <w:sz w:val="36"/>
          <w:szCs w:val="36"/>
          <w:rtl w:val="0"/>
        </w:rPr>
        <w:t xml:space="preserve">  </w:t>
      </w:r>
    </w:p>
    <w:p w:rsidR="00000000" w:rsidDel="00000000" w:rsidP="00000000" w:rsidRDefault="00000000" w:rsidRPr="00000000" w14:paraId="00000005">
      <w:pPr>
        <w:jc w:val="center"/>
        <w:rPr>
          <w:rFonts w:ascii="Lora" w:cs="Lora" w:eastAsia="Lora" w:hAnsi="Lora"/>
          <w:b w:val="1"/>
          <w:sz w:val="36"/>
          <w:szCs w:val="36"/>
        </w:rPr>
      </w:pPr>
      <w:r w:rsidDel="00000000" w:rsidR="00000000" w:rsidRPr="00000000">
        <w:rPr>
          <w:rFonts w:ascii="Lora" w:cs="Lora" w:eastAsia="Lora" w:hAnsi="Lora"/>
          <w:b w:val="1"/>
          <w:sz w:val="36"/>
          <w:szCs w:val="36"/>
          <w:highlight w:val="white"/>
          <w:rtl w:val="0"/>
        </w:rPr>
        <w:t xml:space="preserve">L'Alchimista</w:t>
      </w:r>
      <w:r w:rsidDel="00000000" w:rsidR="00000000" w:rsidRPr="00000000">
        <w:rPr>
          <w:rFonts w:ascii="Lora" w:cs="Lora" w:eastAsia="Lora" w:hAnsi="Lora"/>
          <w:b w:val="1"/>
          <w:sz w:val="36"/>
          <w:szCs w:val="36"/>
          <w:highlight w:val="white"/>
          <w:rtl w:val="0"/>
        </w:rPr>
        <w:t xml:space="preserve"> di Paulo </w:t>
      </w:r>
      <w:r w:rsidDel="00000000" w:rsidR="00000000" w:rsidRPr="00000000">
        <w:rPr>
          <w:rFonts w:ascii="Lora" w:cs="Lora" w:eastAsia="Lora" w:hAnsi="Lora"/>
          <w:b w:val="1"/>
          <w:sz w:val="36"/>
          <w:szCs w:val="36"/>
          <w:highlight w:val="white"/>
          <w:rtl w:val="0"/>
        </w:rPr>
        <w:t xml:space="preserve">Coelho</w:t>
      </w:r>
      <w:r w:rsidDel="00000000" w:rsidR="00000000" w:rsidRPr="00000000">
        <w:rPr>
          <w:rtl w:val="0"/>
        </w:rPr>
      </w:r>
    </w:p>
    <w:p w:rsidR="00000000" w:rsidDel="00000000" w:rsidP="00000000" w:rsidRDefault="00000000" w:rsidRPr="00000000" w14:paraId="00000006">
      <w:pPr>
        <w:rPr>
          <w:rFonts w:ascii="Lora" w:cs="Lora" w:eastAsia="Lora" w:hAnsi="Lora"/>
          <w:b w:val="1"/>
          <w:sz w:val="36"/>
          <w:szCs w:val="36"/>
        </w:rPr>
      </w:pPr>
      <w:r w:rsidDel="00000000" w:rsidR="00000000" w:rsidRPr="00000000">
        <w:rPr>
          <w:rtl w:val="0"/>
        </w:rPr>
      </w:r>
    </w:p>
    <w:p w:rsidR="00000000" w:rsidDel="00000000" w:rsidP="00000000" w:rsidRDefault="00000000" w:rsidRPr="00000000" w14:paraId="00000007">
      <w:pPr>
        <w:rPr>
          <w:rFonts w:ascii="Lora" w:cs="Lora" w:eastAsia="Lora" w:hAnsi="Lora"/>
          <w:sz w:val="24"/>
          <w:szCs w:val="24"/>
        </w:rPr>
      </w:pPr>
      <w:r w:rsidDel="00000000" w:rsidR="00000000" w:rsidRPr="00000000">
        <w:rPr>
          <w:rFonts w:ascii="Lora" w:cs="Lora" w:eastAsia="Lora" w:hAnsi="Lora"/>
          <w:sz w:val="24"/>
          <w:szCs w:val="24"/>
          <w:rtl w:val="0"/>
        </w:rPr>
        <w:t xml:space="preserve">Tornai a casa. Quando rientrai, Christina, mia moglie, non disse niente: sapeva che mi trovavo nel mezzo di una tempesta, di un furioso temporale come quello che minacciava di abbattersi da un momento all’altro su Rio de Janeiro. Dopo pranzo, forse stanco dell’indecisione e dell’inattività, sprofondai in un sonno pesante, senza sogni. Quando mi svegliai, l’orologio segnava le sette di sera. I televisori dei vicini erano accesi, e io udivo il loro sonoro e il rumore confuso e vivace delle famiglie che si accingevano a cenare, a guardare qualche programma e a parlare della giornata di lavoro. Con un leggero senso di colpa, tornai al mio tavolo nello studio, alla mia pagina bianca: mi ripromisi che sarei rimasto lì almeno mezz’ora, anche se non fossi riuscito a fare niente.</w:t>
      </w:r>
    </w:p>
    <w:p w:rsidR="00000000" w:rsidDel="00000000" w:rsidP="00000000" w:rsidRDefault="00000000" w:rsidRPr="00000000" w14:paraId="00000008">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09">
      <w:pPr>
        <w:jc w:val="center"/>
        <w:rPr>
          <w:rFonts w:ascii="Lora" w:cs="Lora" w:eastAsia="Lora" w:hAnsi="Lora"/>
          <w:b w:val="1"/>
          <w:sz w:val="36"/>
          <w:szCs w:val="36"/>
        </w:rPr>
      </w:pPr>
      <w:r w:rsidDel="00000000" w:rsidR="00000000" w:rsidRPr="00000000">
        <w:rPr>
          <w:rFonts w:ascii="Lora" w:cs="Lora" w:eastAsia="Lora" w:hAnsi="Lora"/>
          <w:b w:val="1"/>
          <w:sz w:val="36"/>
          <w:szCs w:val="36"/>
          <w:rtl w:val="0"/>
        </w:rPr>
        <w:t xml:space="preserve"> “Алхимик” П.Коэльо</w:t>
      </w:r>
    </w:p>
    <w:p w:rsidR="00000000" w:rsidDel="00000000" w:rsidP="00000000" w:rsidRDefault="00000000" w:rsidRPr="00000000" w14:paraId="0000000A">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0B">
      <w:pPr>
        <w:rPr>
          <w:rFonts w:ascii="Lora" w:cs="Lora" w:eastAsia="Lora" w:hAnsi="Lora"/>
          <w:sz w:val="24"/>
          <w:szCs w:val="24"/>
        </w:rPr>
      </w:pPr>
      <w:r w:rsidDel="00000000" w:rsidR="00000000" w:rsidRPr="00000000">
        <w:rPr>
          <w:rFonts w:ascii="Lora" w:cs="Lora" w:eastAsia="Lora" w:hAnsi="Lora"/>
          <w:sz w:val="24"/>
          <w:szCs w:val="24"/>
          <w:rtl w:val="0"/>
        </w:rPr>
        <w:t xml:space="preserve">Вернулся домой. Когда вошел, Кристина, моя жена, не сказала ничего: знала, что я попал в жуткую непогоду, одна из бурь, которая должна была обрушиться с минуты на минуту на Рио-Де-Жанейро. После обеда, возможно, уставший от нерешительности и бездействия, провалился в глубокий сон без сновидений. Когда проснулся, на часах было семь часов вечера. Телевизоры соседей были включены и я улавливал их звуки, а также живой и конфузный шум семей, которые садились ужинать, посмотреть какую- нибудь программу и поговорить о прошедшем рабочем дне.  С легким чувством вины, вернулся к моему письменному столу, в рабочем кабинете, к чистому листу: пообещав себе - поработать, как минимум полчас, даже если  неудасться ничего написать. </w:t>
      </w:r>
    </w:p>
    <w:p w:rsidR="00000000" w:rsidDel="00000000" w:rsidP="00000000" w:rsidRDefault="00000000" w:rsidRPr="00000000" w14:paraId="0000000C">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0D">
      <w:pPr>
        <w:jc w:val="center"/>
        <w:rPr>
          <w:rFonts w:ascii="Lora" w:cs="Lora" w:eastAsia="Lora" w:hAnsi="Lora"/>
          <w:b w:val="1"/>
          <w:sz w:val="36"/>
          <w:szCs w:val="36"/>
        </w:rPr>
      </w:pPr>
      <w:r w:rsidDel="00000000" w:rsidR="00000000" w:rsidRPr="00000000">
        <w:rPr>
          <w:rFonts w:ascii="Lora" w:cs="Lora" w:eastAsia="Lora" w:hAnsi="Lora"/>
          <w:b w:val="1"/>
          <w:sz w:val="36"/>
          <w:szCs w:val="36"/>
          <w:rtl w:val="0"/>
        </w:rPr>
        <w:t xml:space="preserve"> “Алхімік” П.Коэльо</w:t>
      </w:r>
    </w:p>
    <w:p w:rsidR="00000000" w:rsidDel="00000000" w:rsidP="00000000" w:rsidRDefault="00000000" w:rsidRPr="00000000" w14:paraId="0000000E">
      <w:pPr>
        <w:rPr>
          <w:rFonts w:ascii="Lora" w:cs="Lora" w:eastAsia="Lora" w:hAnsi="Lora"/>
          <w:sz w:val="24"/>
          <w:szCs w:val="24"/>
        </w:rPr>
      </w:pPr>
      <w:r w:rsidDel="00000000" w:rsidR="00000000" w:rsidRPr="00000000">
        <w:rPr>
          <w:rtl w:val="0"/>
        </w:rPr>
      </w:r>
    </w:p>
    <w:p w:rsidR="00000000" w:rsidDel="00000000" w:rsidP="00000000" w:rsidRDefault="00000000" w:rsidRPr="00000000" w14:paraId="0000000F">
      <w:pPr>
        <w:rPr>
          <w:rFonts w:ascii="Lora" w:cs="Lora" w:eastAsia="Lora" w:hAnsi="Lora"/>
          <w:sz w:val="24"/>
          <w:szCs w:val="24"/>
        </w:rPr>
      </w:pPr>
      <w:r w:rsidDel="00000000" w:rsidR="00000000" w:rsidRPr="00000000">
        <w:rPr>
          <w:rFonts w:ascii="Lora" w:cs="Lora" w:eastAsia="Lora" w:hAnsi="Lora"/>
          <w:sz w:val="24"/>
          <w:szCs w:val="24"/>
          <w:rtl w:val="0"/>
        </w:rPr>
        <w:t xml:space="preserve">Повернувся до хати. Коли зайшов, Христина, моя жінка, нічого не промовила: знала, що я попав у негоду, одна з тих бурь, яка повинна була обрушитися з хвилини на хвилину на Ріо-Де-Жанейро. Після обіду, певно, виснаженний від невпевненості та бездіяльності, звалився у глибокий сон без сновидінь. Коли прокинувся, на часах була сьома година вечора. Телевізори сусідів були увімкнені і я вловлював їх звуки, м також живий конфузний гомін родин, які сідали вечеряти, подивитися яку-небудь программу і побалакати про минулий робочий день. З легким відчуттям вини, повернувся до мого письмового столу, у робочій кімнаті, до чистого листу: пообіцявши собі - попрацювати, як найменше півгодини, навіть якщо, не вдасться нічого написати. </w:t>
      </w:r>
    </w:p>
    <w:p w:rsidR="00000000" w:rsidDel="00000000" w:rsidP="00000000" w:rsidRDefault="00000000" w:rsidRPr="00000000" w14:paraId="00000010">
      <w:pPr>
        <w:rPr>
          <w:rFonts w:ascii="Lora" w:cs="Lora" w:eastAsia="Lora" w:hAnsi="Lora"/>
          <w:b w:val="1"/>
          <w:sz w:val="28"/>
          <w:szCs w:val="28"/>
        </w:rPr>
      </w:pPr>
      <w:r w:rsidDel="00000000" w:rsidR="00000000" w:rsidRPr="00000000">
        <w:rPr>
          <w:rtl w:val="0"/>
        </w:rPr>
      </w:r>
    </w:p>
    <w:p w:rsidR="00000000" w:rsidDel="00000000" w:rsidP="00000000" w:rsidRDefault="00000000" w:rsidRPr="00000000" w14:paraId="00000011">
      <w:pPr>
        <w:rPr>
          <w:rFonts w:ascii="Lora" w:cs="Lora" w:eastAsia="Lora" w:hAnsi="Lora"/>
          <w:b w:val="1"/>
          <w:sz w:val="28"/>
          <w:szCs w:val="28"/>
        </w:rPr>
      </w:pPr>
      <w:r w:rsidDel="00000000" w:rsidR="00000000" w:rsidRPr="00000000">
        <w:rPr>
          <w:rtl w:val="0"/>
        </w:rPr>
      </w:r>
    </w:p>
    <w:p w:rsidR="00000000" w:rsidDel="00000000" w:rsidP="00000000" w:rsidRDefault="00000000" w:rsidRPr="00000000" w14:paraId="00000012">
      <w:pPr>
        <w:rPr>
          <w:rFonts w:ascii="Lora" w:cs="Lora" w:eastAsia="Lora" w:hAnsi="Lora"/>
          <w:b w:val="1"/>
          <w:sz w:val="28"/>
          <w:szCs w:val="28"/>
        </w:rPr>
      </w:pPr>
      <w:r w:rsidDel="00000000" w:rsidR="00000000" w:rsidRPr="00000000">
        <w:rPr>
          <w:rFonts w:ascii="Lora" w:cs="Lora" w:eastAsia="Lora" w:hAnsi="Lora"/>
          <w:b w:val="1"/>
          <w:sz w:val="28"/>
          <w:szCs w:val="28"/>
          <w:rtl w:val="0"/>
        </w:rPr>
        <w:t xml:space="preserve">Технический отрывок</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jc w:val="center"/>
        <w:rPr>
          <w:rFonts w:ascii="Lora" w:cs="Lora" w:eastAsia="Lora" w:hAnsi="Lora"/>
          <w:b w:val="1"/>
          <w:sz w:val="24"/>
          <w:szCs w:val="24"/>
          <w:highlight w:val="white"/>
        </w:rPr>
      </w:pPr>
      <w:r w:rsidDel="00000000" w:rsidR="00000000" w:rsidRPr="00000000">
        <w:rPr>
          <w:rFonts w:ascii="Lora" w:cs="Lora" w:eastAsia="Lora" w:hAnsi="Lora"/>
          <w:b w:val="1"/>
          <w:sz w:val="36"/>
          <w:szCs w:val="36"/>
          <w:highlight w:val="white"/>
          <w:rtl w:val="0"/>
        </w:rPr>
        <w:t xml:space="preserve">Truffa contrattuale</w:t>
      </w:r>
      <w:r w:rsidDel="00000000" w:rsidR="00000000" w:rsidRPr="00000000">
        <w:rPr>
          <w:rtl w:val="0"/>
        </w:rPr>
      </w:r>
    </w:p>
    <w:p w:rsidR="00000000" w:rsidDel="00000000" w:rsidP="00000000" w:rsidRDefault="00000000" w:rsidRPr="00000000" w14:paraId="00000015">
      <w:pPr>
        <w:rPr>
          <w:rFonts w:ascii="Lora" w:cs="Lora" w:eastAsia="Lora" w:hAnsi="Lora"/>
          <w:sz w:val="24"/>
          <w:szCs w:val="24"/>
          <w:highlight w:val="white"/>
        </w:rPr>
      </w:pPr>
      <w:r w:rsidDel="00000000" w:rsidR="00000000" w:rsidRPr="00000000">
        <w:rPr>
          <w:rFonts w:ascii="Lora" w:cs="Lora" w:eastAsia="Lora" w:hAnsi="Lora"/>
          <w:sz w:val="24"/>
          <w:szCs w:val="24"/>
          <w:highlight w:val="white"/>
          <w:rtl w:val="0"/>
        </w:rPr>
        <w:t xml:space="preserve"> In tema di truffa contrattuale, la Cassazione afferma che integra la fattispecie reato «la mancata consegna della merce acquistata e pagata, nel caso in cui siano indicati in prezzo conveniente di vendita sul web e un falso luogo di residenza del venditore». Tale ultima circostanza, infatti, «rendendo difficile il rintraccio, evidenzia sintomaticamente la presenza del dolo iniziale del reato», che deve ravvisarsi «nella volontà di non adempiere all’esecuzione del contratto sin dal momento dell’offerta online».</w:t>
      </w:r>
    </w:p>
    <w:p w:rsidR="00000000" w:rsidDel="00000000" w:rsidP="00000000" w:rsidRDefault="00000000" w:rsidRPr="00000000" w14:paraId="00000016">
      <w:pPr>
        <w:rPr>
          <w:rFonts w:ascii="Lora" w:cs="Lora" w:eastAsia="Lora" w:hAnsi="Lora"/>
          <w:sz w:val="24"/>
          <w:szCs w:val="24"/>
          <w:highlight w:val="white"/>
        </w:rPr>
      </w:pPr>
      <w:r w:rsidDel="00000000" w:rsidR="00000000" w:rsidRPr="00000000">
        <w:rPr>
          <w:rFonts w:ascii="Lora" w:cs="Lora" w:eastAsia="Lora" w:hAnsi="Lora"/>
          <w:sz w:val="24"/>
          <w:szCs w:val="24"/>
          <w:highlight w:val="white"/>
          <w:rtl w:val="0"/>
        </w:rPr>
        <w:t xml:space="preserve">Del resto, continua la Corte, «la vendita online è fondata sull’affidamento del compratore nell’offerta del venditore che viene pubblicizzata esclusivamente attraverso un portale internet». Ne deriva che il compratore non può vedere la merce che acquista e si affida integralmente per l’indicazione delle caratteristiche, la qualità del prodotto ed il prezzo di vendita alle informazioni fornite dal venditore. Pertanto, nelle vendite online, la natura dell’artificio o raggiro si manifesta nella messa in vendita di un oggetto ad un prezzo estremamente conveniente in assenza dello stesso e, dunque, nella chiara assenza di reale volontà di procedere alla vendita da parte del soggetto che, incamerato il prezzo, ometta la spedizione, rifiuti la restituzione della somma ed altresì ometta di indicare qualsiasi circostanza giustificativa di tale doloso comportamento.</w:t>
      </w:r>
    </w:p>
    <w:p w:rsidR="00000000" w:rsidDel="00000000" w:rsidP="00000000" w:rsidRDefault="00000000" w:rsidRPr="00000000" w14:paraId="00000017">
      <w:pPr>
        <w:rPr>
          <w:rFonts w:ascii="Lora" w:cs="Lora" w:eastAsia="Lora" w:hAnsi="Lora"/>
          <w:sz w:val="24"/>
          <w:szCs w:val="24"/>
          <w:highlight w:val="white"/>
        </w:rPr>
      </w:pPr>
      <w:r w:rsidDel="00000000" w:rsidR="00000000" w:rsidRPr="00000000">
        <w:rPr>
          <w:rFonts w:ascii="Lora" w:cs="Lora" w:eastAsia="Lora" w:hAnsi="Lora"/>
          <w:sz w:val="24"/>
          <w:szCs w:val="24"/>
          <w:highlight w:val="white"/>
          <w:rtl w:val="0"/>
        </w:rPr>
        <w:t xml:space="preserve">Nel caso di specie, la Suprema Corte dichiara il ricorso inammissibile e conferma quindi la condanna dei ricorrenti che dovranno anche provvedere al pagamento delle spese processuali.</w:t>
      </w:r>
    </w:p>
    <w:p w:rsidR="00000000" w:rsidDel="00000000" w:rsidP="00000000" w:rsidRDefault="00000000" w:rsidRPr="00000000" w14:paraId="00000018">
      <w:pPr>
        <w:rPr>
          <w:rFonts w:ascii="Lora" w:cs="Lora" w:eastAsia="Lora" w:hAnsi="Lora"/>
          <w:sz w:val="24"/>
          <w:szCs w:val="24"/>
          <w:highlight w:val="white"/>
        </w:rPr>
      </w:pPr>
      <w:r w:rsidDel="00000000" w:rsidR="00000000" w:rsidRPr="00000000">
        <w:rPr>
          <w:rtl w:val="0"/>
        </w:rPr>
      </w:r>
    </w:p>
    <w:p w:rsidR="00000000" w:rsidDel="00000000" w:rsidP="00000000" w:rsidRDefault="00000000" w:rsidRPr="00000000" w14:paraId="00000019">
      <w:pPr>
        <w:jc w:val="center"/>
        <w:rPr>
          <w:rFonts w:ascii="Lora" w:cs="Lora" w:eastAsia="Lora" w:hAnsi="Lora"/>
          <w:b w:val="1"/>
          <w:sz w:val="36"/>
          <w:szCs w:val="36"/>
          <w:highlight w:val="white"/>
        </w:rPr>
      </w:pPr>
      <w:r w:rsidDel="00000000" w:rsidR="00000000" w:rsidRPr="00000000">
        <w:rPr>
          <w:rFonts w:ascii="Lora" w:cs="Lora" w:eastAsia="Lora" w:hAnsi="Lora"/>
          <w:b w:val="1"/>
          <w:sz w:val="36"/>
          <w:szCs w:val="36"/>
          <w:highlight w:val="white"/>
          <w:rtl w:val="0"/>
        </w:rPr>
        <w:t xml:space="preserve"> Договорное мошенничество</w:t>
      </w:r>
    </w:p>
    <w:p w:rsidR="00000000" w:rsidDel="00000000" w:rsidP="00000000" w:rsidRDefault="00000000" w:rsidRPr="00000000" w14:paraId="0000001A">
      <w:pPr>
        <w:rPr>
          <w:rFonts w:ascii="Lora" w:cs="Lora" w:eastAsia="Lora" w:hAnsi="Lora"/>
          <w:sz w:val="24"/>
          <w:szCs w:val="24"/>
          <w:highlight w:val="white"/>
        </w:rPr>
      </w:pPr>
      <w:r w:rsidDel="00000000" w:rsidR="00000000" w:rsidRPr="00000000">
        <w:rPr>
          <w:rFonts w:ascii="Lora" w:cs="Lora" w:eastAsia="Lora" w:hAnsi="Lora"/>
          <w:sz w:val="24"/>
          <w:szCs w:val="24"/>
          <w:highlight w:val="white"/>
          <w:rtl w:val="0"/>
        </w:rPr>
        <w:t xml:space="preserve">Касаясь темы договорных  мошенничеств, Кассационная служба подтверждает о возникновении, так называемых преступлениях:  “ отсутствие доставки заказанного и оплаченного товара, в случае, когда были указаны приемлемые цены продаж  на сайте, с поддельным юридическим адресом продавца”. Согласно, последних обстоятельств, действительно, “находясь,  в затруднении получения товара, присутствуют признаки наличия первичного преступления”, о чем должен признаться “в желании невыполнения условий договора, начиная с  момента продажи онлайн”.</w:t>
      </w:r>
    </w:p>
    <w:p w:rsidR="00000000" w:rsidDel="00000000" w:rsidP="00000000" w:rsidRDefault="00000000" w:rsidRPr="00000000" w14:paraId="0000001B">
      <w:pPr>
        <w:rPr>
          <w:rFonts w:ascii="Lora" w:cs="Lora" w:eastAsia="Lora" w:hAnsi="Lora"/>
          <w:sz w:val="24"/>
          <w:szCs w:val="24"/>
          <w:highlight w:val="white"/>
        </w:rPr>
      </w:pPr>
      <w:r w:rsidDel="00000000" w:rsidR="00000000" w:rsidRPr="00000000">
        <w:rPr>
          <w:rFonts w:ascii="Lora" w:cs="Lora" w:eastAsia="Lora" w:hAnsi="Lora"/>
          <w:sz w:val="24"/>
          <w:szCs w:val="24"/>
          <w:highlight w:val="white"/>
          <w:rtl w:val="0"/>
        </w:rPr>
        <w:t xml:space="preserve">В результате, констатирует судья, “продажа онлайн совершена на доверии покупателя в сделке с продавцом, которая была опубликована  только на портале интернета”. Из этого вытекает, что покупатель не может видеть товар, который приобретает и доверяется полностью написанным характеристикам, качеству продукта и ценнику,  согласно информации указанной продавцом. Тем более, в продажах онлайн, в природе обмана и ухищрений просматривается в размещенном товаре, где цена - разительно выгодная, при абсолютном отсутствии самого товара и соответственно,  возможности осуществить сделку со стороны продавца, который скрыл цену, не осуществляет отправку, отказывается вернуть оплаченные деньги и тем более начинает убеждать в законности своего поведения. </w:t>
      </w:r>
    </w:p>
    <w:p w:rsidR="00000000" w:rsidDel="00000000" w:rsidP="00000000" w:rsidRDefault="00000000" w:rsidRPr="00000000" w14:paraId="0000001C">
      <w:pPr>
        <w:rPr>
          <w:rFonts w:ascii="Lora" w:cs="Lora" w:eastAsia="Lora" w:hAnsi="Lora"/>
          <w:sz w:val="24"/>
          <w:szCs w:val="24"/>
          <w:highlight w:val="white"/>
        </w:rPr>
      </w:pPr>
      <w:r w:rsidDel="00000000" w:rsidR="00000000" w:rsidRPr="00000000">
        <w:rPr>
          <w:rFonts w:ascii="Lora" w:cs="Lora" w:eastAsia="Lora" w:hAnsi="Lora"/>
          <w:sz w:val="24"/>
          <w:szCs w:val="24"/>
          <w:highlight w:val="white"/>
          <w:rtl w:val="0"/>
        </w:rPr>
        <w:t xml:space="preserve">В подобных случаях, Верховный Суд выносит вердикт о невозможности проведения процесса, накладывает обвинение на предъявителя, который должен оплатить, также,  судебные издержки. </w:t>
      </w:r>
    </w:p>
    <w:p w:rsidR="00000000" w:rsidDel="00000000" w:rsidP="00000000" w:rsidRDefault="00000000" w:rsidRPr="00000000" w14:paraId="0000001D">
      <w:pPr>
        <w:rPr>
          <w:rFonts w:ascii="Lora" w:cs="Lora" w:eastAsia="Lora" w:hAnsi="Lora"/>
          <w:sz w:val="24"/>
          <w:szCs w:val="24"/>
          <w:highlight w:val="white"/>
        </w:rPr>
      </w:pPr>
      <w:r w:rsidDel="00000000" w:rsidR="00000000" w:rsidRPr="00000000">
        <w:rPr>
          <w:rtl w:val="0"/>
        </w:rPr>
      </w:r>
    </w:p>
    <w:p w:rsidR="00000000" w:rsidDel="00000000" w:rsidP="00000000" w:rsidRDefault="00000000" w:rsidRPr="00000000" w14:paraId="0000001E">
      <w:pPr>
        <w:rPr>
          <w:rFonts w:ascii="Lora" w:cs="Lora" w:eastAsia="Lora" w:hAnsi="Lora"/>
          <w:sz w:val="24"/>
          <w:szCs w:val="24"/>
          <w:highlight w:val="white"/>
        </w:rPr>
      </w:pPr>
      <w:r w:rsidDel="00000000" w:rsidR="00000000" w:rsidRPr="00000000">
        <w:rPr>
          <w:rtl w:val="0"/>
        </w:rPr>
      </w:r>
    </w:p>
    <w:p w:rsidR="00000000" w:rsidDel="00000000" w:rsidP="00000000" w:rsidRDefault="00000000" w:rsidRPr="00000000" w14:paraId="0000001F">
      <w:pPr>
        <w:jc w:val="center"/>
        <w:rPr>
          <w:rFonts w:ascii="Lora" w:cs="Lora" w:eastAsia="Lora" w:hAnsi="Lora"/>
          <w:b w:val="1"/>
          <w:sz w:val="36"/>
          <w:szCs w:val="36"/>
          <w:highlight w:val="white"/>
        </w:rPr>
      </w:pPr>
      <w:r w:rsidDel="00000000" w:rsidR="00000000" w:rsidRPr="00000000">
        <w:rPr>
          <w:rFonts w:ascii="Lora" w:cs="Lora" w:eastAsia="Lora" w:hAnsi="Lora"/>
          <w:b w:val="1"/>
          <w:sz w:val="36"/>
          <w:szCs w:val="36"/>
          <w:highlight w:val="white"/>
          <w:rtl w:val="0"/>
        </w:rPr>
        <w:t xml:space="preserve">Договірне шахрайство</w:t>
      </w:r>
    </w:p>
    <w:p w:rsidR="00000000" w:rsidDel="00000000" w:rsidP="00000000" w:rsidRDefault="00000000" w:rsidRPr="00000000" w14:paraId="00000020">
      <w:pPr>
        <w:rPr>
          <w:rFonts w:ascii="Lora" w:cs="Lora" w:eastAsia="Lora" w:hAnsi="Lora"/>
          <w:sz w:val="24"/>
          <w:szCs w:val="24"/>
          <w:highlight w:val="white"/>
        </w:rPr>
      </w:pPr>
      <w:r w:rsidDel="00000000" w:rsidR="00000000" w:rsidRPr="00000000">
        <w:rPr>
          <w:rFonts w:ascii="Lora" w:cs="Lora" w:eastAsia="Lora" w:hAnsi="Lora"/>
          <w:sz w:val="24"/>
          <w:szCs w:val="24"/>
          <w:highlight w:val="white"/>
          <w:rtl w:val="0"/>
        </w:rPr>
        <w:t xml:space="preserve">Касаючись темі договірних шахрайств, Касаційна служба підтверджує про виникнення, так званих злочинів: “відсутність доставки замовленого та сплаченого товару, у випадку, коли були вказані низькі ціни продажу на сайті, с підробленою юридичною адресою продавця.” Згідно, останніх обставин, дійсно “знаходячись, у утрудненні получення товару, присутні ознаки наявності первинного злочину”, про що повинен зізнатися “ в бажанні невиконання умов договору, починаючи з моменту продажу онлайн.” У випадку, констатує суддя, “продаж виконана на довірі покупця в угоді з продавцем, яка була надрукована тільки на порталі інтернету.” Із цього витікає, що покупець не може бачити товар, який придбає і довіряється повністю написаним характеристикам, якості продукту і циннику згідно інформації , вказаної продавцем. Тим більш, у продажу онлайн, у природі обману та шахрайства, проглядає в розміщенні товару, де ціна - разюче вигідна, при абсолютній відсутності самого товару і  відповідно, можливості здійснити угоду з боку продавця, який скрив ціну, не виконує віправлення, відмовляється повернути сплачені кошти і тим більше, починає впевняти у законності своїх дій.  </w:t>
      </w:r>
    </w:p>
    <w:p w:rsidR="00000000" w:rsidDel="00000000" w:rsidP="00000000" w:rsidRDefault="00000000" w:rsidRPr="00000000" w14:paraId="00000021">
      <w:pPr>
        <w:rPr>
          <w:rFonts w:ascii="Lora" w:cs="Lora" w:eastAsia="Lora" w:hAnsi="Lora"/>
          <w:sz w:val="24"/>
          <w:szCs w:val="24"/>
          <w:highlight w:val="white"/>
        </w:rPr>
      </w:pPr>
      <w:r w:rsidDel="00000000" w:rsidR="00000000" w:rsidRPr="00000000">
        <w:rPr>
          <w:rFonts w:ascii="Lora" w:cs="Lora" w:eastAsia="Lora" w:hAnsi="Lora"/>
          <w:sz w:val="24"/>
          <w:szCs w:val="24"/>
          <w:highlight w:val="white"/>
          <w:rtl w:val="0"/>
        </w:rPr>
        <w:t xml:space="preserve">В таких випадках, Верховний Суд виносить вердикт о неможливості проведення процесу, накладає звинувачення на пред'явника, який повинен сплати, також, судове мито.  </w:t>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