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r w:rsidDel="00000000" w:rsidR="00000000" w:rsidRPr="00000000">
        <w:rPr>
          <w:rtl w:val="0"/>
        </w:rPr>
        <w:t xml:space="preserve">Обзор проекта Sögur (SGR) — самой стабильной монеты на рынке</w:t>
      </w:r>
    </w:p>
    <w:p w:rsidR="00000000" w:rsidDel="00000000" w:rsidP="00000000" w:rsidRDefault="00000000" w:rsidRPr="00000000" w14:paraId="00000002">
      <w:pPr>
        <w:pageBreakBefore w:val="0"/>
        <w:rPr/>
      </w:pPr>
      <w:commentRangeStart w:id="0"/>
      <w:r w:rsidDel="00000000" w:rsidR="00000000" w:rsidRPr="00000000">
        <w:rPr/>
        <w:drawing>
          <wp:inline distB="0" distT="0" distL="0" distR="0">
            <wp:extent cx="6120765" cy="262255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7319" l="0" r="0" t="705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622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Sögur (SGR) — это стейблкоин, стремящийся стать глобальной валютой. Его курс привязан к корзине фиатных валют, система управления основана на демократических практиках, а в состав членов Консультативного совета входит лауреат Нобелевской премии по экономике. Далее мы рассмотрим ключевые особенности этой монеты и ее перспективы. </w:t>
      </w:r>
    </w:p>
    <w:p w:rsidR="00000000" w:rsidDel="00000000" w:rsidP="00000000" w:rsidRDefault="00000000" w:rsidRPr="00000000" w14:paraId="00000004">
      <w:pPr>
        <w:pStyle w:val="Heading2"/>
        <w:pageBreakBefore w:val="0"/>
        <w:rPr/>
      </w:pPr>
      <w:r w:rsidDel="00000000" w:rsidR="00000000" w:rsidRPr="00000000">
        <w:rPr>
          <w:rtl w:val="0"/>
        </w:rPr>
        <w:t xml:space="preserve">Что такое Sögur (SGR) coin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Sögur создана британской компанией Sogur Monetary Technologies Limited с некоммерческими целями, то есть вся ее прибыль направлена на достижение поставленной цели и не может быть разделена между руководством. Цель этой организации — запуск глобальной децентрализованной криптовалюты, которая будет лишена основных недостатков фиатных и криптовалютных активов.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Такими недостатками Sogur Monetary Technologies считает: централизацию, непрозрачность и неподотчетность у фиатных активов; и высокую волатильность, низкий уровень доверия и слабую монетарную политику у криптовалютных денег. По словам создателей Sögur, они сумели устранить эти проблемы, создав уникальную экономическую модель для своей криптовалютной платежной системы.</w:t>
      </w:r>
    </w:p>
    <w:p w:rsidR="00000000" w:rsidDel="00000000" w:rsidP="00000000" w:rsidRDefault="00000000" w:rsidRPr="00000000" w14:paraId="00000007">
      <w:pPr>
        <w:pStyle w:val="Heading2"/>
        <w:pageBreakBefore w:val="0"/>
        <w:rPr/>
      </w:pPr>
      <w:r w:rsidDel="00000000" w:rsidR="00000000" w:rsidRPr="00000000">
        <w:rPr>
          <w:rtl w:val="0"/>
        </w:rPr>
        <w:t xml:space="preserve">Особенности криптовалюты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color w:val="ed7d31"/>
          <w:rtl w:val="0"/>
        </w:rPr>
        <w:t xml:space="preserve">Привязка к корзине валют SDR</w:t>
      </w:r>
      <w:r w:rsidDel="00000000" w:rsidR="00000000" w:rsidRPr="00000000">
        <w:rPr>
          <w:rtl w:val="0"/>
        </w:rPr>
        <w:t xml:space="preserve">. Обычный стейблкоин привязан к одному активу, будь то национальная валюта или другой тип актива. По сути, это токенизированная версия этого актива, его репликация на основе блокчейна. Тогда как стоимость SGR привязана к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SDRs (Special Drawing Rights)</w:t>
        </w:r>
      </w:hyperlink>
      <w:r w:rsidDel="00000000" w:rsidR="00000000" w:rsidRPr="00000000">
        <w:rPr>
          <w:rtl w:val="0"/>
        </w:rPr>
        <w:t xml:space="preserve"> — искусственное резервное и платежное средство, эмитируемое Международным валютным фондом, которые уже более 50 лет используются центральными банками для стабилизации их резервов.</w:t>
      </w:r>
    </w:p>
    <w:p w:rsidR="00000000" w:rsidDel="00000000" w:rsidP="00000000" w:rsidRDefault="00000000" w:rsidRPr="00000000" w14:paraId="00000009">
      <w:pPr>
        <w:pageBreakBefore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6120765" cy="2340610"/>
            <wp:effectExtent b="0" l="0" r="0" t="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3406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Структура резервирования SGRs Sögur на 10 октября 2020 года. </w:t>
      </w:r>
      <w:hyperlink r:id="rId10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Источник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Стоимость SDRs МВФ основывается на корзине основных международных валют, которая </w:t>
      </w:r>
      <w:hyperlink r:id="rId11">
        <w:r w:rsidDel="00000000" w:rsidR="00000000" w:rsidRPr="00000000">
          <w:rPr>
            <w:color w:val="0563c1"/>
            <w:u w:val="single"/>
            <w:rtl w:val="0"/>
          </w:rPr>
          <w:t xml:space="preserve">пересматривается каждые пять лет</w:t>
        </w:r>
      </w:hyperlink>
      <w:r w:rsidDel="00000000" w:rsidR="00000000" w:rsidRPr="00000000">
        <w:rPr>
          <w:rtl w:val="0"/>
        </w:rPr>
        <w:t xml:space="preserve">. Сейчас в корзину входит американский доллар, евро, китайский юань, британский фунт и японская иена. Монета SGR — это токенизированный эквивалент SDR, который наследует от оригинала стабильность курса и высокий уровень доверия, поскольку криптовалютные токены Sögur поддерживаются фиатными деньгами </w:t>
      </w:r>
      <w:r w:rsidDel="00000000" w:rsidR="00000000" w:rsidRPr="00000000">
        <w:rPr>
          <w:rtl w:val="0"/>
        </w:rPr>
        <w:t xml:space="preserve">по соотношению</w:t>
      </w:r>
      <w:r w:rsidDel="00000000" w:rsidR="00000000" w:rsidRPr="00000000">
        <w:rPr>
          <w:rtl w:val="0"/>
        </w:rPr>
        <w:t xml:space="preserve"> 1:1.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Благодаря этому курс криптовалюты Sögur (SGR) намного стабильнее как криптовалютных активов, так и фиатных денег. Что делает токен SGR отличным инструментом для всех видов торговых операций и вместе с этим надежным средством сохранения ценности капитала — «тихой гаванью».</w:t>
      </w:r>
    </w:p>
    <w:p w:rsidR="00000000" w:rsidDel="00000000" w:rsidP="00000000" w:rsidRDefault="00000000" w:rsidRPr="00000000" w14:paraId="0000000C">
      <w:pPr>
        <w:pageBreakBefore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6120765" cy="335343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353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Сравнение динамики курса Sögur (SGR) с основными фиатными валютами. </w:t>
      </w:r>
      <w:hyperlink r:id="rId13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Источник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b w:val="1"/>
          <w:color w:val="ed7d31"/>
          <w:rtl w:val="0"/>
        </w:rPr>
        <w:br w:type="textWrapping"/>
        <w:t xml:space="preserve">Децентрализованная</w:t>
      </w:r>
      <w:r w:rsidDel="00000000" w:rsidR="00000000" w:rsidRPr="00000000">
        <w:rPr>
          <w:color w:val="ed7d31"/>
          <w:rtl w:val="0"/>
        </w:rPr>
        <w:t xml:space="preserve"> </w:t>
      </w:r>
      <w:r w:rsidDel="00000000" w:rsidR="00000000" w:rsidRPr="00000000">
        <w:rPr>
          <w:b w:val="1"/>
          <w:color w:val="ed7d31"/>
          <w:rtl w:val="0"/>
        </w:rPr>
        <w:t xml:space="preserve">модель управления</w:t>
      </w:r>
      <w:r w:rsidDel="00000000" w:rsidR="00000000" w:rsidRPr="00000000">
        <w:rPr>
          <w:rtl w:val="0"/>
        </w:rPr>
        <w:t xml:space="preserve">. Создатели Sögur (SGR) реализовали довольно продуманную систему управления платежной системой, которая оставляет контроль над монетой в руках ее держателей (обычных пользователей), а не в руках Sogur Monetary Technologies Limited, как эмитента, и его спонсоров. </w:t>
      </w:r>
    </w:p>
    <w:p w:rsidR="00000000" w:rsidDel="00000000" w:rsidP="00000000" w:rsidRDefault="00000000" w:rsidRPr="00000000" w14:paraId="0000000E">
      <w:pPr>
        <w:pageBreakBefore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6120765" cy="4201779"/>
            <wp:effectExtent b="0" l="0" r="0" 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2017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Схема структуры управления монетой Sögur (SGR). </w:t>
      </w:r>
      <w:hyperlink r:id="rId15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Источник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Главными элементами </w:t>
      </w:r>
      <w:hyperlink r:id="rId16">
        <w:r w:rsidDel="00000000" w:rsidR="00000000" w:rsidRPr="00000000">
          <w:rPr>
            <w:color w:val="0563c1"/>
            <w:u w:val="single"/>
            <w:rtl w:val="0"/>
          </w:rPr>
          <w:t xml:space="preserve">модели управления экосистемы Sögur</w:t>
        </w:r>
      </w:hyperlink>
      <w:r w:rsidDel="00000000" w:rsidR="00000000" w:rsidRPr="00000000">
        <w:rPr>
          <w:rtl w:val="0"/>
        </w:rPr>
        <w:t xml:space="preserve"> являются: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vertAlign w:val="baseline"/>
          <w:rtl w:val="0"/>
        </w:rPr>
        <w:t xml:space="preserve">Участники. Это все держатели криптовалюты Sögur</w:t>
      </w:r>
      <w:r w:rsidDel="00000000" w:rsidR="00000000" w:rsidRPr="00000000">
        <w:rPr>
          <w:rtl w:val="0"/>
        </w:rPr>
        <w:t xml:space="preserve">. Они </w:t>
      </w:r>
      <w:r w:rsidDel="00000000" w:rsidR="00000000" w:rsidRPr="00000000">
        <w:rPr>
          <w:vertAlign w:val="baseline"/>
          <w:rtl w:val="0"/>
        </w:rPr>
        <w:t xml:space="preserve">вправе принимать участие в выборах Исполнительного совета и Ассамблеи.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vertAlign w:val="baseline"/>
          <w:rtl w:val="0"/>
        </w:rPr>
        <w:t xml:space="preserve">Исполнительный совет. Главный исполнительный </w:t>
      </w:r>
      <w:r w:rsidDel="00000000" w:rsidR="00000000" w:rsidRPr="00000000">
        <w:rPr>
          <w:rtl w:val="0"/>
        </w:rPr>
        <w:t xml:space="preserve">орган</w:t>
      </w:r>
      <w:r w:rsidDel="00000000" w:rsidR="00000000" w:rsidRPr="00000000">
        <w:rPr>
          <w:vertAlign w:val="baseline"/>
          <w:rtl w:val="0"/>
        </w:rPr>
        <w:t xml:space="preserve">, отвечающи</w:t>
      </w:r>
      <w:r w:rsidDel="00000000" w:rsidR="00000000" w:rsidRPr="00000000">
        <w:rPr>
          <w:rtl w:val="0"/>
        </w:rPr>
        <w:t xml:space="preserve">й</w:t>
      </w:r>
      <w:r w:rsidDel="00000000" w:rsidR="00000000" w:rsidRPr="00000000">
        <w:rPr>
          <w:vertAlign w:val="baseline"/>
          <w:rtl w:val="0"/>
        </w:rPr>
        <w:t xml:space="preserve"> за управление экосистемой и операциями Sögur путем внесения изменений в смарт-контракты, которые отвечают за монетарную политику экосистемы. Состоит из 5-7 членов, которые избираются держателями монет на 5 лет.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vertAlign w:val="baseline"/>
          <w:rtl w:val="0"/>
        </w:rPr>
        <w:t xml:space="preserve">Ассамблея. Совещательный орган, в котором участники Sögur могут выражать свое мнение и принимать коллективные решения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vertAlign w:val="baseline"/>
          <w:rtl w:val="0"/>
        </w:rPr>
        <w:t xml:space="preserve"> избрание членов и роспуск Исполнительного совета, составление его повестки и мониторинг. Кроме того, у Ассамбле</w:t>
      </w:r>
      <w:r w:rsidDel="00000000" w:rsidR="00000000" w:rsidRPr="00000000">
        <w:rPr>
          <w:rtl w:val="0"/>
        </w:rPr>
        <w:t xml:space="preserve">и</w:t>
      </w:r>
      <w:r w:rsidDel="00000000" w:rsidR="00000000" w:rsidRPr="00000000">
        <w:rPr>
          <w:vertAlign w:val="baseline"/>
          <w:rtl w:val="0"/>
        </w:rPr>
        <w:t xml:space="preserve"> есть право вето на любые решения как Исполнительного совета, так и </w:t>
      </w:r>
      <w:r w:rsidDel="00000000" w:rsidR="00000000" w:rsidRPr="00000000">
        <w:rPr>
          <w:rtl w:val="0"/>
        </w:rPr>
        <w:t xml:space="preserve">компании-разработчика.</w:t>
      </w:r>
      <w:r w:rsidDel="00000000" w:rsidR="00000000" w:rsidRPr="00000000">
        <w:rPr>
          <w:vertAlign w:val="baseline"/>
          <w:rtl w:val="0"/>
        </w:rPr>
        <w:t xml:space="preserve"> Делать предложения и </w:t>
      </w:r>
      <w:r w:rsidDel="00000000" w:rsidR="00000000" w:rsidRPr="00000000">
        <w:rPr>
          <w:rtl w:val="0"/>
        </w:rPr>
        <w:t xml:space="preserve">г</w:t>
      </w:r>
      <w:r w:rsidDel="00000000" w:rsidR="00000000" w:rsidRPr="00000000">
        <w:rPr>
          <w:vertAlign w:val="baseline"/>
          <w:rtl w:val="0"/>
        </w:rPr>
        <w:t xml:space="preserve">олосовать может любой участник </w:t>
      </w:r>
      <w:r w:rsidDel="00000000" w:rsidR="00000000" w:rsidRPr="00000000">
        <w:rPr>
          <w:rtl w:val="0"/>
        </w:rPr>
        <w:t xml:space="preserve">системы, </w:t>
      </w:r>
      <w:r w:rsidDel="00000000" w:rsidR="00000000" w:rsidRPr="00000000">
        <w:rPr>
          <w:vertAlign w:val="baseline"/>
          <w:rtl w:val="0"/>
        </w:rPr>
        <w:t xml:space="preserve">напрямую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или </w:t>
      </w:r>
      <w:r w:rsidDel="00000000" w:rsidR="00000000" w:rsidRPr="00000000">
        <w:rPr>
          <w:rtl w:val="0"/>
        </w:rPr>
        <w:t xml:space="preserve">делегируя </w:t>
      </w:r>
      <w:r w:rsidDel="00000000" w:rsidR="00000000" w:rsidRPr="00000000">
        <w:rPr>
          <w:vertAlign w:val="baseline"/>
          <w:rtl w:val="0"/>
        </w:rPr>
        <w:t xml:space="preserve">свой голос другому участнику.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Помимо этих структур в Sögur также есть Монетарный комитет, отвечающий за долгосрочную стабильность SGR, и Конституционный совет, в обязанности которого входит арбитраж при разрешении споров между участниками экосистемы.</w:t>
      </w:r>
      <w:r w:rsidDel="00000000" w:rsidR="00000000" w:rsidRPr="00000000">
        <w:rPr>
          <w:color w:val="343434"/>
          <w:shd w:fill="fafafa" w:val="clear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color w:val="ed7d31"/>
          <w:rtl w:val="0"/>
        </w:rPr>
        <w:br w:type="textWrapping"/>
        <w:t xml:space="preserve">Автономная монетарная политика</w:t>
      </w:r>
      <w:r w:rsidDel="00000000" w:rsidR="00000000" w:rsidRPr="00000000">
        <w:rPr>
          <w:rtl w:val="0"/>
        </w:rPr>
        <w:t xml:space="preserve">. Согласно </w:t>
      </w:r>
      <w:hyperlink r:id="rId17">
        <w:r w:rsidDel="00000000" w:rsidR="00000000" w:rsidRPr="00000000">
          <w:rPr>
            <w:color w:val="0563c1"/>
            <w:u w:val="single"/>
            <w:rtl w:val="0"/>
          </w:rPr>
          <w:t xml:space="preserve">Whitepaper</w:t>
        </w:r>
      </w:hyperlink>
      <w:r w:rsidDel="00000000" w:rsidR="00000000" w:rsidRPr="00000000">
        <w:rPr>
          <w:rtl w:val="0"/>
        </w:rPr>
        <w:t xml:space="preserve"> денежно-кредитная политика Sögur базируется на переменном коэффициенте резервов. Он остается на уровне 100% для первых 2 миллионов проданных токенов SGR. После чего, по мере эмиссии большего количества токенов, коэффициент будет постепенно уменьшаться до 10%, когда капитализация Sögur достигнет 3 триллионов SDRs.</w:t>
      </w:r>
    </w:p>
    <w:p w:rsidR="00000000" w:rsidDel="00000000" w:rsidP="00000000" w:rsidRDefault="00000000" w:rsidRPr="00000000" w14:paraId="00000015">
      <w:pPr>
        <w:pageBreakBefore w:val="0"/>
        <w:jc w:val="center"/>
        <w:rPr>
          <w:sz w:val="20"/>
          <w:szCs w:val="20"/>
        </w:rPr>
      </w:pPr>
      <w:r w:rsidDel="00000000" w:rsidR="00000000" w:rsidRPr="00000000">
        <w:rPr/>
        <w:drawing>
          <wp:inline distB="0" distT="0" distL="0" distR="0">
            <wp:extent cx="6120765" cy="2839085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8390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Динамика изменения резервов Sögur по мере эмиссии новых монет. </w:t>
      </w:r>
      <w:hyperlink r:id="rId19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Источник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При этом будут действовать несколько правил: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vertAlign w:val="baseline"/>
          <w:rtl w:val="0"/>
        </w:rPr>
        <w:t xml:space="preserve">Если популярность монеты падает, то есть люди распродают SGR, то коэффициент резервирования будет увеличиваться, вплоть до 100%.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vertAlign w:val="baseline"/>
          <w:rtl w:val="0"/>
        </w:rPr>
        <w:t xml:space="preserve">Все деньги, добытые посредством эмиссии монет, будут в автоматическом порядке добавляться к резерв</w:t>
      </w:r>
      <w:r w:rsidDel="00000000" w:rsidR="00000000" w:rsidRPr="00000000">
        <w:rPr>
          <w:rtl w:val="0"/>
        </w:rPr>
        <w:t xml:space="preserve">ам</w:t>
      </w:r>
      <w:r w:rsidDel="00000000" w:rsidR="00000000" w:rsidRPr="00000000">
        <w:rPr>
          <w:vertAlign w:val="baseline"/>
          <w:rtl w:val="0"/>
        </w:rPr>
        <w:t xml:space="preserve"> криптовалюты, которые хранятся на счетах банков (каких, решают участники посредством Ассамблеи и других органов).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vertAlign w:val="baseline"/>
          <w:rtl w:val="0"/>
        </w:rPr>
        <w:t xml:space="preserve">Проценты, </w:t>
      </w:r>
      <w:r w:rsidDel="00000000" w:rsidR="00000000" w:rsidRPr="00000000">
        <w:rPr>
          <w:rtl w:val="0"/>
        </w:rPr>
        <w:t xml:space="preserve">полученные</w:t>
      </w:r>
      <w:r w:rsidDel="00000000" w:rsidR="00000000" w:rsidRPr="00000000">
        <w:rPr>
          <w:vertAlign w:val="baseline"/>
          <w:rtl w:val="0"/>
        </w:rPr>
        <w:t xml:space="preserve"> благодаря хранению резервов в банках, также будут добавляться к резервам криптовалюты.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pageBreakBefore w:val="0"/>
        <w:rPr/>
      </w:pPr>
      <w:r w:rsidDel="00000000" w:rsidR="00000000" w:rsidRPr="00000000">
        <w:rPr>
          <w:rtl w:val="0"/>
        </w:rPr>
        <w:t xml:space="preserve">Перспективы развития</w:t>
      </w:r>
    </w:p>
    <w:p w:rsidR="00000000" w:rsidDel="00000000" w:rsidP="00000000" w:rsidRDefault="00000000" w:rsidRPr="00000000" w14:paraId="0000001B">
      <w:pPr>
        <w:pageBreakBefore w:val="0"/>
        <w:jc w:val="center"/>
        <w:rPr/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6120765" cy="3244215"/>
            <wp:effectExtent b="0" l="0" r="0" t="0"/>
            <wp:docPr descr="икона" id="1" name="image2.png"/>
            <a:graphic>
              <a:graphicData uri="http://schemas.openxmlformats.org/drawingml/2006/picture">
                <pic:pic>
                  <pic:nvPicPr>
                    <pic:cNvPr descr="икона" id="0" name="image2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244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Дорожная карта развития криптовалюты Sögur (SGR). </w:t>
      </w:r>
      <w:hyperlink r:id="rId21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Источник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Согласно дорожной карте проекта в ближайший год стоимость SGR будет оставаться на текущем уровне, поскольку на данный момент денежная масса криптовалюты составляет почти 2 миллиона монет, и следовательно, монетарная политика площадки намертво привязывает курс криптовалюты к стоимости SDRs.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Ситуация изменится к декабрю 2021 года, когда будет дополнительная эмиссия монет на сумму, эквивалентную 100 миллионов SDRs МВФ. После этого площадка будет </w:t>
      </w:r>
      <w:r w:rsidDel="00000000" w:rsidR="00000000" w:rsidRPr="00000000">
        <w:rPr>
          <w:rtl w:val="0"/>
        </w:rPr>
        <w:t xml:space="preserve">свободно </w:t>
      </w:r>
      <w:r w:rsidDel="00000000" w:rsidR="00000000" w:rsidRPr="00000000">
        <w:rPr>
          <w:rtl w:val="0"/>
        </w:rPr>
        <w:t xml:space="preserve">развиваться согласно закону спроса-предложения и переменному коэффициенту резервирования. 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При этом курс SGR, скорее, будет постепенно расти, поскольку: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2"/>
        </w:numPr>
        <w:ind w:left="720" w:hanging="360"/>
      </w:pPr>
      <w:r w:rsidDel="00000000" w:rsidR="00000000" w:rsidRPr="00000000">
        <w:rPr>
          <w:vertAlign w:val="baseline"/>
          <w:rtl w:val="0"/>
        </w:rPr>
        <w:t xml:space="preserve">Sögur — в теории самый надежный стейблкоин на рынке.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2"/>
        </w:numPr>
        <w:ind w:left="720" w:hanging="360"/>
      </w:pPr>
      <w:r w:rsidDel="00000000" w:rsidR="00000000" w:rsidRPr="00000000">
        <w:rPr>
          <w:vertAlign w:val="baseline"/>
          <w:rtl w:val="0"/>
        </w:rPr>
        <w:t xml:space="preserve">У проекта очень профессиональные </w:t>
      </w:r>
      <w:r w:rsidDel="00000000" w:rsidR="00000000" w:rsidRPr="00000000">
        <w:rPr>
          <w:rtl w:val="0"/>
        </w:rPr>
        <w:t xml:space="preserve">консультанты</w:t>
      </w:r>
      <w:r w:rsidDel="00000000" w:rsidR="00000000" w:rsidRPr="00000000">
        <w:rPr>
          <w:vertAlign w:val="baseline"/>
          <w:rtl w:val="0"/>
        </w:rPr>
        <w:t xml:space="preserve">, среди которых Майрон Шоулз, лауреат Нобелевской премии по экономике (1997) и профессор Стэнфордского университета; и Яаков Френкель, председатель правления JPMorgan Chase International и бывший управляющий Банка Израиля.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2"/>
        </w:numPr>
        <w:ind w:left="720" w:hanging="360"/>
      </w:pPr>
      <w:r w:rsidDel="00000000" w:rsidR="00000000" w:rsidRPr="00000000">
        <w:rPr>
          <w:vertAlign w:val="baseline"/>
          <w:rtl w:val="0"/>
        </w:rPr>
        <w:t xml:space="preserve">Криптовалюта управляется держателями монет и подотчетна им. </w:t>
      </w:r>
    </w:p>
    <w:p w:rsidR="00000000" w:rsidDel="00000000" w:rsidP="00000000" w:rsidRDefault="00000000" w:rsidRPr="00000000" w14:paraId="00000022">
      <w:pPr>
        <w:pStyle w:val="Heading2"/>
        <w:pageBreakBefore w:val="0"/>
        <w:rPr/>
      </w:pPr>
      <w:r w:rsidDel="00000000" w:rsidR="00000000" w:rsidRPr="00000000">
        <w:rPr>
          <w:rtl w:val="0"/>
        </w:rPr>
        <w:t xml:space="preserve">Заключение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Криптовалюта Sögur (SGR) — отличный инструмент для сохранения стоимости капитала, который </w:t>
      </w:r>
      <w:r w:rsidDel="00000000" w:rsidR="00000000" w:rsidRPr="00000000">
        <w:rPr>
          <w:rtl w:val="0"/>
        </w:rPr>
        <w:t xml:space="preserve">в перспективе</w:t>
      </w:r>
      <w:r w:rsidDel="00000000" w:rsidR="00000000" w:rsidRPr="00000000">
        <w:rPr>
          <w:rtl w:val="0"/>
        </w:rPr>
        <w:t xml:space="preserve"> также может стать перспективным нерисковым инвестиционным активом. При этом монета не подходит для спекуляции, поскольку даже если ее рыночная капитализация за ночь вырастет на 1 миллиард долларов, цена SGA даже не удвоится — монетарная политика не позволит.</w:t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Riotick Copywriting" w:id="0" w:date="2020-10-12T16:23:29Z"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facebook.com/sogurcurrency/photos/3553584818006515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Roboto Slab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ru-RU"/>
      </w:rPr>
    </w:rPrDefault>
    <w:pPrDefault>
      <w:pPr>
        <w:spacing w:after="20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320" w:before="640" w:lineRule="auto"/>
      <w:jc w:val="center"/>
    </w:pPr>
    <w:rPr>
      <w:rFonts w:ascii="Roboto Slab" w:cs="Roboto Slab" w:eastAsia="Roboto Slab" w:hAnsi="Roboto Slab"/>
      <w:b w:val="1"/>
      <w:color w:val="4a86e8"/>
      <w:sz w:val="50"/>
      <w:szCs w:val="5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line="360" w:lineRule="auto"/>
      <w:ind w:right="-301"/>
      <w:jc w:val="center"/>
    </w:pPr>
    <w:rPr>
      <w:rFonts w:ascii="Roboto Slab" w:cs="Roboto Slab" w:eastAsia="Roboto Slab" w:hAnsi="Roboto Slab"/>
      <w:b w:val="1"/>
      <w:color w:val="4a86e8"/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240" w:before="480" w:line="276" w:lineRule="auto"/>
      <w:jc w:val="center"/>
    </w:pPr>
    <w:rPr>
      <w:rFonts w:ascii="Roboto Slab" w:cs="Roboto Slab" w:eastAsia="Roboto Slab" w:hAnsi="Roboto Slab"/>
      <w:b w:val="1"/>
      <w:color w:val="4a86e8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560" w:lineRule="auto"/>
      <w:ind w:right="-450"/>
      <w:jc w:val="center"/>
    </w:pPr>
    <w:rPr>
      <w:rFonts w:ascii="Roboto Slab" w:cs="Roboto Slab" w:eastAsia="Roboto Slab" w:hAnsi="Roboto Slab"/>
      <w:b w:val="1"/>
      <w:color w:val="4a86e8"/>
      <w:sz w:val="68"/>
      <w:szCs w:val="6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.png"/><Relationship Id="rId11" Type="http://schemas.openxmlformats.org/officeDocument/2006/relationships/hyperlink" Target="https://www.imf.org/en/About/Factsheets/Sheets/2016/08/01/14/51/Special-Drawing-Right-SDR" TargetMode="External"/><Relationship Id="rId10" Type="http://schemas.openxmlformats.org/officeDocument/2006/relationships/hyperlink" Target="https://www.sogur.com/performance/" TargetMode="External"/><Relationship Id="rId21" Type="http://schemas.openxmlformats.org/officeDocument/2006/relationships/hyperlink" Target="https://www.sogur.com/governance/" TargetMode="External"/><Relationship Id="rId13" Type="http://schemas.openxmlformats.org/officeDocument/2006/relationships/hyperlink" Target="https://www.sogur.com/monetary/" TargetMode="External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6.png"/><Relationship Id="rId15" Type="http://schemas.openxmlformats.org/officeDocument/2006/relationships/hyperlink" Target="https://www.sogur.com/governance/" TargetMode="External"/><Relationship Id="rId14" Type="http://schemas.openxmlformats.org/officeDocument/2006/relationships/image" Target="media/image5.png"/><Relationship Id="rId17" Type="http://schemas.openxmlformats.org/officeDocument/2006/relationships/hyperlink" Target="https://www.sogur.com/static/files/p/--0310c505-50cc-44b0-8135-bfd6fe3ea274_Sogur%2BWhitepaper.pdf" TargetMode="External"/><Relationship Id="rId16" Type="http://schemas.openxmlformats.org/officeDocument/2006/relationships/hyperlink" Target="https://www.sogur.com/blog/blogPost/X310ehAAACIAQNgb/" TargetMode="External"/><Relationship Id="rId5" Type="http://schemas.openxmlformats.org/officeDocument/2006/relationships/numbering" Target="numbering.xml"/><Relationship Id="rId19" Type="http://schemas.openxmlformats.org/officeDocument/2006/relationships/hyperlink" Target="https://www.sogur.com/monetary/" TargetMode="External"/><Relationship Id="rId6" Type="http://schemas.openxmlformats.org/officeDocument/2006/relationships/styles" Target="styles.xml"/><Relationship Id="rId18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hyperlink" Target="https://www.imf.org/en/About/Factsheets/Sheets/2016/08/01/14/51/Special-Drawing-Right-SD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Slab-regular.ttf"/><Relationship Id="rId2" Type="http://schemas.openxmlformats.org/officeDocument/2006/relationships/font" Target="fonts/RobotoSlab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