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14F" w:rsidRDefault="009D214F">
      <w:pPr>
        <w:tabs>
          <w:tab w:val="left" w:pos="142"/>
          <w:tab w:val="left" w:pos="426"/>
        </w:tabs>
        <w:spacing w:line="240" w:lineRule="auto"/>
        <w:rPr>
          <w:rFonts w:ascii="Times New Roman" w:hAnsi="Times New Roman" w:cs="Times New Roman"/>
          <w:b/>
          <w:sz w:val="32"/>
          <w:szCs w:val="32"/>
        </w:rPr>
      </w:pPr>
    </w:p>
    <w:p w:rsidR="009D214F" w:rsidRDefault="009E293D">
      <w:pPr>
        <w:tabs>
          <w:tab w:val="left" w:pos="142"/>
          <w:tab w:val="left" w:pos="426"/>
        </w:tabs>
        <w:spacing w:line="240" w:lineRule="auto"/>
      </w:pPr>
      <w:r>
        <w:rPr>
          <w:rFonts w:ascii="Times New Roman" w:hAnsi="Times New Roman" w:cs="Times New Roman"/>
          <w:b/>
          <w:sz w:val="32"/>
          <w:szCs w:val="32"/>
        </w:rPr>
        <w:t>Глава 14 МСФО/</w:t>
      </w:r>
      <w:r>
        <w:rPr>
          <w:rFonts w:ascii="Times New Roman" w:hAnsi="Times New Roman" w:cs="Times New Roman"/>
          <w:b/>
          <w:sz w:val="32"/>
          <w:szCs w:val="32"/>
          <w:lang w:val="en-US"/>
        </w:rPr>
        <w:t>IFRS</w:t>
      </w:r>
      <w:r>
        <w:rPr>
          <w:rFonts w:ascii="Times New Roman" w:hAnsi="Times New Roman" w:cs="Times New Roman"/>
          <w:b/>
          <w:sz w:val="32"/>
          <w:szCs w:val="32"/>
        </w:rPr>
        <w:t xml:space="preserve"> 5: Долгосрочные активы, предназначенные </w:t>
      </w:r>
      <w:r>
        <w:rPr>
          <w:rFonts w:ascii="Times New Roman" w:hAnsi="Times New Roman" w:cs="Times New Roman"/>
          <w:b/>
          <w:sz w:val="32"/>
          <w:szCs w:val="32"/>
          <w:lang w:val="en-US"/>
        </w:rPr>
        <w:t xml:space="preserve"> </w:t>
      </w:r>
      <w:r>
        <w:rPr>
          <w:rFonts w:ascii="Times New Roman" w:hAnsi="Times New Roman" w:cs="Times New Roman"/>
          <w:b/>
          <w:sz w:val="32"/>
          <w:szCs w:val="32"/>
        </w:rPr>
        <w:t>для продажи, и прекращенная деятельность</w:t>
      </w:r>
    </w:p>
    <w:p w:rsidR="009D214F" w:rsidRDefault="009D214F">
      <w:pPr>
        <w:tabs>
          <w:tab w:val="left" w:pos="142"/>
          <w:tab w:val="left" w:pos="426"/>
        </w:tabs>
        <w:spacing w:line="240" w:lineRule="auto"/>
        <w:rPr>
          <w:rFonts w:ascii="Times New Roman" w:hAnsi="Times New Roman" w:cs="Times New Roman"/>
          <w:sz w:val="24"/>
          <w:szCs w:val="24"/>
        </w:rPr>
      </w:pPr>
    </w:p>
    <w:p w:rsidR="009D214F" w:rsidRDefault="009D214F">
      <w:pPr>
        <w:tabs>
          <w:tab w:val="left" w:pos="142"/>
          <w:tab w:val="left" w:pos="426"/>
        </w:tabs>
        <w:spacing w:line="240" w:lineRule="auto"/>
        <w:rPr>
          <w:rFonts w:ascii="Times New Roman" w:hAnsi="Times New Roman" w:cs="Times New Roman"/>
          <w:sz w:val="24"/>
          <w:szCs w:val="24"/>
        </w:rPr>
      </w:pPr>
    </w:p>
    <w:bookmarkStart w:id="0" w:name="__UnoMark__47476_596031549"/>
    <w:bookmarkEnd w:id="0"/>
    <w:p w:rsidR="009D214F" w:rsidRDefault="009E293D">
      <w:pPr>
        <w:tabs>
          <w:tab w:val="left" w:pos="142"/>
          <w:tab w:val="left" w:pos="426"/>
          <w:tab w:val="right" w:pos="9214"/>
        </w:tabs>
        <w:spacing w:line="240" w:lineRule="auto"/>
      </w:pPr>
      <w:r>
        <w:rPr>
          <w:noProof/>
          <w:lang w:eastAsia="ru-RU"/>
        </w:rPr>
        <mc:AlternateContent>
          <mc:Choice Requires="wps">
            <w:drawing>
              <wp:anchor distT="0" distB="0" distL="114300" distR="114300" simplePos="0" relativeHeight="2" behindDoc="0" locked="0" layoutInCell="1" allowOverlap="1">
                <wp:simplePos x="0" y="0"/>
                <wp:positionH relativeFrom="column">
                  <wp:posOffset>-99695</wp:posOffset>
                </wp:positionH>
                <wp:positionV relativeFrom="paragraph">
                  <wp:posOffset>-120015</wp:posOffset>
                </wp:positionV>
                <wp:extent cx="6061710" cy="2811145"/>
                <wp:effectExtent l="0" t="0" r="0" b="0"/>
                <wp:wrapNone/>
                <wp:docPr id="1" name="Прямоугольник 5"/>
                <wp:cNvGraphicFramePr/>
                <a:graphic xmlns:a="http://schemas.openxmlformats.org/drawingml/2006/main">
                  <a:graphicData uri="http://schemas.microsoft.com/office/word/2010/wordprocessingShape">
                    <wps:wsp>
                      <wps:cNvSpPr/>
                      <wps:spPr>
                        <a:xfrm>
                          <a:off x="0" y="0"/>
                          <a:ext cx="6060960" cy="2810520"/>
                        </a:xfrm>
                        <a:prstGeom prst="rect">
                          <a:avLst/>
                        </a:prstGeom>
                        <a:noFill/>
                        <a:ln w="25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Прямоугольник 5" stroked="t" style="position:absolute;margin-left:-7.85pt;margin-top:-9.45pt;width:477.2pt;height:221.25pt">
                <w10:wrap type="none"/>
                <v:fill on="false" o:detectmouseclick="t"/>
                <v:stroke color="black" weight="25560" joinstyle="round" endcap="flat"/>
              </v:rect>
            </w:pict>
          </mc:Fallback>
        </mc:AlternateConten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b/>
          <w:bCs/>
        </w:rPr>
        <w:t>Выдержки из отчёта о финансовом положении</w:t>
      </w:r>
    </w:p>
    <w:p w:rsidR="009D214F" w:rsidRDefault="002A57D0">
      <w:pPr>
        <w:tabs>
          <w:tab w:val="left" w:pos="142"/>
          <w:tab w:val="left" w:pos="426"/>
          <w:tab w:val="right" w:pos="8647"/>
          <w:tab w:val="right" w:pos="9072"/>
          <w:tab w:val="right" w:pos="9214"/>
        </w:tabs>
        <w:spacing w:after="0" w:line="240" w:lineRule="auto"/>
      </w:pPr>
      <w:r>
        <w:rPr>
          <w:rFonts w:ascii="Times New Roman" w:hAnsi="Times New Roman" w:cs="Times New Roman"/>
          <w:sz w:val="20"/>
          <w:szCs w:val="20"/>
        </w:rPr>
        <w:t xml:space="preserve">  </w:t>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r>
      <w:r w:rsidR="009E293D">
        <w:rPr>
          <w:rFonts w:ascii="Times New Roman" w:hAnsi="Times New Roman" w:cs="Times New Roman"/>
          <w:sz w:val="20"/>
          <w:szCs w:val="20"/>
        </w:rPr>
        <w:tab/>
      </w:r>
      <w:r w:rsidR="009E293D">
        <w:rPr>
          <w:rFonts w:ascii="Times New Roman" w:hAnsi="Times New Roman" w:cs="Times New Roman"/>
          <w:b/>
          <w:sz w:val="20"/>
          <w:szCs w:val="20"/>
        </w:rPr>
        <w:t>$’000</w:t>
      </w:r>
    </w:p>
    <w:p w:rsidR="009D214F" w:rsidRDefault="009E293D">
      <w:pPr>
        <w:tabs>
          <w:tab w:val="left" w:pos="142"/>
          <w:tab w:val="left" w:pos="426"/>
          <w:tab w:val="right" w:pos="9072"/>
          <w:tab w:val="right" w:pos="9214"/>
        </w:tabs>
        <w:spacing w:after="0" w:line="240" w:lineRule="auto"/>
      </w:pPr>
      <w:r>
        <w:rPr>
          <w:rFonts w:ascii="Times New Roman" w:hAnsi="Times New Roman" w:cs="Times New Roman"/>
          <w:sz w:val="20"/>
          <w:szCs w:val="20"/>
        </w:rPr>
        <w:tab/>
        <w:t>Активы</w:t>
      </w:r>
    </w:p>
    <w:p w:rsidR="009D214F" w:rsidRDefault="009E293D">
      <w:pPr>
        <w:tabs>
          <w:tab w:val="left" w:pos="142"/>
          <w:tab w:val="left" w:pos="426"/>
          <w:tab w:val="right" w:pos="9072"/>
          <w:tab w:val="right" w:pos="9214"/>
          <w:tab w:val="left" w:pos="9356"/>
        </w:tabs>
        <w:spacing w:after="0" w:line="240" w:lineRule="auto"/>
      </w:pPr>
      <w:r>
        <w:rPr>
          <w:rFonts w:ascii="Times New Roman" w:hAnsi="Times New Roman" w:cs="Times New Roman"/>
          <w:sz w:val="20"/>
          <w:szCs w:val="20"/>
        </w:rPr>
        <w:t xml:space="preserve">   </w:t>
      </w:r>
      <w:r w:rsidR="002A57D0">
        <w:rPr>
          <w:rFonts w:ascii="Times New Roman" w:hAnsi="Times New Roman" w:cs="Times New Roman"/>
          <w:sz w:val="20"/>
          <w:szCs w:val="20"/>
        </w:rPr>
        <w:t>Долгосрочные</w:t>
      </w:r>
      <w:r>
        <w:rPr>
          <w:rFonts w:ascii="Times New Roman" w:hAnsi="Times New Roman" w:cs="Times New Roman"/>
          <w:sz w:val="20"/>
          <w:szCs w:val="20"/>
        </w:rPr>
        <w:t xml:space="preserve"> активы, предназначенные для продажи</w:t>
      </w:r>
      <w:r>
        <w:rPr>
          <w:rFonts w:ascii="Times New Roman" w:hAnsi="Times New Roman" w:cs="Times New Roman"/>
          <w:sz w:val="20"/>
          <w:szCs w:val="20"/>
        </w:rPr>
        <w:tab/>
      </w:r>
      <w:r>
        <w:rPr>
          <w:rFonts w:ascii="Times New Roman" w:hAnsi="Times New Roman" w:cs="Times New Roman"/>
          <w:sz w:val="20"/>
          <w:szCs w:val="20"/>
          <w:lang w:val="en-US"/>
        </w:rPr>
        <w:t>XXX</w:t>
      </w:r>
    </w:p>
    <w:p w:rsidR="009D214F" w:rsidRDefault="009D214F">
      <w:pPr>
        <w:tabs>
          <w:tab w:val="left" w:pos="142"/>
          <w:tab w:val="left" w:pos="426"/>
          <w:tab w:val="right" w:pos="9072"/>
          <w:tab w:val="right" w:pos="9214"/>
          <w:tab w:val="left" w:pos="9356"/>
        </w:tabs>
        <w:spacing w:after="0" w:line="240" w:lineRule="auto"/>
        <w:rPr>
          <w:rFonts w:ascii="Times New Roman" w:hAnsi="Times New Roman" w:cs="Times New Roman"/>
          <w:sz w:val="20"/>
          <w:szCs w:val="20"/>
          <w:lang w:val="en-US"/>
        </w:rPr>
      </w:pPr>
    </w:p>
    <w:p w:rsidR="009D214F" w:rsidRDefault="009E293D">
      <w:pPr>
        <w:tabs>
          <w:tab w:val="left" w:pos="142"/>
          <w:tab w:val="left" w:pos="426"/>
          <w:tab w:val="right" w:pos="9072"/>
          <w:tab w:val="right" w:pos="9214"/>
          <w:tab w:val="left" w:pos="9356"/>
        </w:tabs>
        <w:spacing w:after="0" w:line="240" w:lineRule="auto"/>
      </w:pPr>
      <w:r>
        <w:rPr>
          <w:rFonts w:ascii="Times New Roman" w:hAnsi="Times New Roman" w:cs="Times New Roman"/>
          <w:sz w:val="20"/>
          <w:szCs w:val="20"/>
        </w:rPr>
        <w:tab/>
        <w:t>Собственный капитал и обязательства</w:t>
      </w:r>
    </w:p>
    <w:p w:rsidR="009D214F" w:rsidRDefault="009E293D">
      <w:pPr>
        <w:tabs>
          <w:tab w:val="left" w:pos="142"/>
          <w:tab w:val="left" w:pos="426"/>
          <w:tab w:val="right" w:pos="9072"/>
          <w:tab w:val="right" w:pos="9214"/>
          <w:tab w:val="left" w:pos="9356"/>
        </w:tabs>
        <w:spacing w:after="0" w:line="240" w:lineRule="auto"/>
      </w:pPr>
      <w:r>
        <w:rPr>
          <w:rFonts w:ascii="Times New Roman" w:hAnsi="Times New Roman" w:cs="Times New Roman"/>
          <w:sz w:val="20"/>
          <w:szCs w:val="20"/>
        </w:rPr>
        <w:tab/>
        <w:t xml:space="preserve">Обязательства, связанные с долгосрочными активами, предназначенными для продажи </w:t>
      </w:r>
      <w:r>
        <w:rPr>
          <w:rFonts w:ascii="Times New Roman" w:hAnsi="Times New Roman" w:cs="Times New Roman"/>
          <w:sz w:val="20"/>
          <w:szCs w:val="20"/>
        </w:rPr>
        <w:tab/>
        <w:t>ХХХ</w:t>
      </w:r>
    </w:p>
    <w:p w:rsidR="009D214F" w:rsidRDefault="009D214F">
      <w:pPr>
        <w:tabs>
          <w:tab w:val="left" w:pos="142"/>
          <w:tab w:val="left" w:pos="426"/>
          <w:tab w:val="right" w:pos="9072"/>
          <w:tab w:val="right" w:pos="9214"/>
          <w:tab w:val="left" w:pos="9356"/>
        </w:tabs>
        <w:spacing w:after="0" w:line="240" w:lineRule="auto"/>
        <w:rPr>
          <w:rFonts w:ascii="Times New Roman" w:hAnsi="Times New Roman" w:cs="Times New Roman"/>
          <w:sz w:val="20"/>
          <w:szCs w:val="20"/>
        </w:rPr>
      </w:pPr>
    </w:p>
    <w:p w:rsidR="009D214F" w:rsidRDefault="009E293D">
      <w:pPr>
        <w:tabs>
          <w:tab w:val="left" w:pos="142"/>
          <w:tab w:val="left" w:pos="426"/>
          <w:tab w:val="right" w:pos="9072"/>
          <w:tab w:val="right" w:pos="9214"/>
          <w:tab w:val="left" w:pos="9356"/>
        </w:tabs>
        <w:spacing w:after="0" w:line="240" w:lineRule="auto"/>
      </w:pPr>
      <w:r>
        <w:rPr>
          <w:rFonts w:ascii="Times New Roman" w:hAnsi="Times New Roman" w:cs="Times New Roman"/>
          <w:sz w:val="20"/>
          <w:szCs w:val="20"/>
        </w:rPr>
        <w:tab/>
      </w:r>
      <w:r>
        <w:rPr>
          <w:rFonts w:ascii="Times New Roman" w:hAnsi="Times New Roman" w:cs="Times New Roman"/>
          <w:b/>
          <w:bCs/>
        </w:rPr>
        <w:t>Выдержки из отчета о прибылях и убытках</w:t>
      </w:r>
    </w:p>
    <w:p w:rsidR="009D214F" w:rsidRDefault="009E293D">
      <w:pPr>
        <w:tabs>
          <w:tab w:val="left" w:pos="142"/>
          <w:tab w:val="left" w:pos="426"/>
          <w:tab w:val="right" w:pos="8647"/>
          <w:tab w:val="right" w:pos="9072"/>
          <w:tab w:val="right" w:pos="9214"/>
        </w:tabs>
        <w:spacing w:after="0" w:line="240" w:lineRule="auto"/>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$’000</w:t>
      </w:r>
    </w:p>
    <w:p w:rsidR="009D214F" w:rsidRDefault="009E293D">
      <w:pPr>
        <w:tabs>
          <w:tab w:val="left" w:pos="142"/>
          <w:tab w:val="left" w:pos="426"/>
          <w:tab w:val="right" w:pos="8647"/>
          <w:tab w:val="right" w:pos="9072"/>
          <w:tab w:val="right" w:pos="9214"/>
        </w:tabs>
        <w:spacing w:after="0" w:line="240" w:lineRule="auto"/>
      </w:pPr>
      <w:r>
        <w:rPr>
          <w:rFonts w:ascii="Times New Roman" w:hAnsi="Times New Roman" w:cs="Times New Roman"/>
          <w:sz w:val="20"/>
          <w:szCs w:val="20"/>
        </w:rPr>
        <w:tab/>
        <w:t xml:space="preserve">Прибыль за год от продолжающейся деятельности </w:t>
      </w:r>
      <w:r>
        <w:rPr>
          <w:rFonts w:ascii="Times New Roman" w:hAnsi="Times New Roman" w:cs="Times New Roman"/>
          <w:sz w:val="20"/>
          <w:szCs w:val="20"/>
        </w:rPr>
        <w:tab/>
      </w:r>
      <w:r>
        <w:rPr>
          <w:rFonts w:ascii="Times New Roman" w:hAnsi="Times New Roman" w:cs="Times New Roman"/>
          <w:sz w:val="20"/>
          <w:szCs w:val="20"/>
        </w:rPr>
        <w:tab/>
        <w:t>ХХХ</w:t>
      </w:r>
    </w:p>
    <w:p w:rsidR="009D214F" w:rsidRDefault="009E293D">
      <w:pPr>
        <w:tabs>
          <w:tab w:val="left" w:pos="142"/>
          <w:tab w:val="left" w:pos="426"/>
          <w:tab w:val="right" w:pos="8647"/>
          <w:tab w:val="right" w:pos="9072"/>
          <w:tab w:val="right" w:pos="9214"/>
        </w:tabs>
        <w:spacing w:after="0" w:line="240" w:lineRule="auto"/>
      </w:pPr>
      <w:r>
        <w:rPr>
          <w:rFonts w:ascii="Times New Roman" w:hAnsi="Times New Roman" w:cs="Times New Roman"/>
          <w:sz w:val="20"/>
          <w:szCs w:val="20"/>
        </w:rPr>
        <w:tab/>
        <w:t xml:space="preserve">Прибыль за год от прекращенной деятельности </w:t>
      </w:r>
      <w:r>
        <w:rPr>
          <w:rFonts w:ascii="Times New Roman" w:hAnsi="Times New Roman" w:cs="Times New Roman"/>
          <w:sz w:val="20"/>
          <w:szCs w:val="20"/>
        </w:rPr>
        <w:tab/>
      </w:r>
      <w:r>
        <w:rPr>
          <w:rFonts w:ascii="Times New Roman" w:hAnsi="Times New Roman" w:cs="Times New Roman"/>
          <w:sz w:val="20"/>
          <w:szCs w:val="20"/>
        </w:rPr>
        <w:tab/>
        <w:t>ХХХ</w:t>
      </w: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E293D">
      <w:pPr>
        <w:tabs>
          <w:tab w:val="left" w:pos="142"/>
          <w:tab w:val="left" w:pos="426"/>
          <w:tab w:val="right" w:pos="9072"/>
          <w:tab w:val="right" w:pos="9214"/>
        </w:tabs>
        <w:spacing w:after="0" w:line="240" w:lineRule="auto"/>
        <w:rPr>
          <w:rFonts w:ascii="Times New Roman" w:hAnsi="Times New Roman" w:cs="Times New Roman"/>
          <w:sz w:val="20"/>
          <w:szCs w:val="20"/>
        </w:rPr>
      </w:pPr>
      <w:r>
        <w:rPr>
          <w:rFonts w:ascii="Times New Roman" w:hAnsi="Times New Roman" w:cs="Times New Roman"/>
          <w:sz w:val="20"/>
          <w:szCs w:val="20"/>
        </w:rPr>
        <w:tab/>
      </w:r>
    </w:p>
    <w:p w:rsidR="009D214F" w:rsidRDefault="009E293D">
      <w:pPr>
        <w:tabs>
          <w:tab w:val="left" w:pos="142"/>
          <w:tab w:val="left" w:pos="426"/>
          <w:tab w:val="right" w:pos="9072"/>
          <w:tab w:val="right" w:pos="9214"/>
        </w:tabs>
        <w:spacing w:after="0" w:line="240" w:lineRule="auto"/>
        <w:rPr>
          <w:rFonts w:ascii="Times New Roman" w:hAnsi="Times New Roman" w:cs="Times New Roman"/>
          <w:sz w:val="20"/>
          <w:szCs w:val="20"/>
        </w:rPr>
      </w:pPr>
      <w:r>
        <w:rPr>
          <w:rFonts w:ascii="Times New Roman" w:hAnsi="Times New Roman" w:cs="Times New Roman"/>
          <w:sz w:val="20"/>
          <w:szCs w:val="20"/>
        </w:rPr>
        <w:tab/>
      </w: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D214F">
      <w:pPr>
        <w:tabs>
          <w:tab w:val="left" w:pos="142"/>
          <w:tab w:val="left" w:pos="426"/>
          <w:tab w:val="right" w:pos="9072"/>
          <w:tab w:val="right" w:pos="9214"/>
        </w:tabs>
        <w:spacing w:after="0" w:line="240" w:lineRule="auto"/>
        <w:rPr>
          <w:rFonts w:ascii="Times New Roman" w:hAnsi="Times New Roman" w:cs="Times New Roman"/>
          <w:sz w:val="20"/>
          <w:szCs w:val="20"/>
        </w:rPr>
      </w:pPr>
    </w:p>
    <w:p w:rsidR="009D214F" w:rsidRDefault="009E293D">
      <w:pPr>
        <w:tabs>
          <w:tab w:val="left" w:pos="142"/>
          <w:tab w:val="left" w:pos="426"/>
          <w:tab w:val="right" w:pos="9072"/>
          <w:tab w:val="right" w:pos="9214"/>
        </w:tabs>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3" behindDoc="0" locked="0" layoutInCell="1" allowOverlap="1">
                <wp:simplePos x="0" y="0"/>
                <wp:positionH relativeFrom="column">
                  <wp:posOffset>1177925</wp:posOffset>
                </wp:positionH>
                <wp:positionV relativeFrom="paragraph">
                  <wp:posOffset>120650</wp:posOffset>
                </wp:positionV>
                <wp:extent cx="5161280" cy="1169670"/>
                <wp:effectExtent l="0" t="0" r="0" b="0"/>
                <wp:wrapNone/>
                <wp:docPr id="2" name="Двойные круглые скобки 2"/>
                <wp:cNvGraphicFramePr/>
                <a:graphic xmlns:a="http://schemas.openxmlformats.org/drawingml/2006/main">
                  <a:graphicData uri="http://schemas.microsoft.com/office/word/2010/wordprocessingShape">
                    <wps:wsp>
                      <wps:cNvSpPr/>
                      <wps:spPr>
                        <a:xfrm>
                          <a:off x="0" y="0"/>
                          <a:ext cx="5160600" cy="1168920"/>
                        </a:xfrm>
                        <a:prstGeom prst="bracketPair">
                          <a:avLst>
                            <a:gd name="adj" fmla="val 13777"/>
                          </a:avLst>
                        </a:pr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shapetype_185" coordsize="21600,21600" o:spt="185" adj="3600" path="m0@0qy@6@7l@1,qx@8@6l21600@2qy@9@10l@0,21600qx@7@9xnsem@0,21600qx@7@9l0@0qy@6@7m@1,qx@8@6l21600@2qy@9@10nfe">
                <v:stroke joinstyle="miter"/>
                <v:formulas>
                  <v:f eqn="val #0"/>
                  <v:f eqn="sum width 0 @0"/>
                  <v:f eqn="sum height 0 @0"/>
                  <v:f eqn="prod @0 2929 10000"/>
                  <v:f eqn="sum width 0 @3"/>
                  <v:f eqn="sum height 0 @3"/>
                  <v:f eqn="sum @0 0 0"/>
                  <v:f eqn="sum 0 @0 @0"/>
                  <v:f eqn="sum @0 @1 0"/>
                  <v:f eqn="sum 0 21600 @0"/>
                  <v:f eqn="sum @0 @2 0"/>
                </v:formulas>
                <v:path gradientshapeok="t" o:connecttype="rect" textboxrect="@3,@3,@4,@5"/>
                <v:handles>
                  <v:h position="0,@0"/>
                </v:handles>
              </v:shapetype>
              <v:shape id="shape_0" ID="Двойные круглые скобки 2" stroked="t" style="position:absolute;margin-left:92.75pt;margin-top:9.5pt;width:406.3pt;height:92pt" type="shapetype_185">
                <w10:wrap type="none"/>
                <v:fill on="false" o:detectmouseclick="t"/>
                <v:stroke color="black" weight="9360" joinstyle="round" endcap="flat"/>
              </v:shape>
            </w:pict>
          </mc:Fallback>
        </mc:AlternateContent>
      </w:r>
    </w:p>
    <w:p w:rsidR="009D214F" w:rsidRDefault="009D214F">
      <w:pPr>
        <w:tabs>
          <w:tab w:val="left" w:pos="142"/>
          <w:tab w:val="left" w:pos="426"/>
          <w:tab w:val="right" w:pos="9072"/>
          <w:tab w:val="right" w:pos="9214"/>
        </w:tabs>
        <w:spacing w:after="0" w:line="240" w:lineRule="auto"/>
        <w:rPr>
          <w:rFonts w:ascii="Times New Roman" w:hAnsi="Times New Roman" w:cs="Times New Roman"/>
          <w:sz w:val="24"/>
          <w:szCs w:val="24"/>
        </w:rPr>
      </w:pPr>
      <w:bookmarkStart w:id="1" w:name="__UnoMark__47634_596031549"/>
      <w:bookmarkEnd w:id="1"/>
    </w:p>
    <w:p w:rsidR="009D214F" w:rsidRDefault="009E293D">
      <w:pPr>
        <w:tabs>
          <w:tab w:val="right" w:pos="3969"/>
        </w:tabs>
        <w:ind w:left="2127"/>
        <w:jc w:val="both"/>
      </w:pPr>
      <w:r>
        <w:rPr>
          <w:rFonts w:ascii="Times New Roman" w:hAnsi="Times New Roman" w:cs="Times New Roman"/>
          <w:sz w:val="20"/>
          <w:szCs w:val="20"/>
        </w:rPr>
        <w:t>Регулярно выносимый на экзамен стандарт, особенно в части, касающейся долгосрочных активов, предназначенных для продажи. Применяется к активам (или целым подразделениям компании), которые планировалось, но не удалось продать до конца отчётного периода. На такие активы не начисляется износ, а их оценка сильно зависит от метода учёта до того, как их запланировали продать.</w:t>
      </w:r>
    </w:p>
    <w:p w:rsidR="009D214F" w:rsidRDefault="009D214F">
      <w:pPr>
        <w:rPr>
          <w:rFonts w:ascii="Times New Roman" w:hAnsi="Times New Roman" w:cs="Times New Roman"/>
          <w:sz w:val="24"/>
          <w:szCs w:val="24"/>
        </w:rPr>
      </w:pPr>
    </w:p>
    <w:p w:rsidR="009D214F" w:rsidRDefault="009D214F">
      <w:pPr>
        <w:rPr>
          <w:rFonts w:ascii="Times New Roman" w:hAnsi="Times New Roman" w:cs="Times New Roman"/>
          <w:sz w:val="24"/>
          <w:szCs w:val="24"/>
        </w:rPr>
      </w:pPr>
    </w:p>
    <w:p w:rsidR="009D214F" w:rsidRDefault="009E293D">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4" behindDoc="0" locked="0" layoutInCell="1" allowOverlap="1">
                <wp:simplePos x="0" y="0"/>
                <wp:positionH relativeFrom="column">
                  <wp:posOffset>38735</wp:posOffset>
                </wp:positionH>
                <wp:positionV relativeFrom="paragraph">
                  <wp:posOffset>102870</wp:posOffset>
                </wp:positionV>
                <wp:extent cx="6245225" cy="1270"/>
                <wp:effectExtent l="0" t="0" r="0" b="0"/>
                <wp:wrapNone/>
                <wp:docPr id="3" name="Прямая соединительная линия 4"/>
                <wp:cNvGraphicFramePr/>
                <a:graphic xmlns:a="http://schemas.openxmlformats.org/drawingml/2006/main">
                  <a:graphicData uri="http://schemas.microsoft.com/office/word/2010/wordprocessingShape">
                    <wps:wsp>
                      <wps:cNvCnPr/>
                      <wps:spPr>
                        <a:xfrm>
                          <a:off x="0" y="0"/>
                          <a:ext cx="6244560" cy="0"/>
                        </a:xfrm>
                        <a:prstGeom prst="line">
                          <a:avLst/>
                        </a:prstGeom>
                        <a:ln w="12600">
                          <a:solidFill>
                            <a:srgbClr val="000000"/>
                          </a:solidFill>
                          <a:round/>
                        </a:ln>
                      </wps:spPr>
                      <wps:bodyPr/>
                    </wps:wsp>
                  </a:graphicData>
                </a:graphic>
              </wp:anchor>
            </w:drawing>
          </mc:Choice>
          <mc:Fallback>
            <w:pict>
              <v:line id="shape_0" from="3.05pt,8.1pt" to="494.7pt,8.1pt" ID="Прямая соединительная линия 4" stroked="t" style="position:absolute">
                <v:stroke color="black" weight="12600" joinstyle="round" endcap="flat"/>
                <v:fill on="false" o:detectmouseclick="t"/>
              </v:line>
            </w:pict>
          </mc:Fallback>
        </mc:AlternateContent>
      </w:r>
    </w:p>
    <w:p w:rsidR="009D214F" w:rsidRDefault="009D214F">
      <w:pPr>
        <w:tabs>
          <w:tab w:val="left" w:pos="142"/>
          <w:tab w:val="left" w:pos="426"/>
        </w:tabs>
        <w:spacing w:line="240" w:lineRule="auto"/>
        <w:rPr>
          <w:rFonts w:ascii="Times New Roman" w:hAnsi="Times New Roman" w:cs="Times New Roman"/>
          <w:b/>
          <w:bCs/>
          <w:sz w:val="24"/>
          <w:szCs w:val="24"/>
        </w:rPr>
      </w:pPr>
    </w:p>
    <w:p w:rsidR="009D214F" w:rsidRDefault="009E293D">
      <w:pPr>
        <w:tabs>
          <w:tab w:val="left" w:pos="142"/>
          <w:tab w:val="left" w:pos="426"/>
        </w:tabs>
        <w:spacing w:line="240" w:lineRule="auto"/>
        <w:jc w:val="both"/>
        <w:rPr>
          <w:b/>
          <w:bCs/>
          <w:sz w:val="28"/>
          <w:szCs w:val="28"/>
        </w:rPr>
      </w:pPr>
      <w:r>
        <w:rPr>
          <w:rFonts w:ascii="Times New Roman" w:hAnsi="Times New Roman" w:cs="Times New Roman"/>
          <w:b/>
          <w:bCs/>
          <w:sz w:val="28"/>
          <w:szCs w:val="28"/>
        </w:rPr>
        <w:lastRenderedPageBreak/>
        <w:t>1. Долгосрочные активы, предназначенные для продажи</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Это первая часть стандарта. Целесообразнее начать изучение с неё, потому что критерии, важные для классификации активов как долгосрочных и предназначенных для продажи, нам понадобятся при рассмотрении прекращённой деятельности - второй части стандарта.</w:t>
      </w:r>
    </w:p>
    <w:p w:rsidR="009D214F" w:rsidRDefault="009D214F">
      <w:pPr>
        <w:tabs>
          <w:tab w:val="left" w:pos="142"/>
          <w:tab w:val="left" w:pos="426"/>
        </w:tabs>
        <w:spacing w:line="240" w:lineRule="auto"/>
        <w:jc w:val="both"/>
        <w:rPr>
          <w:rFonts w:ascii="Times New Roman" w:hAnsi="Times New Roman" w:cs="Times New Roman"/>
        </w:rPr>
      </w:pPr>
    </w:p>
    <w:p w:rsidR="009D214F" w:rsidRDefault="009E293D">
      <w:pPr>
        <w:tabs>
          <w:tab w:val="left" w:pos="142"/>
          <w:tab w:val="left" w:pos="426"/>
        </w:tabs>
        <w:spacing w:line="240" w:lineRule="auto"/>
        <w:jc w:val="both"/>
        <w:rPr>
          <w:b/>
          <w:bCs/>
          <w:sz w:val="24"/>
          <w:szCs w:val="24"/>
        </w:rPr>
      </w:pPr>
      <w:r>
        <w:rPr>
          <w:rFonts w:ascii="Times New Roman" w:hAnsi="Times New Roman" w:cs="Times New Roman"/>
          <w:b/>
          <w:bCs/>
          <w:sz w:val="24"/>
          <w:szCs w:val="24"/>
        </w:rPr>
        <w:t>1.1 Определение долгосрочных активов, предназначенных для продажи</w:t>
      </w:r>
    </w:p>
    <w:p w:rsidR="009D214F" w:rsidRDefault="009E293D">
      <w:pPr>
        <w:tabs>
          <w:tab w:val="left" w:pos="142"/>
          <w:tab w:val="left" w:pos="426"/>
        </w:tabs>
        <w:spacing w:line="240" w:lineRule="auto"/>
        <w:jc w:val="both"/>
        <w:rPr>
          <w:sz w:val="20"/>
          <w:szCs w:val="20"/>
        </w:rPr>
      </w:pPr>
      <w:r>
        <w:rPr>
          <w:noProof/>
          <w:lang w:eastAsia="ru-RU"/>
        </w:rPr>
        <w:drawing>
          <wp:anchor distT="0" distB="0" distL="114300" distR="114300" simplePos="0" relativeHeight="13" behindDoc="0" locked="0" layoutInCell="1" allowOverlap="1">
            <wp:simplePos x="0" y="0"/>
            <wp:positionH relativeFrom="column">
              <wp:posOffset>163830</wp:posOffset>
            </wp:positionH>
            <wp:positionV relativeFrom="paragraph">
              <wp:posOffset>16510</wp:posOffset>
            </wp:positionV>
            <wp:extent cx="213360" cy="328930"/>
            <wp:effectExtent l="0" t="0" r="0" b="0"/>
            <wp:wrapSquare wrapText="largest"/>
            <wp:docPr id="4"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2"/>
                    <pic:cNvPicPr>
                      <a:picLocks noChangeAspect="1" noChangeArrowheads="1"/>
                    </pic:cNvPicPr>
                  </pic:nvPicPr>
                  <pic:blipFill>
                    <a:blip r:embed="rId8"/>
                    <a:stretch>
                      <a:fillRect/>
                    </a:stretch>
                  </pic:blipFill>
                  <pic:spPr bwMode="auto">
                    <a:xfrm>
                      <a:off x="0" y="0"/>
                      <a:ext cx="213360" cy="328930"/>
                    </a:xfrm>
                    <a:prstGeom prst="rect">
                      <a:avLst/>
                    </a:prstGeom>
                    <a:noFill/>
                    <a:ln w="9525">
                      <a:noFill/>
                      <a:miter lim="800000"/>
                      <a:headEnd/>
                      <a:tailEnd/>
                    </a:ln>
                  </pic:spPr>
                </pic:pic>
              </a:graphicData>
            </a:graphic>
          </wp:anchor>
        </w:drawing>
      </w:r>
      <w:r>
        <w:rPr>
          <w:rFonts w:ascii="Times New Roman" w:hAnsi="Times New Roman" w:cs="Times New Roman"/>
          <w:b/>
          <w:bCs/>
          <w:sz w:val="20"/>
          <w:szCs w:val="20"/>
        </w:rPr>
        <w:t>Долгосрочные активы, предназначенные для продажи</w:t>
      </w:r>
      <w:r>
        <w:rPr>
          <w:rFonts w:ascii="Times New Roman" w:hAnsi="Times New Roman" w:cs="Times New Roman"/>
          <w:sz w:val="20"/>
          <w:szCs w:val="20"/>
        </w:rPr>
        <w:t xml:space="preserve"> - необоротные активы или выбывающая группа, балансовая стоимость которых будет возмещена путём операции продажи, а не путём использования.</w:t>
      </w:r>
    </w:p>
    <w:p w:rsidR="009D214F" w:rsidRDefault="009E293D">
      <w:pPr>
        <w:tabs>
          <w:tab w:val="left" w:pos="142"/>
          <w:tab w:val="left" w:pos="426"/>
        </w:tabs>
        <w:spacing w:line="240" w:lineRule="auto"/>
        <w:jc w:val="both"/>
        <w:rPr>
          <w:sz w:val="20"/>
          <w:szCs w:val="20"/>
        </w:rPr>
      </w:pPr>
      <w:r>
        <w:rPr>
          <w:noProof/>
          <w:lang w:eastAsia="ru-RU"/>
        </w:rPr>
        <w:drawing>
          <wp:anchor distT="0" distB="0" distL="114300" distR="114300" simplePos="0" relativeHeight="14" behindDoc="0" locked="0" layoutInCell="1" allowOverlap="1">
            <wp:simplePos x="0" y="0"/>
            <wp:positionH relativeFrom="column">
              <wp:posOffset>163830</wp:posOffset>
            </wp:positionH>
            <wp:positionV relativeFrom="paragraph">
              <wp:posOffset>16510</wp:posOffset>
            </wp:positionV>
            <wp:extent cx="213360" cy="328930"/>
            <wp:effectExtent l="0" t="0" r="0" b="0"/>
            <wp:wrapSquare wrapText="largest"/>
            <wp:docPr id="5"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7"/>
                    <pic:cNvPicPr>
                      <a:picLocks noChangeAspect="1" noChangeArrowheads="1"/>
                    </pic:cNvPicPr>
                  </pic:nvPicPr>
                  <pic:blipFill>
                    <a:blip r:embed="rId8"/>
                    <a:stretch>
                      <a:fillRect/>
                    </a:stretch>
                  </pic:blipFill>
                  <pic:spPr bwMode="auto">
                    <a:xfrm>
                      <a:off x="0" y="0"/>
                      <a:ext cx="213360" cy="328930"/>
                    </a:xfrm>
                    <a:prstGeom prst="rect">
                      <a:avLst/>
                    </a:prstGeom>
                    <a:noFill/>
                    <a:ln w="9525">
                      <a:noFill/>
                      <a:miter lim="800000"/>
                      <a:headEnd/>
                      <a:tailEnd/>
                    </a:ln>
                  </pic:spPr>
                </pic:pic>
              </a:graphicData>
            </a:graphic>
          </wp:anchor>
        </w:drawing>
      </w:r>
      <w:r>
        <w:rPr>
          <w:rFonts w:ascii="Times New Roman" w:hAnsi="Times New Roman" w:cs="Times New Roman"/>
          <w:b/>
          <w:bCs/>
          <w:sz w:val="20"/>
          <w:szCs w:val="20"/>
        </w:rPr>
        <w:t>Выбывающая группа</w:t>
      </w:r>
      <w:r>
        <w:rPr>
          <w:rFonts w:ascii="Times New Roman" w:hAnsi="Times New Roman" w:cs="Times New Roman"/>
          <w:sz w:val="20"/>
          <w:szCs w:val="20"/>
        </w:rPr>
        <w:t xml:space="preserve"> - группа активов, часто вместе с напрямую относящимися к ним обязательствами,  подлежащая реализации в рамках одной операции.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Такой выбывающей группой может быть, например, целое подразделение компании или какая-то отдельная фабрика. Таким образом, МСФО/IFRS 5 регулирует учёт и презентацию в отчётности активов или групп активов, которые руководство компании планирует продать, независимо от того, по каким стандартам эти активы учитывались раньше до плана продажи. </w:t>
      </w:r>
    </w:p>
    <w:p w:rsidR="009D214F" w:rsidRDefault="009E293D">
      <w:pPr>
        <w:tabs>
          <w:tab w:val="left" w:pos="142"/>
          <w:tab w:val="left" w:pos="426"/>
        </w:tabs>
        <w:spacing w:line="240" w:lineRule="auto"/>
        <w:jc w:val="both"/>
        <w:rPr>
          <w:sz w:val="20"/>
          <w:szCs w:val="20"/>
        </w:rPr>
      </w:pPr>
      <w:r>
        <w:rPr>
          <w:noProof/>
          <w:lang w:eastAsia="ru-RU"/>
        </w:rPr>
        <w:drawing>
          <wp:anchor distT="0" distB="0" distL="101600" distR="101600" simplePos="0" relativeHeight="15" behindDoc="0" locked="0" layoutInCell="1" allowOverlap="1">
            <wp:simplePos x="0" y="0"/>
            <wp:positionH relativeFrom="column">
              <wp:posOffset>290195</wp:posOffset>
            </wp:positionH>
            <wp:positionV relativeFrom="paragraph">
              <wp:posOffset>60960</wp:posOffset>
            </wp:positionV>
            <wp:extent cx="158750" cy="316865"/>
            <wp:effectExtent l="0" t="0" r="0" b="0"/>
            <wp:wrapSquare wrapText="largest"/>
            <wp:docPr id="6"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8"/>
                    <pic:cNvPicPr>
                      <a:picLocks noChangeAspect="1" noChangeArrowheads="1"/>
                    </pic:cNvPicPr>
                  </pic:nvPicPr>
                  <pic:blipFill>
                    <a:blip r:embed="rId9"/>
                    <a:stretch>
                      <a:fillRect/>
                    </a:stretch>
                  </pic:blipFill>
                  <pic:spPr bwMode="auto">
                    <a:xfrm>
                      <a:off x="0" y="0"/>
                      <a:ext cx="158750" cy="316865"/>
                    </a:xfrm>
                    <a:prstGeom prst="rect">
                      <a:avLst/>
                    </a:prstGeom>
                    <a:noFill/>
                    <a:ln w="9525">
                      <a:noFill/>
                      <a:miter lim="800000"/>
                      <a:headEnd/>
                      <a:tailEnd/>
                    </a:ln>
                  </pic:spPr>
                </pic:pic>
              </a:graphicData>
            </a:graphic>
          </wp:anchor>
        </w:drawing>
      </w:r>
      <w:r>
        <w:rPr>
          <w:rFonts w:ascii="Times New Roman" w:hAnsi="Times New Roman" w:cs="Times New Roman"/>
          <w:sz w:val="20"/>
          <w:szCs w:val="20"/>
        </w:rPr>
        <w:t>Зачем нужен этот стандарт? Если, например, активы раньше учитывались в соответствии с требованиями МСФО/IAS 16 «Основные средства», к чему городить огород: называть их другим термином и использовать иные методы оценки? Это делается для того, чтобы пользователи отчётности могли понимать, что на эти долгосрочные активы (бывшие основные средства) и на эту выбывающую группу (бывший завод компании) больше не стоит рассчитывать как на источник выгоды от продолжающейся деятельности. То есть их больше не надо принимать во внимание при прогнозировании денежных потоков от будущей деятельности компании. Они вот-вот будут проданы.</w:t>
      </w:r>
    </w:p>
    <w:p w:rsidR="009D214F" w:rsidRDefault="009D214F">
      <w:pPr>
        <w:tabs>
          <w:tab w:val="left" w:pos="142"/>
          <w:tab w:val="left" w:pos="426"/>
        </w:tabs>
        <w:spacing w:line="240" w:lineRule="auto"/>
        <w:jc w:val="both"/>
        <w:rPr>
          <w:rFonts w:ascii="Times New Roman" w:hAnsi="Times New Roman" w:cs="Times New Roman"/>
        </w:rPr>
      </w:pPr>
    </w:p>
    <w:p w:rsidR="009D214F" w:rsidRDefault="009E293D">
      <w:pPr>
        <w:tabs>
          <w:tab w:val="left" w:pos="142"/>
          <w:tab w:val="left" w:pos="426"/>
        </w:tabs>
        <w:spacing w:line="240" w:lineRule="auto"/>
        <w:jc w:val="both"/>
        <w:rPr>
          <w:b/>
          <w:bCs/>
          <w:sz w:val="24"/>
          <w:szCs w:val="24"/>
        </w:rPr>
      </w:pPr>
      <w:r>
        <w:rPr>
          <w:rFonts w:ascii="Times New Roman" w:hAnsi="Times New Roman" w:cs="Times New Roman"/>
          <w:b/>
          <w:bCs/>
          <w:sz w:val="24"/>
          <w:szCs w:val="24"/>
        </w:rPr>
        <w:t>1.2 Признание долгосрочных активов как предназначенных для продажи</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Как только компания признает долгосрочные активы именно предназначенными для продажи, а не для последующего использования, к этим активам применим специальный учёт. Чтобы минимизировать возможность манипуляции прибылью с помощью излишне вольной классификации и реклассификации долгосрочных активов из одной категории в другую, МСФО/IFRS 5 содержит чёткие критерии для классификации долгосрочных активов как предназначенных для продажи. </w:t>
      </w:r>
    </w:p>
    <w:p w:rsidR="009D214F" w:rsidRDefault="009D214F">
      <w:pPr>
        <w:tabs>
          <w:tab w:val="left" w:pos="142"/>
          <w:tab w:val="left" w:pos="426"/>
        </w:tabs>
        <w:spacing w:line="240" w:lineRule="auto"/>
        <w:jc w:val="both"/>
        <w:rPr>
          <w:rFonts w:ascii="Times New Roman" w:hAnsi="Times New Roman" w:cs="Times New Roman"/>
        </w:rPr>
      </w:pPr>
    </w:p>
    <w:p w:rsidR="009D214F" w:rsidRDefault="009E293D">
      <w:pPr>
        <w:tabs>
          <w:tab w:val="left" w:pos="142"/>
          <w:tab w:val="left" w:pos="426"/>
        </w:tabs>
        <w:spacing w:line="240" w:lineRule="auto"/>
        <w:jc w:val="both"/>
        <w:rPr>
          <w:b/>
          <w:bCs/>
          <w:sz w:val="20"/>
          <w:szCs w:val="20"/>
        </w:rPr>
      </w:pPr>
      <w:r>
        <w:rPr>
          <w:rFonts w:ascii="Times New Roman" w:hAnsi="Times New Roman" w:cs="Times New Roman"/>
          <w:b/>
          <w:bCs/>
          <w:sz w:val="20"/>
          <w:szCs w:val="20"/>
        </w:rPr>
        <w:t>1.2.1 Критерии признания долгосрочных активов как предназначенных для продажи</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Для того</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чтобы к необоротному активу или выбывающей группе можно было применять учёт по МСФО/IFRS 5 должны быть выполнены следующие критерии признания: </w:t>
      </w:r>
    </w:p>
    <w:p w:rsidR="009D214F" w:rsidRDefault="009E293D">
      <w:pPr>
        <w:tabs>
          <w:tab w:val="left" w:pos="142"/>
          <w:tab w:val="left" w:pos="426"/>
        </w:tabs>
        <w:spacing w:line="240" w:lineRule="auto"/>
        <w:ind w:left="1077" w:hanging="227"/>
        <w:jc w:val="both"/>
        <w:rPr>
          <w:sz w:val="20"/>
          <w:szCs w:val="20"/>
        </w:rPr>
      </w:pPr>
      <w:r>
        <w:rPr>
          <w:rFonts w:ascii="Times New Roman" w:hAnsi="Times New Roman" w:cs="Times New Roman"/>
          <w:sz w:val="20"/>
          <w:szCs w:val="20"/>
        </w:rPr>
        <w:t>1. актив или вся выбывающая группа должны быть готовы к немедленной продаже в существующем состоянии на обычных для продажи таких активов условиях и</w:t>
      </w:r>
    </w:p>
    <w:p w:rsidR="009D214F" w:rsidRDefault="009E293D">
      <w:pPr>
        <w:tabs>
          <w:tab w:val="left" w:pos="142"/>
          <w:tab w:val="left" w:pos="426"/>
        </w:tabs>
        <w:spacing w:line="240" w:lineRule="auto"/>
        <w:ind w:firstLine="850"/>
        <w:jc w:val="both"/>
        <w:rPr>
          <w:sz w:val="20"/>
          <w:szCs w:val="20"/>
        </w:rPr>
      </w:pPr>
      <w:r>
        <w:rPr>
          <w:rFonts w:ascii="Times New Roman" w:hAnsi="Times New Roman" w:cs="Times New Roman"/>
          <w:sz w:val="20"/>
          <w:szCs w:val="20"/>
        </w:rPr>
        <w:t>2. должна существовать высокая вероятность, что продажа произойдёт.</w:t>
      </w:r>
    </w:p>
    <w:p w:rsidR="009D214F" w:rsidRDefault="009D214F">
      <w:pPr>
        <w:tabs>
          <w:tab w:val="left" w:pos="142"/>
          <w:tab w:val="left" w:pos="426"/>
        </w:tabs>
        <w:spacing w:line="240" w:lineRule="auto"/>
        <w:ind w:firstLine="850"/>
        <w:jc w:val="both"/>
        <w:rPr>
          <w:rFonts w:ascii="Times New Roman" w:hAnsi="Times New Roman" w:cs="Times New Roman"/>
        </w:rPr>
      </w:pP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При этом МСФО/IFRS 5 уточняет, что означает существование именно высокой вероятности продажи актива или выбывающей группы: </w:t>
      </w:r>
    </w:p>
    <w:p w:rsidR="009D214F" w:rsidRDefault="009E293D">
      <w:pPr>
        <w:numPr>
          <w:ilvl w:val="0"/>
          <w:numId w:val="1"/>
        </w:numPr>
        <w:tabs>
          <w:tab w:val="left" w:pos="142"/>
          <w:tab w:val="left" w:pos="426"/>
        </w:tabs>
        <w:spacing w:line="240" w:lineRule="auto"/>
        <w:jc w:val="both"/>
        <w:rPr>
          <w:sz w:val="20"/>
          <w:szCs w:val="20"/>
        </w:rPr>
      </w:pPr>
      <w:r>
        <w:rPr>
          <w:rFonts w:ascii="Times New Roman" w:hAnsi="Times New Roman" w:cs="Times New Roman"/>
          <w:sz w:val="20"/>
          <w:szCs w:val="20"/>
        </w:rPr>
        <w:t>существует план по продаж</w:t>
      </w:r>
      <w:r w:rsidR="002A57D0">
        <w:rPr>
          <w:rFonts w:ascii="Times New Roman" w:hAnsi="Times New Roman" w:cs="Times New Roman"/>
          <w:sz w:val="20"/>
          <w:szCs w:val="20"/>
        </w:rPr>
        <w:t>е долгосрочного актива или выбы</w:t>
      </w:r>
      <w:r>
        <w:rPr>
          <w:rFonts w:ascii="Times New Roman" w:hAnsi="Times New Roman" w:cs="Times New Roman"/>
          <w:sz w:val="20"/>
          <w:szCs w:val="20"/>
        </w:rPr>
        <w:t>вающей группы;</w:t>
      </w:r>
    </w:p>
    <w:p w:rsidR="009D214F" w:rsidRDefault="009E293D">
      <w:pPr>
        <w:numPr>
          <w:ilvl w:val="0"/>
          <w:numId w:val="1"/>
        </w:numPr>
        <w:tabs>
          <w:tab w:val="left" w:pos="142"/>
          <w:tab w:val="left" w:pos="426"/>
        </w:tabs>
        <w:spacing w:line="240" w:lineRule="auto"/>
        <w:jc w:val="both"/>
        <w:rPr>
          <w:sz w:val="20"/>
          <w:szCs w:val="20"/>
        </w:rPr>
      </w:pPr>
      <w:r>
        <w:rPr>
          <w:rFonts w:ascii="Times New Roman" w:hAnsi="Times New Roman" w:cs="Times New Roman"/>
          <w:sz w:val="20"/>
          <w:szCs w:val="20"/>
        </w:rPr>
        <w:t xml:space="preserve">идёт активная кампания по поиску покупателя; </w:t>
      </w:r>
    </w:p>
    <w:p w:rsidR="009D214F" w:rsidRDefault="009E293D">
      <w:pPr>
        <w:numPr>
          <w:ilvl w:val="0"/>
          <w:numId w:val="1"/>
        </w:numPr>
        <w:tabs>
          <w:tab w:val="left" w:pos="142"/>
          <w:tab w:val="left" w:pos="426"/>
        </w:tabs>
        <w:spacing w:line="240" w:lineRule="auto"/>
        <w:jc w:val="both"/>
        <w:rPr>
          <w:sz w:val="20"/>
          <w:szCs w:val="20"/>
        </w:rPr>
      </w:pPr>
      <w:r>
        <w:rPr>
          <w:rFonts w:ascii="Times New Roman" w:hAnsi="Times New Roman" w:cs="Times New Roman"/>
          <w:sz w:val="20"/>
          <w:szCs w:val="20"/>
        </w:rPr>
        <w:t xml:space="preserve">запрашиваемая за актив цена обоснована в </w:t>
      </w:r>
      <w:r w:rsidR="002A57D0">
        <w:rPr>
          <w:rFonts w:ascii="Times New Roman" w:hAnsi="Times New Roman" w:cs="Times New Roman"/>
          <w:sz w:val="20"/>
          <w:szCs w:val="20"/>
        </w:rPr>
        <w:t>рамках,</w:t>
      </w:r>
      <w:r>
        <w:rPr>
          <w:rFonts w:ascii="Times New Roman" w:hAnsi="Times New Roman" w:cs="Times New Roman"/>
          <w:sz w:val="20"/>
          <w:szCs w:val="20"/>
        </w:rPr>
        <w:t xml:space="preserve"> существующих на рынке справедливых цен; </w:t>
      </w:r>
    </w:p>
    <w:p w:rsidR="009D214F" w:rsidRDefault="009E293D">
      <w:pPr>
        <w:numPr>
          <w:ilvl w:val="0"/>
          <w:numId w:val="1"/>
        </w:numPr>
        <w:tabs>
          <w:tab w:val="left" w:pos="142"/>
          <w:tab w:val="left" w:pos="426"/>
        </w:tabs>
        <w:spacing w:line="240" w:lineRule="auto"/>
        <w:jc w:val="both"/>
        <w:rPr>
          <w:sz w:val="20"/>
          <w:szCs w:val="20"/>
        </w:rPr>
      </w:pPr>
      <w:r>
        <w:rPr>
          <w:rFonts w:ascii="Times New Roman" w:hAnsi="Times New Roman" w:cs="Times New Roman"/>
          <w:sz w:val="20"/>
          <w:szCs w:val="20"/>
        </w:rPr>
        <w:t xml:space="preserve">ожидается, что операция по продаже завершится в течение года с даты классификации.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lastRenderedPageBreak/>
        <w:t xml:space="preserve">Правда, если продать долгосрочный актив или выбывающую группу в течение года </w:t>
      </w:r>
      <w:proofErr w:type="gramStart"/>
      <w:r>
        <w:rPr>
          <w:rFonts w:ascii="Times New Roman" w:hAnsi="Times New Roman" w:cs="Times New Roman"/>
          <w:sz w:val="20"/>
          <w:szCs w:val="20"/>
        </w:rPr>
        <w:t>с даты классификации</w:t>
      </w:r>
      <w:proofErr w:type="gramEnd"/>
      <w:r>
        <w:rPr>
          <w:rFonts w:ascii="Times New Roman" w:hAnsi="Times New Roman" w:cs="Times New Roman"/>
          <w:sz w:val="20"/>
          <w:szCs w:val="20"/>
        </w:rPr>
        <w:t xml:space="preserve"> не удаётся, это не означает автоматического запрета на использование принципов стандарта МСФО/IFRS 5. В этом случае компания должна продемонстрировать, что задержка в реализации плана продаж вызвана неподконтрольными ей факторами, и что сама компания по-прежнему намерена придерживаться изначального плана по продаже.</w:t>
      </w:r>
    </w:p>
    <w:p w:rsidR="009D214F" w:rsidRDefault="009D214F">
      <w:pPr>
        <w:tabs>
          <w:tab w:val="left" w:pos="142"/>
          <w:tab w:val="left" w:pos="426"/>
        </w:tabs>
        <w:spacing w:line="240" w:lineRule="auto"/>
        <w:jc w:val="both"/>
        <w:rPr>
          <w:rFonts w:ascii="Times New Roman" w:hAnsi="Times New Roman" w:cs="Times New Roman"/>
        </w:rPr>
      </w:pPr>
    </w:p>
    <w:p w:rsidR="009D214F" w:rsidRDefault="009E293D">
      <w:pPr>
        <w:tabs>
          <w:tab w:val="left" w:pos="142"/>
          <w:tab w:val="left" w:pos="426"/>
        </w:tabs>
        <w:spacing w:line="240" w:lineRule="auto"/>
        <w:jc w:val="both"/>
        <w:rPr>
          <w:b/>
          <w:bCs/>
          <w:sz w:val="20"/>
          <w:szCs w:val="20"/>
        </w:rPr>
      </w:pPr>
      <w:r>
        <w:rPr>
          <w:rFonts w:ascii="Times New Roman" w:hAnsi="Times New Roman" w:cs="Times New Roman"/>
          <w:b/>
          <w:bCs/>
          <w:sz w:val="20"/>
          <w:szCs w:val="20"/>
        </w:rPr>
        <w:t>1.2.2 Презентация долгосрочных активов, предназначенных для продажи, в отчётности</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Долгосрочные активы, предназначенные для продажи, должны быть отражены в отчёте о финансовом положении </w:t>
      </w:r>
      <w:r>
        <w:rPr>
          <w:rFonts w:ascii="Times New Roman" w:hAnsi="Times New Roman" w:cs="Times New Roman"/>
          <w:b/>
          <w:bCs/>
          <w:sz w:val="20"/>
          <w:szCs w:val="20"/>
        </w:rPr>
        <w:t>отдельной</w:t>
      </w:r>
      <w:r>
        <w:rPr>
          <w:rFonts w:ascii="Times New Roman" w:hAnsi="Times New Roman" w:cs="Times New Roman"/>
          <w:sz w:val="20"/>
          <w:szCs w:val="20"/>
        </w:rPr>
        <w:t xml:space="preserve"> строкой. Если в рамках выбывающей группы к долгосрочным активам также относятся и непосредственно с ними связанные обязательства, такие обязательства тоже нужно отразить отдельно от прочих обязательств в отчёте о финансовом положении. Взаимозачитывать долгосрочные активы и относящиеся к ним обязательства нельзя.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Если критерии, требующие отражать и учитывать долгосрочные активы как предназначенные для продажи, начали выполняться только в этом отчётном периоде, то при презентации сравнимой финансовой отчётности за прошлые периоды не нужно отдельно выделять эти активы. </w:t>
      </w:r>
    </w:p>
    <w:p w:rsidR="009D214F" w:rsidRDefault="009D214F">
      <w:pPr>
        <w:tabs>
          <w:tab w:val="left" w:pos="142"/>
          <w:tab w:val="left" w:pos="426"/>
        </w:tabs>
        <w:spacing w:line="240" w:lineRule="auto"/>
        <w:jc w:val="both"/>
        <w:rPr>
          <w:rFonts w:ascii="Times New Roman" w:hAnsi="Times New Roman" w:cs="Times New Roman"/>
        </w:rPr>
      </w:pPr>
    </w:p>
    <w:p w:rsidR="009D214F" w:rsidRDefault="009E293D">
      <w:pPr>
        <w:tabs>
          <w:tab w:val="left" w:pos="142"/>
          <w:tab w:val="left" w:pos="426"/>
        </w:tabs>
        <w:spacing w:line="240" w:lineRule="auto"/>
        <w:jc w:val="both"/>
        <w:rPr>
          <w:sz w:val="20"/>
          <w:szCs w:val="20"/>
        </w:rPr>
      </w:pPr>
      <w:r>
        <w:rPr>
          <w:noProof/>
          <w:lang w:eastAsia="ru-RU"/>
        </w:rPr>
        <w:drawing>
          <wp:anchor distT="0" distB="0" distL="25400" distR="25400" simplePos="0" relativeHeight="16" behindDoc="0" locked="0" layoutInCell="1" allowOverlap="1">
            <wp:simplePos x="0" y="0"/>
            <wp:positionH relativeFrom="column">
              <wp:posOffset>127000</wp:posOffset>
            </wp:positionH>
            <wp:positionV relativeFrom="paragraph">
              <wp:posOffset>-57785</wp:posOffset>
            </wp:positionV>
            <wp:extent cx="328930" cy="323215"/>
            <wp:effectExtent l="0" t="0" r="0" b="0"/>
            <wp:wrapSquare wrapText="largest"/>
            <wp:docPr id="7"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19"/>
                    <pic:cNvPicPr>
                      <a:picLocks noChangeAspect="1" noChangeArrowheads="1"/>
                    </pic:cNvPicPr>
                  </pic:nvPicPr>
                  <pic:blipFill>
                    <a:blip r:embed="rId10"/>
                    <a:stretch>
                      <a:fillRect/>
                    </a:stretch>
                  </pic:blipFill>
                  <pic:spPr bwMode="auto">
                    <a:xfrm>
                      <a:off x="0" y="0"/>
                      <a:ext cx="328930" cy="323215"/>
                    </a:xfrm>
                    <a:prstGeom prst="rect">
                      <a:avLst/>
                    </a:prstGeom>
                    <a:noFill/>
                    <a:ln w="9525">
                      <a:noFill/>
                      <a:miter lim="800000"/>
                      <a:headEnd/>
                      <a:tailEnd/>
                    </a:ln>
                  </pic:spPr>
                </pic:pic>
              </a:graphicData>
            </a:graphic>
          </wp:anchor>
        </w:drawing>
      </w:r>
      <w:r>
        <w:rPr>
          <w:rFonts w:ascii="Times New Roman" w:hAnsi="Times New Roman" w:cs="Times New Roman"/>
          <w:sz w:val="20"/>
          <w:szCs w:val="20"/>
        </w:rPr>
        <w:t xml:space="preserve">Не поленитесь и загляните сейчас в шаблон отчёта о финансовом положении. Вы должны увидеть, что такое отдельная строка. Это не необоротные активы, и не оборотные. Это территория между ними. </w:t>
      </w:r>
    </w:p>
    <w:p w:rsidR="009D214F" w:rsidRDefault="009D214F">
      <w:pPr>
        <w:tabs>
          <w:tab w:val="left" w:pos="142"/>
          <w:tab w:val="left" w:pos="426"/>
        </w:tabs>
        <w:spacing w:line="240" w:lineRule="auto"/>
        <w:jc w:val="both"/>
        <w:rPr>
          <w:rFonts w:ascii="Times New Roman" w:hAnsi="Times New Roman" w:cs="Times New Roman"/>
        </w:rPr>
      </w:pPr>
    </w:p>
    <w:p w:rsidR="009D214F" w:rsidRDefault="002A57D0">
      <w:pPr>
        <w:tabs>
          <w:tab w:val="left" w:pos="142"/>
          <w:tab w:val="left" w:pos="426"/>
        </w:tabs>
        <w:spacing w:line="240" w:lineRule="auto"/>
        <w:jc w:val="both"/>
        <w:rPr>
          <w:b/>
          <w:bCs/>
          <w:sz w:val="20"/>
          <w:szCs w:val="20"/>
        </w:rPr>
      </w:pPr>
      <w:r>
        <w:rPr>
          <w:rFonts w:ascii="Times New Roman" w:hAnsi="Times New Roman" w:cs="Times New Roman"/>
          <w:b/>
          <w:bCs/>
          <w:sz w:val="20"/>
          <w:szCs w:val="20"/>
        </w:rPr>
        <w:t>1.2.3 Ликвидируемые акт</w:t>
      </w:r>
      <w:r w:rsidR="009E293D">
        <w:rPr>
          <w:rFonts w:ascii="Times New Roman" w:hAnsi="Times New Roman" w:cs="Times New Roman"/>
          <w:b/>
          <w:bCs/>
          <w:sz w:val="20"/>
          <w:szCs w:val="20"/>
        </w:rPr>
        <w:t>ивы не считаются предназначенными для продажи</w:t>
      </w:r>
    </w:p>
    <w:p w:rsidR="009D214F" w:rsidRDefault="009E293D">
      <w:pPr>
        <w:tabs>
          <w:tab w:val="left" w:pos="142"/>
          <w:tab w:val="left" w:pos="426"/>
        </w:tabs>
        <w:spacing w:line="240" w:lineRule="auto"/>
        <w:jc w:val="both"/>
        <w:rPr>
          <w:sz w:val="20"/>
          <w:szCs w:val="20"/>
        </w:rPr>
      </w:pPr>
      <w:r>
        <w:rPr>
          <w:noProof/>
          <w:lang w:eastAsia="ru-RU"/>
        </w:rPr>
        <w:drawing>
          <wp:anchor distT="0" distB="0" distL="101600" distR="101600" simplePos="0" relativeHeight="17" behindDoc="0" locked="0" layoutInCell="1" allowOverlap="1">
            <wp:simplePos x="0" y="0"/>
            <wp:positionH relativeFrom="column">
              <wp:posOffset>290195</wp:posOffset>
            </wp:positionH>
            <wp:positionV relativeFrom="paragraph">
              <wp:posOffset>60960</wp:posOffset>
            </wp:positionV>
            <wp:extent cx="158750" cy="316865"/>
            <wp:effectExtent l="0" t="0" r="0" b="0"/>
            <wp:wrapSquare wrapText="largest"/>
            <wp:docPr id="8"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20"/>
                    <pic:cNvPicPr>
                      <a:picLocks noChangeAspect="1" noChangeArrowheads="1"/>
                    </pic:cNvPicPr>
                  </pic:nvPicPr>
                  <pic:blipFill>
                    <a:blip r:embed="rId9"/>
                    <a:stretch>
                      <a:fillRect/>
                    </a:stretch>
                  </pic:blipFill>
                  <pic:spPr bwMode="auto">
                    <a:xfrm>
                      <a:off x="0" y="0"/>
                      <a:ext cx="158750" cy="316865"/>
                    </a:xfrm>
                    <a:prstGeom prst="rect">
                      <a:avLst/>
                    </a:prstGeom>
                    <a:noFill/>
                    <a:ln w="9525">
                      <a:noFill/>
                      <a:miter lim="800000"/>
                      <a:headEnd/>
                      <a:tailEnd/>
                    </a:ln>
                  </pic:spPr>
                </pic:pic>
              </a:graphicData>
            </a:graphic>
          </wp:anchor>
        </w:drawing>
      </w:r>
      <w:r>
        <w:rPr>
          <w:rFonts w:ascii="Times New Roman" w:hAnsi="Times New Roman" w:cs="Times New Roman"/>
          <w:sz w:val="20"/>
          <w:szCs w:val="20"/>
        </w:rPr>
        <w:t xml:space="preserve">Если долгосрочные активы или их группу планируется не продать, а просто ликвидировать (например, закрыв завод), то такие активы нельзя классифицировать как предназначенные для продажи и учитывать в соответствии с МСФО/IFRS 5. Однако финансовые результаты и денежные потоки таких активов должны быть раскрыты в отчётности как прекращенная деятельность с той даты, когда они ликвидированы. Подробнее об этом мы ещё поговорим в этой главе </w:t>
      </w:r>
      <w:r>
        <w:rPr>
          <w:rFonts w:ascii="Times New Roman" w:hAnsi="Times New Roman" w:cs="Times New Roman"/>
          <w:sz w:val="20"/>
          <w:szCs w:val="20"/>
          <w:shd w:val="clear" w:color="auto" w:fill="CCFF66"/>
        </w:rPr>
        <w:t>(см. пункт 2.2.1 на стр. 111)</w:t>
      </w:r>
      <w:r>
        <w:rPr>
          <w:rFonts w:ascii="Times New Roman" w:hAnsi="Times New Roman" w:cs="Times New Roman"/>
          <w:sz w:val="20"/>
          <w:szCs w:val="20"/>
        </w:rPr>
        <w:t>.</w:t>
      </w:r>
    </w:p>
    <w:p w:rsidR="009D214F" w:rsidRDefault="009D214F">
      <w:pPr>
        <w:tabs>
          <w:tab w:val="left" w:pos="142"/>
          <w:tab w:val="left" w:pos="426"/>
        </w:tabs>
        <w:spacing w:line="240" w:lineRule="auto"/>
        <w:jc w:val="both"/>
        <w:rPr>
          <w:rFonts w:ascii="Times New Roman" w:hAnsi="Times New Roman" w:cs="Times New Roman"/>
        </w:rPr>
      </w:pPr>
    </w:p>
    <w:p w:rsidR="009D214F" w:rsidRDefault="009E293D">
      <w:pPr>
        <w:tabs>
          <w:tab w:val="left" w:pos="142"/>
          <w:tab w:val="left" w:pos="426"/>
        </w:tabs>
        <w:spacing w:line="240" w:lineRule="auto"/>
        <w:jc w:val="both"/>
        <w:rPr>
          <w:b/>
          <w:bCs/>
          <w:sz w:val="24"/>
          <w:szCs w:val="24"/>
        </w:rPr>
      </w:pPr>
      <w:r>
        <w:rPr>
          <w:rFonts w:ascii="Times New Roman" w:hAnsi="Times New Roman" w:cs="Times New Roman"/>
          <w:b/>
          <w:bCs/>
          <w:sz w:val="24"/>
          <w:szCs w:val="24"/>
        </w:rPr>
        <w:t>1.3 Первоначальная оценка долгосрочных активов, предназначенных для продажи</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На дату выполнения критериев признания долгосрочные активы, предназначенные для продажи или выбывающая группа оцениваются </w:t>
      </w:r>
      <w:proofErr w:type="gramStart"/>
      <w:r>
        <w:rPr>
          <w:rFonts w:ascii="Times New Roman" w:hAnsi="Times New Roman" w:cs="Times New Roman"/>
          <w:sz w:val="20"/>
          <w:szCs w:val="20"/>
        </w:rPr>
        <w:t>по</w:t>
      </w:r>
      <w:proofErr w:type="gramEnd"/>
      <w:r>
        <w:rPr>
          <w:rFonts w:ascii="Times New Roman" w:hAnsi="Times New Roman" w:cs="Times New Roman"/>
          <w:sz w:val="20"/>
          <w:szCs w:val="20"/>
        </w:rPr>
        <w:t xml:space="preserve"> </w:t>
      </w:r>
      <w:r>
        <w:rPr>
          <w:rFonts w:ascii="Times New Roman" w:hAnsi="Times New Roman" w:cs="Times New Roman"/>
          <w:b/>
          <w:bCs/>
          <w:sz w:val="20"/>
          <w:szCs w:val="20"/>
        </w:rPr>
        <w:t>наименьшей</w:t>
      </w:r>
      <w:r>
        <w:rPr>
          <w:rFonts w:ascii="Times New Roman" w:hAnsi="Times New Roman" w:cs="Times New Roman"/>
          <w:sz w:val="20"/>
          <w:szCs w:val="20"/>
        </w:rPr>
        <w:t xml:space="preserve"> из двух величин: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ab/>
      </w:r>
      <w:r>
        <w:rPr>
          <w:rFonts w:ascii="Times New Roman" w:hAnsi="Times New Roman" w:cs="Times New Roman"/>
          <w:sz w:val="20"/>
          <w:szCs w:val="20"/>
        </w:rPr>
        <w:tab/>
        <w:t>1. балансовой стоимости на дату классификации как предназначенных для продажи и</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ab/>
      </w:r>
      <w:r>
        <w:rPr>
          <w:rFonts w:ascii="Times New Roman" w:hAnsi="Times New Roman" w:cs="Times New Roman"/>
          <w:sz w:val="20"/>
          <w:szCs w:val="20"/>
        </w:rPr>
        <w:tab/>
        <w:t>2. справедливой стоимости за вычетом затрат на продажу.</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Такой подход к оценке фактически означает, что после первоначальной классификации долгосрочные активы, предназначенные для продажи, являются аналогом запасов компании.</w:t>
      </w:r>
    </w:p>
    <w:p w:rsidR="009D214F" w:rsidRDefault="009D214F">
      <w:pPr>
        <w:tabs>
          <w:tab w:val="left" w:pos="142"/>
          <w:tab w:val="left" w:pos="426"/>
        </w:tabs>
        <w:spacing w:line="240" w:lineRule="auto"/>
        <w:jc w:val="both"/>
        <w:rPr>
          <w:rFonts w:ascii="Times New Roman" w:hAnsi="Times New Roman" w:cs="Times New Roman"/>
        </w:rPr>
      </w:pPr>
    </w:p>
    <w:p w:rsidR="009D214F" w:rsidRDefault="009E293D">
      <w:pPr>
        <w:tabs>
          <w:tab w:val="left" w:pos="142"/>
          <w:tab w:val="left" w:pos="426"/>
        </w:tabs>
        <w:spacing w:line="240" w:lineRule="auto"/>
        <w:jc w:val="both"/>
        <w:rPr>
          <w:sz w:val="20"/>
          <w:szCs w:val="20"/>
        </w:rPr>
      </w:pPr>
      <w:r>
        <w:rPr>
          <w:noProof/>
          <w:lang w:eastAsia="ru-RU"/>
        </w:rPr>
        <w:drawing>
          <wp:anchor distT="0" distB="0" distL="101600" distR="101600" simplePos="0" relativeHeight="18" behindDoc="0" locked="0" layoutInCell="1" allowOverlap="1">
            <wp:simplePos x="0" y="0"/>
            <wp:positionH relativeFrom="column">
              <wp:posOffset>290195</wp:posOffset>
            </wp:positionH>
            <wp:positionV relativeFrom="paragraph">
              <wp:posOffset>60960</wp:posOffset>
            </wp:positionV>
            <wp:extent cx="158750" cy="316865"/>
            <wp:effectExtent l="0" t="0" r="0" b="0"/>
            <wp:wrapSquare wrapText="largest"/>
            <wp:docPr id="9"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21"/>
                    <pic:cNvPicPr>
                      <a:picLocks noChangeAspect="1" noChangeArrowheads="1"/>
                    </pic:cNvPicPr>
                  </pic:nvPicPr>
                  <pic:blipFill>
                    <a:blip r:embed="rId9"/>
                    <a:stretch>
                      <a:fillRect/>
                    </a:stretch>
                  </pic:blipFill>
                  <pic:spPr bwMode="auto">
                    <a:xfrm>
                      <a:off x="0" y="0"/>
                      <a:ext cx="158750" cy="316865"/>
                    </a:xfrm>
                    <a:prstGeom prst="rect">
                      <a:avLst/>
                    </a:prstGeom>
                    <a:noFill/>
                    <a:ln w="9525">
                      <a:noFill/>
                      <a:miter lim="800000"/>
                      <a:headEnd/>
                      <a:tailEnd/>
                    </a:ln>
                  </pic:spPr>
                </pic:pic>
              </a:graphicData>
            </a:graphic>
          </wp:anchor>
        </w:drawing>
      </w:r>
      <w:r>
        <w:rPr>
          <w:rFonts w:ascii="Times New Roman" w:hAnsi="Times New Roman" w:cs="Times New Roman"/>
          <w:sz w:val="20"/>
          <w:szCs w:val="20"/>
        </w:rPr>
        <w:t>Балансовую стоимость актива непосредственно на дату классификации как предназначенного для продажи необходимо оценивать в соответствии с тем стандартом, по принципам которого он учитывался ранее. Это означает, что сначала для актива выполняются все операции по уточнению балансовой стоимости, а потом производится реклассификация в долгосрочный актив, предназначенный для продажи, и оценка по наименьшей из двух величин.</w:t>
      </w: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E293D">
      <w:pPr>
        <w:tabs>
          <w:tab w:val="left" w:pos="142"/>
          <w:tab w:val="left" w:pos="426"/>
        </w:tabs>
        <w:spacing w:line="240" w:lineRule="auto"/>
        <w:jc w:val="both"/>
      </w:pPr>
      <w:r>
        <w:rPr>
          <w:noProof/>
          <w:lang w:eastAsia="ru-RU"/>
        </w:rPr>
        <w:lastRenderedPageBreak/>
        <w:drawing>
          <wp:anchor distT="0" distB="0" distL="25400" distR="25400" simplePos="0" relativeHeight="19" behindDoc="0" locked="0" layoutInCell="1" allowOverlap="1">
            <wp:simplePos x="0" y="0"/>
            <wp:positionH relativeFrom="column">
              <wp:posOffset>127000</wp:posOffset>
            </wp:positionH>
            <wp:positionV relativeFrom="paragraph">
              <wp:posOffset>-57785</wp:posOffset>
            </wp:positionV>
            <wp:extent cx="328930" cy="323215"/>
            <wp:effectExtent l="0" t="0" r="0" b="0"/>
            <wp:wrapSquare wrapText="largest"/>
            <wp:docPr id="10"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22"/>
                    <pic:cNvPicPr>
                      <a:picLocks noChangeAspect="1" noChangeArrowheads="1"/>
                    </pic:cNvPicPr>
                  </pic:nvPicPr>
                  <pic:blipFill>
                    <a:blip r:embed="rId10"/>
                    <a:stretch>
                      <a:fillRect/>
                    </a:stretch>
                  </pic:blipFill>
                  <pic:spPr bwMode="auto">
                    <a:xfrm>
                      <a:off x="0" y="0"/>
                      <a:ext cx="328930" cy="323215"/>
                    </a:xfrm>
                    <a:prstGeom prst="rect">
                      <a:avLst/>
                    </a:prstGeom>
                    <a:noFill/>
                    <a:ln w="9525">
                      <a:noFill/>
                      <a:miter lim="800000"/>
                      <a:headEnd/>
                      <a:tailEnd/>
                    </a:ln>
                  </pic:spPr>
                </pic:pic>
              </a:graphicData>
            </a:graphic>
          </wp:anchor>
        </w:drawing>
      </w:r>
      <w:r>
        <w:rPr>
          <w:rFonts w:ascii="Times New Roman" w:hAnsi="Times New Roman" w:cs="Times New Roman"/>
          <w:sz w:val="20"/>
          <w:szCs w:val="20"/>
        </w:rPr>
        <w:t xml:space="preserve">На экзамене ДипИФР этот момент тестируется таким образом: если основное средство учитывается по модели переоцененной стоимости, то на дату реклассификации основного средства как долгосрочного актива, предназначенного для продажи, оно должно быть в последний раз переоценено в соответствии с МСФО/IAS 16 «Основные средства». Это может привести к кажущейся странной ситуации: балансовая стоимость актива будет, например, завышена до справедливой стоимости, и только после этого оценена по наименьшей из двух величин: балансовой (по сути, справедливой на дату переоценки) и справедливой за вычетом затрат на продажу. </w:t>
      </w:r>
    </w:p>
    <w:p w:rsidR="009D214F" w:rsidRDefault="009E293D">
      <w:pPr>
        <w:tabs>
          <w:tab w:val="left" w:pos="142"/>
          <w:tab w:val="left" w:pos="426"/>
        </w:tabs>
        <w:spacing w:line="240" w:lineRule="auto"/>
        <w:jc w:val="both"/>
      </w:pPr>
      <w:r>
        <w:rPr>
          <w:rFonts w:ascii="Times New Roman" w:hAnsi="Times New Roman" w:cs="Times New Roman"/>
          <w:sz w:val="20"/>
          <w:szCs w:val="20"/>
        </w:rPr>
        <w:t>На момент реклассификации долгосрочных активов или реализуемой группы может быть признан убыток от обесценения, если справедливая стоимость за вычетом затрат на продажу будет меньше, чем балансовая стоимость актива. Этот убыток от обесценения должен быть учтён в соответствии с МСФО/IAS 36 «Обесценение активов».</w:t>
      </w:r>
    </w:p>
    <w:p w:rsidR="009D214F" w:rsidRDefault="009D214F">
      <w:pPr>
        <w:tabs>
          <w:tab w:val="left" w:pos="142"/>
          <w:tab w:val="left" w:pos="426"/>
        </w:tabs>
        <w:spacing w:line="240" w:lineRule="auto"/>
        <w:jc w:val="both"/>
        <w:rPr>
          <w:rFonts w:ascii="Times New Roman" w:hAnsi="Times New Roman" w:cs="Times New Roman"/>
          <w:sz w:val="20"/>
          <w:szCs w:val="20"/>
        </w:rPr>
      </w:pPr>
    </w:p>
    <w:p w:rsidR="009D214F" w:rsidRDefault="009E293D">
      <w:pPr>
        <w:tabs>
          <w:tab w:val="left" w:pos="142"/>
          <w:tab w:val="left" w:pos="426"/>
        </w:tabs>
        <w:spacing w:line="240" w:lineRule="auto"/>
        <w:jc w:val="both"/>
        <w:rPr>
          <w:b/>
          <w:bCs/>
          <w:sz w:val="24"/>
          <w:szCs w:val="24"/>
        </w:rPr>
      </w:pPr>
      <w:r>
        <w:rPr>
          <w:rFonts w:ascii="Times New Roman" w:hAnsi="Times New Roman" w:cs="Times New Roman"/>
          <w:b/>
          <w:bCs/>
          <w:sz w:val="24"/>
          <w:szCs w:val="24"/>
        </w:rPr>
        <w:t>1.4 Последующая оценка долгосрочных активов, предназначенных для продажи</w:t>
      </w:r>
    </w:p>
    <w:p w:rsidR="009D214F" w:rsidRDefault="009E293D">
      <w:pPr>
        <w:tabs>
          <w:tab w:val="left" w:pos="142"/>
          <w:tab w:val="left" w:pos="426"/>
        </w:tabs>
        <w:spacing w:line="240" w:lineRule="auto"/>
        <w:jc w:val="both"/>
      </w:pPr>
      <w:r>
        <w:rPr>
          <w:rFonts w:ascii="Times New Roman" w:hAnsi="Times New Roman" w:cs="Times New Roman"/>
          <w:sz w:val="20"/>
          <w:szCs w:val="20"/>
        </w:rPr>
        <w:t xml:space="preserve">Если долгосрочные активы, предназначенные для продажи, или выбывающая группа, не проданы на отчётную дату, то они продолжают и далее оцениваться по </w:t>
      </w:r>
      <w:r>
        <w:rPr>
          <w:rFonts w:ascii="Times New Roman" w:hAnsi="Times New Roman" w:cs="Times New Roman"/>
          <w:b/>
          <w:bCs/>
          <w:sz w:val="20"/>
          <w:szCs w:val="20"/>
        </w:rPr>
        <w:t>наименьшей</w:t>
      </w:r>
      <w:r>
        <w:rPr>
          <w:rFonts w:ascii="Times New Roman" w:hAnsi="Times New Roman" w:cs="Times New Roman"/>
          <w:sz w:val="20"/>
          <w:szCs w:val="20"/>
        </w:rPr>
        <w:t xml:space="preserve"> из двух величин:</w:t>
      </w:r>
    </w:p>
    <w:p w:rsidR="009D214F" w:rsidRDefault="009E293D">
      <w:pPr>
        <w:tabs>
          <w:tab w:val="left" w:pos="142"/>
          <w:tab w:val="left" w:pos="426"/>
        </w:tabs>
        <w:spacing w:line="240" w:lineRule="auto"/>
        <w:jc w:val="both"/>
      </w:pPr>
      <w:r>
        <w:rPr>
          <w:rFonts w:ascii="Times New Roman" w:hAnsi="Times New Roman" w:cs="Times New Roman"/>
          <w:sz w:val="20"/>
          <w:szCs w:val="20"/>
        </w:rPr>
        <w:tab/>
      </w:r>
      <w:r>
        <w:rPr>
          <w:rFonts w:ascii="Times New Roman" w:hAnsi="Times New Roman" w:cs="Times New Roman"/>
          <w:sz w:val="20"/>
          <w:szCs w:val="20"/>
        </w:rPr>
        <w:tab/>
        <w:t>1. балансовой стоимости на дату классификации как предназначенных для продажи и</w:t>
      </w:r>
    </w:p>
    <w:p w:rsidR="009D214F" w:rsidRDefault="009E293D">
      <w:pPr>
        <w:tabs>
          <w:tab w:val="left" w:pos="142"/>
          <w:tab w:val="left" w:pos="426"/>
        </w:tabs>
        <w:spacing w:line="240" w:lineRule="auto"/>
        <w:jc w:val="both"/>
      </w:pPr>
      <w:r>
        <w:rPr>
          <w:rFonts w:ascii="Times New Roman" w:hAnsi="Times New Roman" w:cs="Times New Roman"/>
          <w:sz w:val="20"/>
          <w:szCs w:val="20"/>
        </w:rPr>
        <w:tab/>
      </w:r>
      <w:r>
        <w:rPr>
          <w:rFonts w:ascii="Times New Roman" w:hAnsi="Times New Roman" w:cs="Times New Roman"/>
          <w:sz w:val="20"/>
          <w:szCs w:val="20"/>
        </w:rPr>
        <w:tab/>
        <w:t>2. справедливой стоимости за вычетом затрат на продажу.</w:t>
      </w:r>
    </w:p>
    <w:p w:rsidR="009D214F" w:rsidRDefault="009E293D">
      <w:pPr>
        <w:tabs>
          <w:tab w:val="left" w:pos="142"/>
          <w:tab w:val="left" w:pos="426"/>
        </w:tabs>
        <w:spacing w:line="240" w:lineRule="auto"/>
        <w:jc w:val="both"/>
      </w:pPr>
      <w:r>
        <w:rPr>
          <w:rFonts w:ascii="Times New Roman" w:hAnsi="Times New Roman" w:cs="Times New Roman"/>
          <w:sz w:val="20"/>
          <w:szCs w:val="20"/>
        </w:rPr>
        <w:t xml:space="preserve">При этом такие долгосрочные активы (а также долгосрочные активы, входящие в состав выбывающей группы) не подвергаются износу/не амортизируются. </w:t>
      </w:r>
    </w:p>
    <w:p w:rsidR="009D214F" w:rsidRDefault="009E293D">
      <w:pPr>
        <w:tabs>
          <w:tab w:val="left" w:pos="142"/>
          <w:tab w:val="left" w:pos="426"/>
        </w:tabs>
        <w:spacing w:line="240" w:lineRule="auto"/>
        <w:jc w:val="both"/>
        <w:rPr>
          <w:rFonts w:ascii="Times New Roman" w:hAnsi="Times New Roman" w:cs="Times New Roman"/>
          <w:sz w:val="20"/>
          <w:szCs w:val="20"/>
        </w:rPr>
      </w:pPr>
      <w:r>
        <w:rPr>
          <w:noProof/>
          <w:lang w:eastAsia="ru-RU"/>
        </w:rPr>
        <mc:AlternateContent>
          <mc:Choice Requires="wps">
            <w:drawing>
              <wp:anchor distT="0" distB="0" distL="0" distR="0" simplePos="0" relativeHeight="21" behindDoc="0" locked="0" layoutInCell="1" allowOverlap="1">
                <wp:simplePos x="0" y="0"/>
                <wp:positionH relativeFrom="column">
                  <wp:posOffset>45720</wp:posOffset>
                </wp:positionH>
                <wp:positionV relativeFrom="paragraph">
                  <wp:posOffset>89535</wp:posOffset>
                </wp:positionV>
                <wp:extent cx="6079490" cy="635"/>
                <wp:effectExtent l="0" t="0" r="0" b="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6078960" cy="0"/>
                        </a:xfrm>
                        <a:prstGeom prst="line">
                          <a:avLst/>
                        </a:prstGeom>
                        <a:ln>
                          <a:solidFill>
                            <a:srgbClr val="000000"/>
                          </a:solidFill>
                        </a:ln>
                      </wps:spPr>
                      <wps:bodyPr/>
                    </wps:wsp>
                  </a:graphicData>
                </a:graphic>
              </wp:anchor>
            </w:drawing>
          </mc:Choice>
          <mc:Fallback>
            <w:pict>
              <v:line id="shape_0" from="3.6pt,7.05pt" to="482.2pt,7.05pt" stroked="t" style="position:absolute">
                <v:stroke color="black" joinstyle="round" endcap="flat"/>
                <v:fill on="false" o:detectmouseclick="t"/>
              </v:line>
            </w:pict>
          </mc:Fallback>
        </mc:AlternateContent>
      </w:r>
    </w:p>
    <w:p w:rsidR="009D214F" w:rsidRDefault="009E293D">
      <w:pPr>
        <w:tabs>
          <w:tab w:val="left" w:pos="142"/>
          <w:tab w:val="left" w:pos="426"/>
        </w:tabs>
        <w:spacing w:line="240" w:lineRule="auto"/>
        <w:jc w:val="both"/>
      </w:pPr>
      <w:r>
        <w:rPr>
          <w:noProof/>
          <w:lang w:eastAsia="ru-RU"/>
        </w:rPr>
        <w:drawing>
          <wp:anchor distT="0" distB="0" distL="101600" distR="101600" simplePos="0" relativeHeight="20" behindDoc="0" locked="0" layoutInCell="1" allowOverlap="1">
            <wp:simplePos x="0" y="0"/>
            <wp:positionH relativeFrom="page">
              <wp:posOffset>989330</wp:posOffset>
            </wp:positionH>
            <wp:positionV relativeFrom="paragraph">
              <wp:posOffset>12700</wp:posOffset>
            </wp:positionV>
            <wp:extent cx="182880" cy="298450"/>
            <wp:effectExtent l="0" t="0" r="0" b="0"/>
            <wp:wrapSquare wrapText="largest"/>
            <wp:docPr id="12"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23"/>
                    <pic:cNvPicPr>
                      <a:picLocks noChangeAspect="1" noChangeArrowheads="1"/>
                    </pic:cNvPicPr>
                  </pic:nvPicPr>
                  <pic:blipFill>
                    <a:blip r:embed="rId11"/>
                    <a:stretch>
                      <a:fillRect/>
                    </a:stretch>
                  </pic:blipFill>
                  <pic:spPr bwMode="auto">
                    <a:xfrm>
                      <a:off x="0" y="0"/>
                      <a:ext cx="182880" cy="298450"/>
                    </a:xfrm>
                    <a:prstGeom prst="rect">
                      <a:avLst/>
                    </a:prstGeom>
                    <a:noFill/>
                    <a:ln w="9525">
                      <a:noFill/>
                      <a:miter lim="800000"/>
                      <a:headEnd/>
                      <a:tailEnd/>
                    </a:ln>
                  </pic:spPr>
                </pic:pic>
              </a:graphicData>
            </a:graphic>
          </wp:anchor>
        </w:drawing>
      </w:r>
      <w:r>
        <w:rPr>
          <w:rFonts w:ascii="Times New Roman" w:hAnsi="Times New Roman" w:cs="Times New Roman"/>
          <w:sz w:val="20"/>
          <w:szCs w:val="20"/>
        </w:rPr>
        <w:t xml:space="preserve">Не откладывая в долгий ящик, давайте решим задачу - очень показательную. В таких задачах очень важно чётко различать два этапа в жизни актива, готового к продаже: до реклассификации и сразу после реклассификации. </w:t>
      </w:r>
    </w:p>
    <w:p w:rsidR="009D214F" w:rsidRDefault="009E293D">
      <w:pPr>
        <w:tabs>
          <w:tab w:val="left" w:pos="142"/>
          <w:tab w:val="left" w:pos="426"/>
        </w:tabs>
        <w:spacing w:line="240" w:lineRule="auto"/>
        <w:jc w:val="both"/>
      </w:pPr>
      <w:r>
        <w:rPr>
          <w:rFonts w:ascii="Times New Roman" w:hAnsi="Times New Roman" w:cs="Times New Roman"/>
          <w:sz w:val="20"/>
          <w:szCs w:val="20"/>
        </w:rPr>
        <w:tab/>
      </w:r>
      <w:r>
        <w:rPr>
          <w:rFonts w:ascii="Times New Roman" w:hAnsi="Times New Roman" w:cs="Times New Roman"/>
          <w:sz w:val="20"/>
          <w:szCs w:val="20"/>
        </w:rPr>
        <w:tab/>
        <w:t xml:space="preserve">□ задача «Чайка» </w:t>
      </w:r>
    </w:p>
    <w:p w:rsidR="009D214F" w:rsidRDefault="009E293D">
      <w:pPr>
        <w:tabs>
          <w:tab w:val="left" w:pos="142"/>
          <w:tab w:val="left" w:pos="426"/>
        </w:tabs>
        <w:spacing w:line="240" w:lineRule="auto"/>
        <w:jc w:val="both"/>
        <w:rPr>
          <w:rFonts w:ascii="Times New Roman" w:hAnsi="Times New Roman" w:cs="Times New Roman"/>
          <w:sz w:val="20"/>
          <w:szCs w:val="20"/>
        </w:rPr>
      </w:pPr>
      <w:r>
        <w:rPr>
          <w:noProof/>
          <w:lang w:eastAsia="ru-RU"/>
        </w:rPr>
        <mc:AlternateContent>
          <mc:Choice Requires="wps">
            <w:drawing>
              <wp:anchor distT="0" distB="0" distL="0" distR="0" simplePos="0" relativeHeight="22" behindDoc="0" locked="0" layoutInCell="1" allowOverlap="1">
                <wp:simplePos x="0" y="0"/>
                <wp:positionH relativeFrom="column">
                  <wp:posOffset>45720</wp:posOffset>
                </wp:positionH>
                <wp:positionV relativeFrom="paragraph">
                  <wp:posOffset>89535</wp:posOffset>
                </wp:positionV>
                <wp:extent cx="6079490" cy="635"/>
                <wp:effectExtent l="0" t="0" r="0" b="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6078960" cy="0"/>
                        </a:xfrm>
                        <a:prstGeom prst="line">
                          <a:avLst/>
                        </a:prstGeom>
                        <a:ln>
                          <a:solidFill>
                            <a:srgbClr val="000000"/>
                          </a:solidFill>
                        </a:ln>
                      </wps:spPr>
                      <wps:bodyPr/>
                    </wps:wsp>
                  </a:graphicData>
                </a:graphic>
              </wp:anchor>
            </w:drawing>
          </mc:Choice>
          <mc:Fallback>
            <w:pict>
              <v:line id="shape_0" from="3.6pt,7.05pt" to="482.2pt,7.05pt" stroked="t" style="position:absolute">
                <v:stroke color="black" joinstyle="round" endcap="flat"/>
                <v:fill on="false" o:detectmouseclick="t"/>
              </v:line>
            </w:pict>
          </mc:Fallback>
        </mc:AlternateContent>
      </w:r>
    </w:p>
    <w:p w:rsidR="009D214F" w:rsidRDefault="009E293D">
      <w:pPr>
        <w:tabs>
          <w:tab w:val="left" w:pos="142"/>
          <w:tab w:val="left" w:pos="426"/>
        </w:tabs>
        <w:spacing w:line="240" w:lineRule="auto"/>
        <w:jc w:val="both"/>
        <w:rPr>
          <w:b/>
          <w:bCs/>
        </w:rPr>
      </w:pPr>
      <w:r>
        <w:rPr>
          <w:rFonts w:ascii="Times New Roman" w:hAnsi="Times New Roman" w:cs="Times New Roman"/>
          <w:b/>
          <w:bCs/>
          <w:sz w:val="20"/>
          <w:szCs w:val="20"/>
        </w:rPr>
        <w:t>1.4.1 Особенности обесценения долгосрочных активов, предназначенных для продажи</w:t>
      </w:r>
    </w:p>
    <w:p w:rsidR="009D214F" w:rsidRDefault="009E293D">
      <w:pPr>
        <w:tabs>
          <w:tab w:val="left" w:pos="142"/>
          <w:tab w:val="left" w:pos="426"/>
        </w:tabs>
        <w:spacing w:line="240" w:lineRule="auto"/>
        <w:jc w:val="both"/>
      </w:pPr>
      <w:r>
        <w:rPr>
          <w:rFonts w:ascii="Times New Roman" w:hAnsi="Times New Roman" w:cs="Times New Roman"/>
          <w:sz w:val="20"/>
          <w:szCs w:val="20"/>
        </w:rPr>
        <w:t>При последующей оценке компания может быть вынуждена обесценить долгосрочный актив, предназначенный для продажи, если его справедливая стои</w:t>
      </w:r>
      <w:r w:rsidR="00BF0959">
        <w:rPr>
          <w:rFonts w:ascii="Times New Roman" w:hAnsi="Times New Roman" w:cs="Times New Roman"/>
          <w:sz w:val="20"/>
          <w:szCs w:val="20"/>
        </w:rPr>
        <w:t>мость за вычетом затрат на прода</w:t>
      </w:r>
      <w:r>
        <w:rPr>
          <w:rFonts w:ascii="Times New Roman" w:hAnsi="Times New Roman" w:cs="Times New Roman"/>
          <w:sz w:val="20"/>
          <w:szCs w:val="20"/>
        </w:rPr>
        <w:t>жу снижается.</w:t>
      </w:r>
      <w:bookmarkStart w:id="2" w:name="_GoBack"/>
      <w:bookmarkEnd w:id="2"/>
    </w:p>
    <w:p w:rsidR="009D214F" w:rsidRDefault="009D214F">
      <w:pPr>
        <w:tabs>
          <w:tab w:val="left" w:pos="142"/>
          <w:tab w:val="left" w:pos="426"/>
        </w:tabs>
        <w:spacing w:line="240" w:lineRule="auto"/>
        <w:jc w:val="both"/>
        <w:rPr>
          <w:rFonts w:ascii="Times New Roman" w:hAnsi="Times New Roman" w:cs="Times New Roman"/>
          <w:sz w:val="20"/>
          <w:szCs w:val="20"/>
        </w:rPr>
      </w:pPr>
    </w:p>
    <w:p w:rsidR="009D214F" w:rsidRDefault="009E293D">
      <w:pPr>
        <w:tabs>
          <w:tab w:val="left" w:pos="142"/>
          <w:tab w:val="left" w:pos="426"/>
        </w:tabs>
        <w:spacing w:line="240" w:lineRule="auto"/>
        <w:jc w:val="both"/>
        <w:rPr>
          <w:rFonts w:ascii="Times New Roman" w:hAnsi="Times New Roman" w:cs="Times New Roman"/>
          <w:sz w:val="20"/>
          <w:szCs w:val="20"/>
        </w:rPr>
      </w:pPr>
      <w:r>
        <w:rPr>
          <w:noProof/>
          <w:lang w:eastAsia="ru-RU"/>
        </w:rPr>
        <w:drawing>
          <wp:anchor distT="0" distB="0" distL="101600" distR="101600" simplePos="0" relativeHeight="23" behindDoc="0" locked="0" layoutInCell="1" allowOverlap="1">
            <wp:simplePos x="0" y="0"/>
            <wp:positionH relativeFrom="column">
              <wp:posOffset>290195</wp:posOffset>
            </wp:positionH>
            <wp:positionV relativeFrom="paragraph">
              <wp:posOffset>60960</wp:posOffset>
            </wp:positionV>
            <wp:extent cx="158750" cy="316865"/>
            <wp:effectExtent l="0" t="0" r="0" b="0"/>
            <wp:wrapSquare wrapText="largest"/>
            <wp:docPr id="14"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24"/>
                    <pic:cNvPicPr>
                      <a:picLocks noChangeAspect="1" noChangeArrowheads="1"/>
                    </pic:cNvPicPr>
                  </pic:nvPicPr>
                  <pic:blipFill>
                    <a:blip r:embed="rId9"/>
                    <a:stretch>
                      <a:fillRect/>
                    </a:stretch>
                  </pic:blipFill>
                  <pic:spPr bwMode="auto">
                    <a:xfrm>
                      <a:off x="0" y="0"/>
                      <a:ext cx="158750" cy="316865"/>
                    </a:xfrm>
                    <a:prstGeom prst="rect">
                      <a:avLst/>
                    </a:prstGeom>
                    <a:noFill/>
                    <a:ln w="9525">
                      <a:noFill/>
                      <a:miter lim="800000"/>
                      <a:headEnd/>
                      <a:tailEnd/>
                    </a:ln>
                  </pic:spPr>
                </pic:pic>
              </a:graphicData>
            </a:graphic>
          </wp:anchor>
        </w:drawing>
      </w:r>
      <w:r>
        <w:rPr>
          <w:rFonts w:ascii="Times New Roman" w:hAnsi="Times New Roman" w:cs="Times New Roman"/>
          <w:sz w:val="20"/>
          <w:szCs w:val="20"/>
        </w:rPr>
        <w:t>Независимо от того, как и в соответствии с каким стандартом этот необоротный актив учитывался до реклассификации в долгосрочный актив, предназначенный для продажи, его обесценение относится на прибыль или убыток:</w:t>
      </w:r>
    </w:p>
    <w:p w:rsidR="00620EFF" w:rsidRDefault="00620EFF">
      <w:pPr>
        <w:tabs>
          <w:tab w:val="left" w:pos="142"/>
          <w:tab w:val="left" w:pos="426"/>
        </w:tabs>
        <w:spacing w:line="240" w:lineRule="auto"/>
        <w:jc w:val="both"/>
      </w:pPr>
    </w:p>
    <w:p w:rsidR="009D214F" w:rsidRDefault="009E293D" w:rsidP="00620EFF">
      <w:pPr>
        <w:tabs>
          <w:tab w:val="left" w:pos="142"/>
          <w:tab w:val="left" w:pos="426"/>
        </w:tabs>
        <w:spacing w:after="0" w:line="240" w:lineRule="auto"/>
        <w:jc w:val="both"/>
      </w:pPr>
      <w:r>
        <w:rPr>
          <w:rFonts w:ascii="Times New Roman" w:hAnsi="Times New Roman" w:cs="Times New Roman"/>
          <w:sz w:val="20"/>
          <w:szCs w:val="20"/>
        </w:rPr>
        <w:tab/>
      </w:r>
      <w:r>
        <w:rPr>
          <w:rFonts w:ascii="Times New Roman" w:hAnsi="Times New Roman" w:cs="Times New Roman"/>
          <w:sz w:val="20"/>
          <w:szCs w:val="20"/>
        </w:rPr>
        <w:tab/>
        <w:t xml:space="preserve">Дт Убыток от обесценения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XXX </w:t>
      </w:r>
    </w:p>
    <w:p w:rsidR="009D214F" w:rsidRDefault="009E293D">
      <w:pPr>
        <w:tabs>
          <w:tab w:val="left" w:pos="142"/>
          <w:tab w:val="left" w:pos="426"/>
        </w:tabs>
        <w:spacing w:line="240" w:lineRule="auto"/>
        <w:jc w:val="both"/>
      </w:pPr>
      <w:r>
        <w:rPr>
          <w:rFonts w:ascii="Times New Roman" w:hAnsi="Times New Roman" w:cs="Times New Roman"/>
          <w:sz w:val="20"/>
          <w:szCs w:val="20"/>
        </w:rPr>
        <w:tab/>
      </w:r>
      <w:r>
        <w:rPr>
          <w:rFonts w:ascii="Times New Roman" w:hAnsi="Times New Roman" w:cs="Times New Roman"/>
          <w:sz w:val="20"/>
          <w:szCs w:val="20"/>
        </w:rPr>
        <w:tab/>
        <w:t xml:space="preserve">Кт Актив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XXX </w:t>
      </w:r>
    </w:p>
    <w:p w:rsidR="009D214F" w:rsidRDefault="009D214F">
      <w:pPr>
        <w:tabs>
          <w:tab w:val="left" w:pos="142"/>
          <w:tab w:val="left" w:pos="426"/>
        </w:tabs>
        <w:spacing w:line="240" w:lineRule="auto"/>
        <w:jc w:val="both"/>
        <w:rPr>
          <w:rFonts w:ascii="Times New Roman" w:hAnsi="Times New Roman" w:cs="Times New Roman"/>
          <w:sz w:val="20"/>
          <w:szCs w:val="20"/>
        </w:rPr>
      </w:pPr>
    </w:p>
    <w:p w:rsidR="009D214F" w:rsidRDefault="009E293D">
      <w:pPr>
        <w:tabs>
          <w:tab w:val="left" w:pos="142"/>
          <w:tab w:val="left" w:pos="426"/>
        </w:tabs>
        <w:spacing w:line="240" w:lineRule="auto"/>
        <w:jc w:val="both"/>
      </w:pPr>
      <w:r>
        <w:rPr>
          <w:rFonts w:ascii="Times New Roman" w:hAnsi="Times New Roman" w:cs="Times New Roman"/>
          <w:sz w:val="20"/>
          <w:szCs w:val="20"/>
        </w:rPr>
        <w:t>Таким образом, обесценение актива, который ранее переоценивался в соответствии с МСФО/IAS 16 «Основные средства», а теперь учитывается в соответствии с МСФО/IFRS 5, уменьшает прибыль текущего периода, вместо того, чтобы уменьшить прочий совокупный доход.</w:t>
      </w:r>
    </w:p>
    <w:p w:rsidR="009D214F" w:rsidRDefault="009E293D">
      <w:pPr>
        <w:tabs>
          <w:tab w:val="left" w:pos="142"/>
          <w:tab w:val="left" w:pos="426"/>
        </w:tabs>
        <w:spacing w:line="240" w:lineRule="auto"/>
        <w:jc w:val="both"/>
      </w:pPr>
      <w:r>
        <w:rPr>
          <w:rFonts w:ascii="Times New Roman" w:hAnsi="Times New Roman" w:cs="Times New Roman"/>
          <w:sz w:val="20"/>
          <w:szCs w:val="20"/>
        </w:rPr>
        <w:t>Если после того, как по долгосрочному активу признан убыток от обесценения, справедливая стоимость за вычетом затрат на продажу такого актива вновь возрастает, то убыток от обесценения надо вернуть, но на сумму, не превышающую:</w:t>
      </w:r>
    </w:p>
    <w:p w:rsidR="009D214F" w:rsidRDefault="009D214F">
      <w:pPr>
        <w:tabs>
          <w:tab w:val="left" w:pos="142"/>
          <w:tab w:val="left" w:pos="426"/>
        </w:tabs>
        <w:spacing w:line="240" w:lineRule="auto"/>
        <w:jc w:val="both"/>
        <w:rPr>
          <w:rFonts w:ascii="Times New Roman" w:hAnsi="Times New Roman" w:cs="Times New Roman"/>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Pr="00620EFF" w:rsidRDefault="009E293D" w:rsidP="00620EFF">
      <w:pPr>
        <w:pStyle w:val="af6"/>
        <w:numPr>
          <w:ilvl w:val="0"/>
          <w:numId w:val="5"/>
        </w:numPr>
        <w:tabs>
          <w:tab w:val="left" w:pos="142"/>
          <w:tab w:val="left" w:pos="426"/>
        </w:tabs>
        <w:spacing w:line="240" w:lineRule="auto"/>
        <w:jc w:val="both"/>
        <w:rPr>
          <w:sz w:val="20"/>
          <w:szCs w:val="20"/>
        </w:rPr>
      </w:pPr>
      <w:r w:rsidRPr="00620EFF">
        <w:rPr>
          <w:rFonts w:ascii="Times New Roman" w:hAnsi="Times New Roman" w:cs="Times New Roman"/>
          <w:sz w:val="20"/>
          <w:szCs w:val="20"/>
        </w:rPr>
        <w:lastRenderedPageBreak/>
        <w:t xml:space="preserve">накопленный убыток от обесценения актива с того момента, как он учитывается в соответствии с МСФО/IFRS 5 и </w:t>
      </w:r>
    </w:p>
    <w:p w:rsidR="009D214F" w:rsidRPr="00620EFF" w:rsidRDefault="009E293D" w:rsidP="00620EFF">
      <w:pPr>
        <w:pStyle w:val="af6"/>
        <w:numPr>
          <w:ilvl w:val="0"/>
          <w:numId w:val="5"/>
        </w:numPr>
        <w:tabs>
          <w:tab w:val="left" w:pos="142"/>
          <w:tab w:val="left" w:pos="426"/>
        </w:tabs>
        <w:spacing w:line="240" w:lineRule="auto"/>
        <w:jc w:val="both"/>
        <w:rPr>
          <w:sz w:val="20"/>
          <w:szCs w:val="20"/>
        </w:rPr>
      </w:pPr>
      <w:r w:rsidRPr="00620EFF">
        <w:rPr>
          <w:rFonts w:ascii="Times New Roman" w:hAnsi="Times New Roman" w:cs="Times New Roman"/>
          <w:sz w:val="20"/>
          <w:szCs w:val="20"/>
        </w:rPr>
        <w:t>убыток от обесценения признанный при первоначальной классификации актива в долгосрочный актив, предназначенный для продажи.</w:t>
      </w:r>
    </w:p>
    <w:p w:rsidR="009D214F" w:rsidRDefault="009E293D">
      <w:pPr>
        <w:tabs>
          <w:tab w:val="left" w:pos="142"/>
          <w:tab w:val="left" w:pos="426"/>
        </w:tabs>
        <w:spacing w:line="240" w:lineRule="auto"/>
        <w:jc w:val="both"/>
        <w:rPr>
          <w:b/>
          <w:bCs/>
          <w:sz w:val="20"/>
          <w:szCs w:val="20"/>
        </w:rPr>
      </w:pPr>
      <w:r>
        <w:rPr>
          <w:rFonts w:ascii="Times New Roman" w:hAnsi="Times New Roman" w:cs="Times New Roman"/>
          <w:b/>
          <w:bCs/>
          <w:sz w:val="20"/>
          <w:szCs w:val="20"/>
        </w:rPr>
        <w:t>1.4.2 Обязательства, относящиеся к долгосрочным активам, предназначенным для продажи</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Если в состав реализуемой группы входят обязательства, то финансовый расход по ним должен продолжать начисляться. </w:t>
      </w:r>
    </w:p>
    <w:p w:rsidR="009D214F" w:rsidRDefault="009D214F">
      <w:pPr>
        <w:tabs>
          <w:tab w:val="left" w:pos="142"/>
          <w:tab w:val="left" w:pos="426"/>
        </w:tabs>
        <w:spacing w:line="240" w:lineRule="auto"/>
        <w:jc w:val="both"/>
        <w:rPr>
          <w:rFonts w:ascii="Times New Roman" w:hAnsi="Times New Roman" w:cs="Times New Roman"/>
        </w:rPr>
      </w:pPr>
    </w:p>
    <w:p w:rsidR="009D214F" w:rsidRDefault="009E293D">
      <w:pPr>
        <w:tabs>
          <w:tab w:val="left" w:pos="142"/>
          <w:tab w:val="left" w:pos="426"/>
        </w:tabs>
        <w:spacing w:line="240" w:lineRule="auto"/>
        <w:jc w:val="both"/>
        <w:rPr>
          <w:b/>
          <w:bCs/>
          <w:sz w:val="24"/>
          <w:szCs w:val="24"/>
        </w:rPr>
      </w:pPr>
      <w:r>
        <w:rPr>
          <w:rFonts w:ascii="Times New Roman" w:hAnsi="Times New Roman" w:cs="Times New Roman"/>
          <w:b/>
          <w:bCs/>
          <w:sz w:val="24"/>
          <w:szCs w:val="24"/>
        </w:rPr>
        <w:t>1.5 Изменение намерения продать необоротный актив</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Если компания более не намерена продавать актив, то критерии, необходимые для классификации долгосрочного актива в соответствии с принципами МСФО/IFRS 5, больше не выполняются.</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В этом случае компания должна реклассифицировать соответствующий необоротный актив в соответствующую категорию, оценив его по наименьшей из двух величин: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1. балансовой стоимости, по которой он отражался бы в учёте, если бы он не был классифицирован в долгосрочные </w:t>
      </w:r>
      <w:r w:rsidR="00620EFF">
        <w:rPr>
          <w:rFonts w:ascii="Times New Roman" w:hAnsi="Times New Roman" w:cs="Times New Roman"/>
          <w:sz w:val="20"/>
          <w:szCs w:val="20"/>
        </w:rPr>
        <w:t>активы,</w:t>
      </w:r>
      <w:r>
        <w:rPr>
          <w:rFonts w:ascii="Times New Roman" w:hAnsi="Times New Roman" w:cs="Times New Roman"/>
          <w:sz w:val="20"/>
          <w:szCs w:val="20"/>
        </w:rPr>
        <w:t xml:space="preserve"> предназначенные для продажи (то есть с учётом не начисленной за этот период амортизации), или</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ab/>
      </w:r>
      <w:r>
        <w:rPr>
          <w:rFonts w:ascii="Times New Roman" w:hAnsi="Times New Roman" w:cs="Times New Roman"/>
          <w:sz w:val="20"/>
          <w:szCs w:val="20"/>
        </w:rPr>
        <w:tab/>
        <w:t>2. возмещаемой сумме на дату, когда компания отказалась от намерения продавать актив.</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Финансовый результат такой переоценки на дату реклассификации отражается в отчёте о прибылях и убытках.</w:t>
      </w:r>
    </w:p>
    <w:p w:rsidR="009D214F" w:rsidRDefault="009E293D">
      <w:pPr>
        <w:tabs>
          <w:tab w:val="left" w:pos="142"/>
          <w:tab w:val="left" w:pos="426"/>
        </w:tabs>
        <w:spacing w:line="240" w:lineRule="auto"/>
        <w:jc w:val="both"/>
        <w:rPr>
          <w:rFonts w:ascii="Times New Roman" w:hAnsi="Times New Roman" w:cs="Times New Roman"/>
        </w:rPr>
      </w:pPr>
      <w:r>
        <w:rPr>
          <w:noProof/>
          <w:sz w:val="20"/>
          <w:szCs w:val="20"/>
          <w:lang w:eastAsia="ru-RU"/>
        </w:rPr>
        <mc:AlternateContent>
          <mc:Choice Requires="wps">
            <w:drawing>
              <wp:anchor distT="0" distB="0" distL="0" distR="0" simplePos="0" relativeHeight="25" behindDoc="0" locked="0" layoutInCell="1" allowOverlap="1">
                <wp:simplePos x="0" y="0"/>
                <wp:positionH relativeFrom="column">
                  <wp:posOffset>45720</wp:posOffset>
                </wp:positionH>
                <wp:positionV relativeFrom="paragraph">
                  <wp:posOffset>89535</wp:posOffset>
                </wp:positionV>
                <wp:extent cx="6079490" cy="635"/>
                <wp:effectExtent l="0" t="0" r="0" b="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6078960" cy="0"/>
                        </a:xfrm>
                        <a:prstGeom prst="line">
                          <a:avLst/>
                        </a:prstGeom>
                        <a:ln>
                          <a:solidFill>
                            <a:srgbClr val="000000"/>
                          </a:solidFill>
                        </a:ln>
                      </wps:spPr>
                      <wps:bodyPr/>
                    </wps:wsp>
                  </a:graphicData>
                </a:graphic>
              </wp:anchor>
            </w:drawing>
          </mc:Choice>
          <mc:Fallback>
            <w:pict>
              <v:line id="shape_0" from="3.6pt,7.05pt" to="482.2pt,7.05pt" stroked="t" style="position:absolute">
                <v:stroke color="black" joinstyle="round" endcap="flat"/>
                <v:fill on="false" o:detectmouseclick="t"/>
              </v:line>
            </w:pict>
          </mc:Fallback>
        </mc:AlternateContent>
      </w:r>
    </w:p>
    <w:p w:rsidR="009D214F" w:rsidRDefault="009E293D">
      <w:pPr>
        <w:tabs>
          <w:tab w:val="left" w:pos="142"/>
          <w:tab w:val="left" w:pos="426"/>
        </w:tabs>
        <w:spacing w:line="240" w:lineRule="auto"/>
        <w:jc w:val="both"/>
        <w:rPr>
          <w:sz w:val="20"/>
          <w:szCs w:val="20"/>
        </w:rPr>
      </w:pPr>
      <w:r>
        <w:rPr>
          <w:noProof/>
          <w:lang w:eastAsia="ru-RU"/>
        </w:rPr>
        <w:drawing>
          <wp:anchor distT="0" distB="0" distL="101600" distR="101600" simplePos="0" relativeHeight="24" behindDoc="0" locked="0" layoutInCell="1" allowOverlap="1">
            <wp:simplePos x="0" y="0"/>
            <wp:positionH relativeFrom="page">
              <wp:posOffset>989330</wp:posOffset>
            </wp:positionH>
            <wp:positionV relativeFrom="paragraph">
              <wp:posOffset>12700</wp:posOffset>
            </wp:positionV>
            <wp:extent cx="182880" cy="298450"/>
            <wp:effectExtent l="0" t="0" r="0" b="0"/>
            <wp:wrapSquare wrapText="largest"/>
            <wp:docPr id="16"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25"/>
                    <pic:cNvPicPr>
                      <a:picLocks noChangeAspect="1" noChangeArrowheads="1"/>
                    </pic:cNvPicPr>
                  </pic:nvPicPr>
                  <pic:blipFill>
                    <a:blip r:embed="rId11"/>
                    <a:stretch>
                      <a:fillRect/>
                    </a:stretch>
                  </pic:blipFill>
                  <pic:spPr bwMode="auto">
                    <a:xfrm>
                      <a:off x="0" y="0"/>
                      <a:ext cx="182880" cy="298450"/>
                    </a:xfrm>
                    <a:prstGeom prst="rect">
                      <a:avLst/>
                    </a:prstGeom>
                    <a:noFill/>
                    <a:ln w="9525">
                      <a:noFill/>
                      <a:miter lim="800000"/>
                      <a:headEnd/>
                      <a:tailEnd/>
                    </a:ln>
                  </pic:spPr>
                </pic:pic>
              </a:graphicData>
            </a:graphic>
          </wp:anchor>
        </w:drawing>
      </w:r>
      <w:r>
        <w:rPr>
          <w:rFonts w:ascii="Times New Roman" w:hAnsi="Times New Roman" w:cs="Times New Roman"/>
          <w:sz w:val="20"/>
          <w:szCs w:val="20"/>
        </w:rPr>
        <w:t xml:space="preserve">Перед тем, как перейти ко второй части стандарта - прекращённой деятельности - надо отработать возможные вариации условий, заданий и презентационных тонкостей. Всё-таки это важная для экзамена тема. Так что отработочных задач у вас много: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ab/>
        <w:t xml:space="preserve">□ задача «Петух»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ab/>
        <w:t xml:space="preserve">□ задача «Герасим»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ab/>
        <w:t>□ задача «Муму»</w:t>
      </w:r>
    </w:p>
    <w:p w:rsidR="009D214F" w:rsidRDefault="009E293D">
      <w:pPr>
        <w:tabs>
          <w:tab w:val="left" w:pos="142"/>
          <w:tab w:val="left" w:pos="426"/>
        </w:tabs>
        <w:spacing w:line="240" w:lineRule="auto"/>
        <w:jc w:val="both"/>
        <w:rPr>
          <w:rFonts w:ascii="Times New Roman" w:hAnsi="Times New Roman" w:cs="Times New Roman"/>
        </w:rPr>
      </w:pPr>
      <w:r>
        <w:rPr>
          <w:noProof/>
          <w:sz w:val="20"/>
          <w:szCs w:val="20"/>
          <w:lang w:eastAsia="ru-RU"/>
        </w:rPr>
        <mc:AlternateContent>
          <mc:Choice Requires="wps">
            <w:drawing>
              <wp:anchor distT="0" distB="0" distL="0" distR="0" simplePos="0" relativeHeight="26" behindDoc="0" locked="0" layoutInCell="1" allowOverlap="1">
                <wp:simplePos x="0" y="0"/>
                <wp:positionH relativeFrom="column">
                  <wp:posOffset>45720</wp:posOffset>
                </wp:positionH>
                <wp:positionV relativeFrom="paragraph">
                  <wp:posOffset>89535</wp:posOffset>
                </wp:positionV>
                <wp:extent cx="6079490" cy="635"/>
                <wp:effectExtent l="0" t="0" r="0" b="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6078960" cy="0"/>
                        </a:xfrm>
                        <a:prstGeom prst="line">
                          <a:avLst/>
                        </a:prstGeom>
                        <a:ln>
                          <a:solidFill>
                            <a:srgbClr val="000000"/>
                          </a:solidFill>
                        </a:ln>
                      </wps:spPr>
                      <wps:bodyPr/>
                    </wps:wsp>
                  </a:graphicData>
                </a:graphic>
              </wp:anchor>
            </w:drawing>
          </mc:Choice>
          <mc:Fallback>
            <w:pict>
              <v:line id="shape_0" from="3.6pt,7.05pt" to="482.2pt,7.05pt" stroked="t" style="position:absolute">
                <v:stroke color="black" joinstyle="round" endcap="flat"/>
                <v:fill on="false" o:detectmouseclick="t"/>
              </v:line>
            </w:pict>
          </mc:Fallback>
        </mc:AlternateContent>
      </w:r>
    </w:p>
    <w:p w:rsidR="009D214F" w:rsidRDefault="009D214F">
      <w:pPr>
        <w:tabs>
          <w:tab w:val="left" w:pos="142"/>
          <w:tab w:val="left" w:pos="426"/>
        </w:tabs>
        <w:spacing w:line="240" w:lineRule="auto"/>
        <w:jc w:val="both"/>
        <w:rPr>
          <w:rFonts w:ascii="Times New Roman" w:hAnsi="Times New Roman" w:cs="Times New Roman"/>
        </w:rPr>
      </w:pPr>
    </w:p>
    <w:p w:rsidR="009D214F" w:rsidRDefault="009E293D">
      <w:pPr>
        <w:tabs>
          <w:tab w:val="left" w:pos="142"/>
          <w:tab w:val="left" w:pos="426"/>
        </w:tabs>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2. Прекращённая </w:t>
      </w:r>
      <w:r w:rsidR="00620EFF">
        <w:rPr>
          <w:rFonts w:ascii="Times New Roman" w:hAnsi="Times New Roman" w:cs="Times New Roman"/>
          <w:b/>
          <w:bCs/>
          <w:sz w:val="28"/>
          <w:szCs w:val="28"/>
        </w:rPr>
        <w:t>деятельность</w:t>
      </w:r>
    </w:p>
    <w:p w:rsidR="00620EFF" w:rsidRDefault="00620EFF">
      <w:pPr>
        <w:tabs>
          <w:tab w:val="left" w:pos="142"/>
          <w:tab w:val="left" w:pos="426"/>
        </w:tabs>
        <w:spacing w:line="240" w:lineRule="auto"/>
        <w:jc w:val="both"/>
        <w:rPr>
          <w:b/>
          <w:bCs/>
          <w:sz w:val="28"/>
          <w:szCs w:val="28"/>
        </w:rPr>
      </w:pP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Эта часть стандарта исключительно презентационная. Её главный фокус состоит в том, что при прекращении деятельности компании в каком-либо направлении, результаты прекращённой деятельности должны быть презентованы отдельно от результатов продолжающейся деятельности. Делается это для того, чтобы пользователи отчётности видели, какие финансовые </w:t>
      </w:r>
      <w:r w:rsidR="00620EFF">
        <w:rPr>
          <w:rFonts w:ascii="Times New Roman" w:hAnsi="Times New Roman" w:cs="Times New Roman"/>
          <w:sz w:val="20"/>
          <w:szCs w:val="20"/>
        </w:rPr>
        <w:t>результаты</w:t>
      </w:r>
      <w:r>
        <w:rPr>
          <w:rFonts w:ascii="Times New Roman" w:hAnsi="Times New Roman" w:cs="Times New Roman"/>
          <w:sz w:val="20"/>
          <w:szCs w:val="20"/>
        </w:rPr>
        <w:t xml:space="preserve"> и денежные потоки не будут повторяться в последующих периодах.</w:t>
      </w: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E293D">
      <w:pPr>
        <w:tabs>
          <w:tab w:val="left" w:pos="142"/>
          <w:tab w:val="left" w:pos="426"/>
        </w:tabs>
        <w:spacing w:line="240" w:lineRule="auto"/>
        <w:jc w:val="both"/>
        <w:rPr>
          <w:b/>
          <w:bCs/>
          <w:sz w:val="24"/>
          <w:szCs w:val="24"/>
        </w:rPr>
      </w:pPr>
      <w:r>
        <w:rPr>
          <w:rFonts w:ascii="Times New Roman" w:hAnsi="Times New Roman" w:cs="Times New Roman"/>
          <w:b/>
          <w:bCs/>
          <w:sz w:val="24"/>
          <w:szCs w:val="24"/>
        </w:rPr>
        <w:lastRenderedPageBreak/>
        <w:t>2.1 Определение прекращённой деятельности</w:t>
      </w:r>
    </w:p>
    <w:p w:rsidR="009D214F" w:rsidRDefault="00071375">
      <w:pPr>
        <w:tabs>
          <w:tab w:val="left" w:pos="142"/>
          <w:tab w:val="left" w:pos="426"/>
        </w:tabs>
        <w:spacing w:line="240" w:lineRule="auto"/>
        <w:jc w:val="both"/>
        <w:rPr>
          <w:sz w:val="20"/>
          <w:szCs w:val="20"/>
        </w:rPr>
      </w:pPr>
      <w:r>
        <w:rPr>
          <w:noProof/>
          <w:lang w:eastAsia="ru-RU"/>
        </w:rPr>
        <w:drawing>
          <wp:anchor distT="0" distB="0" distL="114300" distR="114300" simplePos="0" relativeHeight="251659264" behindDoc="0" locked="0" layoutInCell="1" allowOverlap="1" wp14:anchorId="3A6E8E6A" wp14:editId="3E5A54D2">
            <wp:simplePos x="0" y="0"/>
            <wp:positionH relativeFrom="column">
              <wp:posOffset>37465</wp:posOffset>
            </wp:positionH>
            <wp:positionV relativeFrom="paragraph">
              <wp:posOffset>33655</wp:posOffset>
            </wp:positionV>
            <wp:extent cx="213360" cy="328930"/>
            <wp:effectExtent l="0" t="0" r="0" b="0"/>
            <wp:wrapSquare wrapText="largest"/>
            <wp:docPr id="24"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7"/>
                    <pic:cNvPicPr>
                      <a:picLocks noChangeAspect="1" noChangeArrowheads="1"/>
                    </pic:cNvPicPr>
                  </pic:nvPicPr>
                  <pic:blipFill>
                    <a:blip r:embed="rId8"/>
                    <a:stretch>
                      <a:fillRect/>
                    </a:stretch>
                  </pic:blipFill>
                  <pic:spPr bwMode="auto">
                    <a:xfrm>
                      <a:off x="0" y="0"/>
                      <a:ext cx="213360" cy="328930"/>
                    </a:xfrm>
                    <a:prstGeom prst="rect">
                      <a:avLst/>
                    </a:prstGeom>
                    <a:noFill/>
                    <a:ln w="9525">
                      <a:noFill/>
                      <a:miter lim="800000"/>
                      <a:headEnd/>
                      <a:tailEnd/>
                    </a:ln>
                  </pic:spPr>
                </pic:pic>
              </a:graphicData>
            </a:graphic>
          </wp:anchor>
        </w:drawing>
      </w:r>
      <w:r w:rsidR="009E293D">
        <w:rPr>
          <w:rFonts w:ascii="Times New Roman" w:hAnsi="Times New Roman" w:cs="Times New Roman"/>
          <w:b/>
          <w:bCs/>
          <w:sz w:val="20"/>
          <w:szCs w:val="20"/>
        </w:rPr>
        <w:t>Прекращённая деятельность</w:t>
      </w:r>
      <w:r w:rsidR="009E293D">
        <w:rPr>
          <w:rFonts w:ascii="Times New Roman" w:hAnsi="Times New Roman" w:cs="Times New Roman"/>
          <w:sz w:val="20"/>
          <w:szCs w:val="20"/>
        </w:rPr>
        <w:t xml:space="preserve"> - это компонент компании, который либо уже выбыл, либо классифицирован, как предназначенный для продажи </w:t>
      </w:r>
      <w:r w:rsidR="009E293D">
        <w:rPr>
          <w:rFonts w:ascii="Times New Roman" w:hAnsi="Times New Roman" w:cs="Times New Roman"/>
          <w:b/>
          <w:bCs/>
          <w:sz w:val="20"/>
          <w:szCs w:val="20"/>
        </w:rPr>
        <w:t>и</w:t>
      </w:r>
      <w:r w:rsidR="009E293D">
        <w:rPr>
          <w:rFonts w:ascii="Times New Roman" w:hAnsi="Times New Roman" w:cs="Times New Roman"/>
          <w:sz w:val="20"/>
          <w:szCs w:val="20"/>
        </w:rPr>
        <w:t xml:space="preserve">: </w:t>
      </w:r>
    </w:p>
    <w:p w:rsidR="009D214F" w:rsidRDefault="009E293D">
      <w:pPr>
        <w:numPr>
          <w:ilvl w:val="0"/>
          <w:numId w:val="2"/>
        </w:numPr>
        <w:tabs>
          <w:tab w:val="left" w:pos="142"/>
          <w:tab w:val="left" w:pos="426"/>
        </w:tabs>
        <w:spacing w:line="240" w:lineRule="auto"/>
        <w:jc w:val="both"/>
        <w:rPr>
          <w:sz w:val="20"/>
          <w:szCs w:val="20"/>
        </w:rPr>
      </w:pPr>
      <w:r>
        <w:rPr>
          <w:rFonts w:ascii="Times New Roman" w:hAnsi="Times New Roman" w:cs="Times New Roman"/>
          <w:sz w:val="20"/>
          <w:szCs w:val="20"/>
        </w:rPr>
        <w:t xml:space="preserve">представляет собой отдельное значительное направление деятельности или географическое подразделение компании; </w:t>
      </w:r>
    </w:p>
    <w:p w:rsidR="00071375" w:rsidRDefault="009E293D" w:rsidP="00071375">
      <w:pPr>
        <w:numPr>
          <w:ilvl w:val="0"/>
          <w:numId w:val="2"/>
        </w:numPr>
        <w:tabs>
          <w:tab w:val="left" w:pos="142"/>
          <w:tab w:val="left" w:pos="426"/>
        </w:tabs>
        <w:spacing w:line="240" w:lineRule="auto"/>
        <w:jc w:val="both"/>
        <w:rPr>
          <w:sz w:val="20"/>
          <w:szCs w:val="20"/>
        </w:rPr>
      </w:pPr>
      <w:r>
        <w:rPr>
          <w:rFonts w:ascii="Times New Roman" w:hAnsi="Times New Roman" w:cs="Times New Roman"/>
          <w:sz w:val="20"/>
          <w:szCs w:val="20"/>
        </w:rPr>
        <w:t>является частью единого плана продажи.</w:t>
      </w:r>
    </w:p>
    <w:p w:rsidR="00071375" w:rsidRPr="00071375" w:rsidRDefault="00071375" w:rsidP="00071375">
      <w:pPr>
        <w:tabs>
          <w:tab w:val="left" w:pos="142"/>
          <w:tab w:val="left" w:pos="426"/>
        </w:tabs>
        <w:spacing w:line="240" w:lineRule="auto"/>
        <w:ind w:left="720"/>
        <w:jc w:val="both"/>
        <w:rPr>
          <w:sz w:val="20"/>
          <w:szCs w:val="20"/>
        </w:rPr>
      </w:pPr>
    </w:p>
    <w:p w:rsidR="009D214F" w:rsidRDefault="009E293D">
      <w:pPr>
        <w:tabs>
          <w:tab w:val="left" w:pos="142"/>
          <w:tab w:val="left" w:pos="426"/>
        </w:tabs>
        <w:spacing w:line="240" w:lineRule="auto"/>
        <w:jc w:val="both"/>
        <w:rPr>
          <w:b/>
          <w:bCs/>
          <w:sz w:val="24"/>
          <w:szCs w:val="24"/>
        </w:rPr>
      </w:pPr>
      <w:r>
        <w:rPr>
          <w:rFonts w:ascii="Times New Roman" w:hAnsi="Times New Roman" w:cs="Times New Roman"/>
          <w:b/>
          <w:bCs/>
          <w:sz w:val="24"/>
          <w:szCs w:val="24"/>
        </w:rPr>
        <w:t>2.2 Презентация прекращённой деятельности в отчётности</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В отчёте о прибылях и убытках и прочем совокупном доходе компания должна отдельно показать результаты продолжающейся и прекращённой деятельности.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Результаты прекращённой деятельности должны состоять как минимум из одной строки, содержащей сумму следующих финансовых результатов (см. шаблон отчёта о прибылях и убытках на стр. 19): </w:t>
      </w:r>
    </w:p>
    <w:p w:rsidR="009D214F" w:rsidRDefault="009E293D">
      <w:pPr>
        <w:numPr>
          <w:ilvl w:val="0"/>
          <w:numId w:val="3"/>
        </w:numPr>
        <w:tabs>
          <w:tab w:val="left" w:pos="142"/>
          <w:tab w:val="left" w:pos="426"/>
        </w:tabs>
        <w:spacing w:line="240" w:lineRule="auto"/>
        <w:jc w:val="both"/>
        <w:rPr>
          <w:sz w:val="20"/>
          <w:szCs w:val="20"/>
        </w:rPr>
      </w:pPr>
      <w:r>
        <w:rPr>
          <w:rFonts w:ascii="Times New Roman" w:hAnsi="Times New Roman" w:cs="Times New Roman"/>
          <w:sz w:val="20"/>
          <w:szCs w:val="20"/>
        </w:rPr>
        <w:t xml:space="preserve">прибыли или убытка после налогообложения от прекращённой деятельности; </w:t>
      </w:r>
    </w:p>
    <w:p w:rsidR="009D214F" w:rsidRDefault="009E293D">
      <w:pPr>
        <w:numPr>
          <w:ilvl w:val="0"/>
          <w:numId w:val="3"/>
        </w:numPr>
        <w:tabs>
          <w:tab w:val="left" w:pos="142"/>
          <w:tab w:val="left" w:pos="426"/>
        </w:tabs>
        <w:spacing w:line="240" w:lineRule="auto"/>
        <w:jc w:val="both"/>
        <w:rPr>
          <w:sz w:val="20"/>
          <w:szCs w:val="20"/>
        </w:rPr>
      </w:pPr>
      <w:r>
        <w:rPr>
          <w:rFonts w:ascii="Times New Roman" w:hAnsi="Times New Roman" w:cs="Times New Roman"/>
          <w:sz w:val="20"/>
          <w:szCs w:val="20"/>
        </w:rPr>
        <w:t xml:space="preserve">чистого финансового результата операции по первоначальной классификации долгосрочных активов, предназначенных для продажи в соответствии </w:t>
      </w:r>
      <w:r>
        <w:rPr>
          <w:rFonts w:ascii="Times New Roman" w:hAnsi="Times New Roman" w:cs="Times New Roman"/>
          <w:sz w:val="20"/>
          <w:szCs w:val="20"/>
          <w:shd w:val="clear" w:color="auto" w:fill="CCFF66"/>
        </w:rPr>
        <w:t>с пунктом 1.3 на стр. 108;</w:t>
      </w:r>
      <w:r>
        <w:rPr>
          <w:rFonts w:ascii="Times New Roman" w:hAnsi="Times New Roman" w:cs="Times New Roman"/>
          <w:sz w:val="20"/>
          <w:szCs w:val="20"/>
        </w:rPr>
        <w:t xml:space="preserve"> </w:t>
      </w:r>
    </w:p>
    <w:p w:rsidR="009D214F" w:rsidRDefault="009E293D">
      <w:pPr>
        <w:numPr>
          <w:ilvl w:val="0"/>
          <w:numId w:val="3"/>
        </w:numPr>
        <w:tabs>
          <w:tab w:val="left" w:pos="142"/>
          <w:tab w:val="left" w:pos="426"/>
        </w:tabs>
        <w:spacing w:line="240" w:lineRule="auto"/>
        <w:jc w:val="both"/>
        <w:rPr>
          <w:sz w:val="20"/>
          <w:szCs w:val="20"/>
        </w:rPr>
      </w:pPr>
      <w:r>
        <w:rPr>
          <w:rFonts w:ascii="Times New Roman" w:hAnsi="Times New Roman" w:cs="Times New Roman"/>
          <w:sz w:val="20"/>
          <w:szCs w:val="20"/>
        </w:rPr>
        <w:t xml:space="preserve">прибыли или убытка от выбытия активов, входивших в состав прекращённой деятельности.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Кроме этого, компания должна предоставить анализ этой строки по следующим категориям: </w:t>
      </w:r>
    </w:p>
    <w:p w:rsidR="009D214F" w:rsidRDefault="009E293D">
      <w:pPr>
        <w:numPr>
          <w:ilvl w:val="0"/>
          <w:numId w:val="3"/>
        </w:numPr>
        <w:tabs>
          <w:tab w:val="left" w:pos="142"/>
          <w:tab w:val="left" w:pos="426"/>
        </w:tabs>
        <w:spacing w:line="240" w:lineRule="auto"/>
        <w:jc w:val="both"/>
        <w:rPr>
          <w:sz w:val="20"/>
          <w:szCs w:val="20"/>
        </w:rPr>
      </w:pPr>
      <w:r>
        <w:rPr>
          <w:rFonts w:ascii="Times New Roman" w:hAnsi="Times New Roman" w:cs="Times New Roman"/>
          <w:sz w:val="20"/>
          <w:szCs w:val="20"/>
        </w:rPr>
        <w:t>выручка, расходы и прибыль до налогообложения;</w:t>
      </w:r>
    </w:p>
    <w:p w:rsidR="009D214F" w:rsidRDefault="009E293D">
      <w:pPr>
        <w:numPr>
          <w:ilvl w:val="0"/>
          <w:numId w:val="3"/>
        </w:numPr>
        <w:tabs>
          <w:tab w:val="left" w:pos="142"/>
          <w:tab w:val="left" w:pos="426"/>
        </w:tabs>
        <w:spacing w:line="240" w:lineRule="auto"/>
        <w:jc w:val="both"/>
        <w:rPr>
          <w:sz w:val="20"/>
          <w:szCs w:val="20"/>
        </w:rPr>
      </w:pPr>
      <w:r>
        <w:rPr>
          <w:rFonts w:ascii="Times New Roman" w:hAnsi="Times New Roman" w:cs="Times New Roman"/>
          <w:sz w:val="20"/>
          <w:szCs w:val="20"/>
        </w:rPr>
        <w:t>расходы по налогу на прибыль по прекращённой деятельности;</w:t>
      </w:r>
    </w:p>
    <w:p w:rsidR="009D214F" w:rsidRDefault="009E293D">
      <w:pPr>
        <w:numPr>
          <w:ilvl w:val="0"/>
          <w:numId w:val="3"/>
        </w:numPr>
        <w:tabs>
          <w:tab w:val="left" w:pos="142"/>
          <w:tab w:val="left" w:pos="426"/>
        </w:tabs>
        <w:spacing w:line="240" w:lineRule="auto"/>
        <w:jc w:val="both"/>
        <w:rPr>
          <w:sz w:val="20"/>
          <w:szCs w:val="20"/>
        </w:rPr>
      </w:pPr>
      <w:r>
        <w:rPr>
          <w:rFonts w:ascii="Times New Roman" w:hAnsi="Times New Roman" w:cs="Times New Roman"/>
          <w:sz w:val="20"/>
          <w:szCs w:val="20"/>
        </w:rPr>
        <w:t xml:space="preserve">чистый финансовый результат операции по первоначальной классификации необоротных активов, предназначенных для продажи в соответствии </w:t>
      </w:r>
      <w:r>
        <w:rPr>
          <w:rFonts w:ascii="Times New Roman" w:hAnsi="Times New Roman" w:cs="Times New Roman"/>
          <w:sz w:val="20"/>
          <w:szCs w:val="20"/>
          <w:shd w:val="clear" w:color="auto" w:fill="CCFF66"/>
        </w:rPr>
        <w:t>с пунктом 1.3 на стр. 108</w:t>
      </w:r>
      <w:r>
        <w:rPr>
          <w:rFonts w:ascii="Times New Roman" w:hAnsi="Times New Roman" w:cs="Times New Roman"/>
          <w:sz w:val="20"/>
          <w:szCs w:val="20"/>
        </w:rPr>
        <w:t xml:space="preserve">; </w:t>
      </w:r>
    </w:p>
    <w:p w:rsidR="009D214F" w:rsidRDefault="009E293D">
      <w:pPr>
        <w:numPr>
          <w:ilvl w:val="0"/>
          <w:numId w:val="3"/>
        </w:numPr>
        <w:tabs>
          <w:tab w:val="left" w:pos="142"/>
          <w:tab w:val="left" w:pos="426"/>
        </w:tabs>
        <w:spacing w:line="240" w:lineRule="auto"/>
        <w:jc w:val="both"/>
        <w:rPr>
          <w:sz w:val="20"/>
          <w:szCs w:val="20"/>
        </w:rPr>
      </w:pPr>
      <w:r>
        <w:rPr>
          <w:rFonts w:ascii="Times New Roman" w:hAnsi="Times New Roman" w:cs="Times New Roman"/>
          <w:sz w:val="20"/>
          <w:szCs w:val="20"/>
        </w:rPr>
        <w:t xml:space="preserve">прибыль или убыток от выбытия активов, входивших в состав прекращённой деятельности.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В качестве альтернативы, этот анализ можно привести в примечаниях к отчётности. </w:t>
      </w:r>
    </w:p>
    <w:p w:rsidR="009D214F" w:rsidRDefault="009D214F">
      <w:pPr>
        <w:tabs>
          <w:tab w:val="left" w:pos="142"/>
          <w:tab w:val="left" w:pos="426"/>
        </w:tabs>
        <w:spacing w:line="240" w:lineRule="auto"/>
        <w:jc w:val="both"/>
        <w:rPr>
          <w:rFonts w:ascii="Times New Roman" w:hAnsi="Times New Roman" w:cs="Times New Roman"/>
        </w:rPr>
      </w:pPr>
    </w:p>
    <w:p w:rsidR="009D214F" w:rsidRDefault="009E293D">
      <w:pPr>
        <w:tabs>
          <w:tab w:val="left" w:pos="142"/>
          <w:tab w:val="left" w:pos="426"/>
        </w:tabs>
        <w:spacing w:line="240" w:lineRule="auto"/>
        <w:jc w:val="both"/>
        <w:rPr>
          <w:b/>
          <w:bCs/>
          <w:sz w:val="20"/>
          <w:szCs w:val="20"/>
        </w:rPr>
      </w:pPr>
      <w:r>
        <w:rPr>
          <w:rFonts w:ascii="Times New Roman" w:hAnsi="Times New Roman" w:cs="Times New Roman"/>
          <w:b/>
          <w:bCs/>
          <w:sz w:val="20"/>
          <w:szCs w:val="20"/>
        </w:rPr>
        <w:t>2.2.1</w:t>
      </w:r>
      <w:proofErr w:type="gramStart"/>
      <w:r w:rsidR="002069DF">
        <w:rPr>
          <w:rFonts w:ascii="Times New Roman" w:hAnsi="Times New Roman" w:cs="Times New Roman"/>
          <w:b/>
          <w:bCs/>
          <w:sz w:val="20"/>
          <w:szCs w:val="20"/>
        </w:rPr>
        <w:t xml:space="preserve"> К</w:t>
      </w:r>
      <w:proofErr w:type="gramEnd"/>
      <w:r>
        <w:rPr>
          <w:rFonts w:ascii="Times New Roman" w:hAnsi="Times New Roman" w:cs="Times New Roman"/>
          <w:b/>
          <w:bCs/>
          <w:sz w:val="20"/>
          <w:szCs w:val="20"/>
        </w:rPr>
        <w:t>огда компания отражает прекращённую деятельность в отчёте о прибылях и убытках</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Как следует из определения прекращённой деятельности, презентовать её результаты отдельно в текущем отчётном периоде нужно только в одном из двух случаев: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1. если прекращаемый компонент компании классифицирован как выбывающая группа или долгосрочные активы, предназначенные для продажи, то есть </w:t>
      </w:r>
      <w:r>
        <w:rPr>
          <w:rFonts w:ascii="Times New Roman" w:hAnsi="Times New Roman" w:cs="Times New Roman"/>
          <w:b/>
          <w:bCs/>
          <w:sz w:val="20"/>
          <w:szCs w:val="20"/>
        </w:rPr>
        <w:t>в текущем периоде выполняются все критерии</w:t>
      </w:r>
      <w:r>
        <w:rPr>
          <w:rFonts w:ascii="Times New Roman" w:hAnsi="Times New Roman" w:cs="Times New Roman"/>
          <w:sz w:val="20"/>
          <w:szCs w:val="20"/>
        </w:rPr>
        <w:t xml:space="preserve"> </w:t>
      </w:r>
      <w:r>
        <w:rPr>
          <w:rFonts w:ascii="Times New Roman" w:hAnsi="Times New Roman" w:cs="Times New Roman"/>
          <w:sz w:val="20"/>
          <w:szCs w:val="20"/>
          <w:shd w:val="clear" w:color="auto" w:fill="CCFF66"/>
        </w:rPr>
        <w:t>пункта 1.2.1 на стр. 107</w:t>
      </w:r>
      <w:r>
        <w:rPr>
          <w:rFonts w:ascii="Times New Roman" w:hAnsi="Times New Roman" w:cs="Times New Roman"/>
          <w:sz w:val="20"/>
          <w:szCs w:val="20"/>
        </w:rPr>
        <w:t>, или</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2. если прекращаемый компонент компании </w:t>
      </w:r>
      <w:r>
        <w:rPr>
          <w:rFonts w:ascii="Times New Roman" w:hAnsi="Times New Roman" w:cs="Times New Roman"/>
          <w:b/>
          <w:bCs/>
          <w:sz w:val="20"/>
          <w:szCs w:val="20"/>
        </w:rPr>
        <w:t xml:space="preserve">уже любым способом выбыл </w:t>
      </w:r>
      <w:r>
        <w:rPr>
          <w:rFonts w:ascii="Times New Roman" w:hAnsi="Times New Roman" w:cs="Times New Roman"/>
          <w:sz w:val="20"/>
          <w:szCs w:val="20"/>
        </w:rPr>
        <w:t>(то есть уже продан либо уже ликвидирован) в текущем периоде.</w:t>
      </w:r>
    </w:p>
    <w:p w:rsidR="009D214F" w:rsidRDefault="009D214F">
      <w:pPr>
        <w:tabs>
          <w:tab w:val="left" w:pos="142"/>
          <w:tab w:val="left" w:pos="426"/>
        </w:tabs>
        <w:spacing w:line="240" w:lineRule="auto"/>
        <w:jc w:val="both"/>
        <w:rPr>
          <w:rFonts w:ascii="Times New Roman" w:hAnsi="Times New Roman" w:cs="Times New Roman"/>
        </w:rPr>
      </w:pPr>
    </w:p>
    <w:p w:rsidR="009D214F" w:rsidRDefault="009E293D">
      <w:pPr>
        <w:tabs>
          <w:tab w:val="left" w:pos="142"/>
          <w:tab w:val="left" w:pos="426"/>
        </w:tabs>
        <w:spacing w:line="240" w:lineRule="auto"/>
        <w:jc w:val="both"/>
        <w:rPr>
          <w:sz w:val="20"/>
          <w:szCs w:val="20"/>
        </w:rPr>
      </w:pPr>
      <w:r>
        <w:rPr>
          <w:noProof/>
          <w:lang w:eastAsia="ru-RU"/>
        </w:rPr>
        <w:drawing>
          <wp:anchor distT="0" distB="0" distL="25400" distR="25400" simplePos="0" relativeHeight="27" behindDoc="0" locked="0" layoutInCell="1" allowOverlap="1">
            <wp:simplePos x="0" y="0"/>
            <wp:positionH relativeFrom="column">
              <wp:posOffset>127000</wp:posOffset>
            </wp:positionH>
            <wp:positionV relativeFrom="paragraph">
              <wp:posOffset>-57785</wp:posOffset>
            </wp:positionV>
            <wp:extent cx="328930" cy="323215"/>
            <wp:effectExtent l="0" t="0" r="0" b="0"/>
            <wp:wrapSquare wrapText="largest"/>
            <wp:docPr id="18" name="Изображение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26"/>
                    <pic:cNvPicPr>
                      <a:picLocks noChangeAspect="1" noChangeArrowheads="1"/>
                    </pic:cNvPicPr>
                  </pic:nvPicPr>
                  <pic:blipFill>
                    <a:blip r:embed="rId10"/>
                    <a:stretch>
                      <a:fillRect/>
                    </a:stretch>
                  </pic:blipFill>
                  <pic:spPr bwMode="auto">
                    <a:xfrm>
                      <a:off x="0" y="0"/>
                      <a:ext cx="328930" cy="323215"/>
                    </a:xfrm>
                    <a:prstGeom prst="rect">
                      <a:avLst/>
                    </a:prstGeom>
                    <a:noFill/>
                    <a:ln w="9525">
                      <a:noFill/>
                      <a:miter lim="800000"/>
                      <a:headEnd/>
                      <a:tailEnd/>
                    </a:ln>
                  </pic:spPr>
                </pic:pic>
              </a:graphicData>
            </a:graphic>
          </wp:anchor>
        </w:drawing>
      </w:r>
      <w:r>
        <w:rPr>
          <w:rFonts w:ascii="Times New Roman" w:hAnsi="Times New Roman" w:cs="Times New Roman"/>
          <w:sz w:val="20"/>
          <w:szCs w:val="20"/>
        </w:rPr>
        <w:t>Экзаменатор ДипИФР использует эту тонкость, часто давая задачи, где компонент компании собираются закрыть (то есть ликвидировать) в будущем отчётном пер</w:t>
      </w:r>
      <w:r w:rsidR="002069DF">
        <w:rPr>
          <w:rFonts w:ascii="Times New Roman" w:hAnsi="Times New Roman" w:cs="Times New Roman"/>
          <w:sz w:val="20"/>
          <w:szCs w:val="20"/>
        </w:rPr>
        <w:t>ио</w:t>
      </w:r>
      <w:r>
        <w:rPr>
          <w:rFonts w:ascii="Times New Roman" w:hAnsi="Times New Roman" w:cs="Times New Roman"/>
          <w:sz w:val="20"/>
          <w:szCs w:val="20"/>
        </w:rPr>
        <w:t xml:space="preserve">де. Раз компонент компании планируют ликвидировать, то он </w:t>
      </w:r>
      <w:r>
        <w:rPr>
          <w:rFonts w:ascii="Times New Roman" w:hAnsi="Times New Roman" w:cs="Times New Roman"/>
          <w:b/>
          <w:bCs/>
          <w:sz w:val="20"/>
          <w:szCs w:val="20"/>
        </w:rPr>
        <w:t>не отвечает</w:t>
      </w:r>
      <w:r>
        <w:rPr>
          <w:rFonts w:ascii="Times New Roman" w:hAnsi="Times New Roman" w:cs="Times New Roman"/>
          <w:sz w:val="20"/>
          <w:szCs w:val="20"/>
        </w:rPr>
        <w:t xml:space="preserve"> критериям предназначенного для продажи. Таким образом, до момента закрытия/ликвидации результаты деятельности этого компонента компании </w:t>
      </w:r>
      <w:r>
        <w:rPr>
          <w:rFonts w:ascii="Times New Roman" w:hAnsi="Times New Roman" w:cs="Times New Roman"/>
          <w:b/>
          <w:bCs/>
          <w:sz w:val="20"/>
          <w:szCs w:val="20"/>
        </w:rPr>
        <w:t>нельзя</w:t>
      </w:r>
      <w:r>
        <w:rPr>
          <w:rFonts w:ascii="Times New Roman" w:hAnsi="Times New Roman" w:cs="Times New Roman"/>
          <w:sz w:val="20"/>
          <w:szCs w:val="20"/>
        </w:rPr>
        <w:t xml:space="preserve"> презентовать отдельно.</w:t>
      </w:r>
    </w:p>
    <w:p w:rsidR="009D214F" w:rsidRDefault="009D214F">
      <w:pPr>
        <w:tabs>
          <w:tab w:val="left" w:pos="142"/>
          <w:tab w:val="left" w:pos="426"/>
        </w:tabs>
        <w:spacing w:line="240" w:lineRule="auto"/>
        <w:jc w:val="both"/>
        <w:rPr>
          <w:rFonts w:ascii="Times New Roman" w:hAnsi="Times New Roman" w:cs="Times New Roman"/>
        </w:rPr>
      </w:pPr>
    </w:p>
    <w:p w:rsidR="009D214F" w:rsidRDefault="009D214F">
      <w:pPr>
        <w:tabs>
          <w:tab w:val="left" w:pos="142"/>
          <w:tab w:val="left" w:pos="426"/>
        </w:tabs>
        <w:spacing w:line="240" w:lineRule="auto"/>
        <w:jc w:val="both"/>
        <w:rPr>
          <w:rFonts w:ascii="Times New Roman" w:hAnsi="Times New Roman" w:cs="Times New Roman"/>
        </w:rPr>
      </w:pPr>
    </w:p>
    <w:p w:rsidR="009D214F" w:rsidRDefault="009E293D">
      <w:pPr>
        <w:tabs>
          <w:tab w:val="left" w:pos="142"/>
          <w:tab w:val="left" w:pos="426"/>
        </w:tabs>
        <w:spacing w:line="240" w:lineRule="auto"/>
        <w:jc w:val="both"/>
        <w:rPr>
          <w:b/>
          <w:bCs/>
          <w:sz w:val="20"/>
          <w:szCs w:val="20"/>
        </w:rPr>
      </w:pPr>
      <w:r>
        <w:rPr>
          <w:rFonts w:ascii="Times New Roman" w:hAnsi="Times New Roman" w:cs="Times New Roman"/>
          <w:b/>
          <w:bCs/>
          <w:sz w:val="20"/>
          <w:szCs w:val="20"/>
        </w:rPr>
        <w:lastRenderedPageBreak/>
        <w:t>2.2.2 Обеспечение сравнимости информации о прекращённой деятельности</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 xml:space="preserve">Если в этом отчётном периоде компания впервые презентует результаты прекращённой деятельности отдельно, то и в сравнимой финансовой отчётности прошлых периодов она должна презентовать прошлые результаты прекращённой деятельности отдельно, даже если в прошлых периодах ещё не было повода отражать прекращённую сейчас деятельность отдельно. Исключительно для целей сравнения. </w:t>
      </w:r>
    </w:p>
    <w:p w:rsidR="009D214F" w:rsidRDefault="009E293D">
      <w:pPr>
        <w:tabs>
          <w:tab w:val="left" w:pos="142"/>
          <w:tab w:val="left" w:pos="426"/>
        </w:tabs>
        <w:spacing w:line="240" w:lineRule="auto"/>
        <w:jc w:val="both"/>
        <w:rPr>
          <w:rFonts w:ascii="Times New Roman" w:hAnsi="Times New Roman" w:cs="Times New Roman"/>
        </w:rPr>
      </w:pPr>
      <w:r>
        <w:rPr>
          <w:noProof/>
          <w:sz w:val="20"/>
          <w:szCs w:val="20"/>
          <w:lang w:eastAsia="ru-RU"/>
        </w:rPr>
        <mc:AlternateContent>
          <mc:Choice Requires="wps">
            <w:drawing>
              <wp:anchor distT="0" distB="0" distL="0" distR="0" simplePos="0" relativeHeight="29" behindDoc="0" locked="0" layoutInCell="1" allowOverlap="1">
                <wp:simplePos x="0" y="0"/>
                <wp:positionH relativeFrom="column">
                  <wp:posOffset>45720</wp:posOffset>
                </wp:positionH>
                <wp:positionV relativeFrom="paragraph">
                  <wp:posOffset>89535</wp:posOffset>
                </wp:positionV>
                <wp:extent cx="6079490" cy="635"/>
                <wp:effectExtent l="0" t="0" r="0" b="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6078960" cy="0"/>
                        </a:xfrm>
                        <a:prstGeom prst="line">
                          <a:avLst/>
                        </a:prstGeom>
                        <a:ln>
                          <a:solidFill>
                            <a:srgbClr val="000000"/>
                          </a:solidFill>
                        </a:ln>
                      </wps:spPr>
                      <wps:bodyPr/>
                    </wps:wsp>
                  </a:graphicData>
                </a:graphic>
              </wp:anchor>
            </w:drawing>
          </mc:Choice>
          <mc:Fallback>
            <w:pict>
              <v:line id="shape_0" from="3.6pt,7.05pt" to="482.2pt,7.05pt" stroked="t" style="position:absolute">
                <v:stroke color="black" joinstyle="round" endcap="flat"/>
                <v:fill on="false" o:detectmouseclick="t"/>
              </v:line>
            </w:pict>
          </mc:Fallback>
        </mc:AlternateContent>
      </w:r>
    </w:p>
    <w:p w:rsidR="009D214F" w:rsidRDefault="009E293D">
      <w:pPr>
        <w:tabs>
          <w:tab w:val="left" w:pos="142"/>
          <w:tab w:val="left" w:pos="426"/>
        </w:tabs>
        <w:spacing w:line="240" w:lineRule="auto"/>
        <w:jc w:val="both"/>
        <w:rPr>
          <w:sz w:val="20"/>
          <w:szCs w:val="20"/>
        </w:rPr>
      </w:pPr>
      <w:r>
        <w:rPr>
          <w:noProof/>
          <w:lang w:eastAsia="ru-RU"/>
        </w:rPr>
        <w:drawing>
          <wp:anchor distT="0" distB="0" distL="101600" distR="101600" simplePos="0" relativeHeight="28" behindDoc="0" locked="0" layoutInCell="1" allowOverlap="1">
            <wp:simplePos x="0" y="0"/>
            <wp:positionH relativeFrom="page">
              <wp:posOffset>989330</wp:posOffset>
            </wp:positionH>
            <wp:positionV relativeFrom="paragraph">
              <wp:posOffset>12700</wp:posOffset>
            </wp:positionV>
            <wp:extent cx="182880" cy="298450"/>
            <wp:effectExtent l="0" t="0" r="0" b="0"/>
            <wp:wrapSquare wrapText="largest"/>
            <wp:docPr id="20" name="Изображение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7"/>
                    <pic:cNvPicPr>
                      <a:picLocks noChangeAspect="1" noChangeArrowheads="1"/>
                    </pic:cNvPicPr>
                  </pic:nvPicPr>
                  <pic:blipFill>
                    <a:blip r:embed="rId11"/>
                    <a:stretch>
                      <a:fillRect/>
                    </a:stretch>
                  </pic:blipFill>
                  <pic:spPr bwMode="auto">
                    <a:xfrm>
                      <a:off x="0" y="0"/>
                      <a:ext cx="182880" cy="298450"/>
                    </a:xfrm>
                    <a:prstGeom prst="rect">
                      <a:avLst/>
                    </a:prstGeom>
                    <a:noFill/>
                    <a:ln w="9525">
                      <a:noFill/>
                      <a:miter lim="800000"/>
                      <a:headEnd/>
                      <a:tailEnd/>
                    </a:ln>
                  </pic:spPr>
                </pic:pic>
              </a:graphicData>
            </a:graphic>
          </wp:anchor>
        </w:drawing>
      </w:r>
      <w:r>
        <w:rPr>
          <w:rFonts w:ascii="Times New Roman" w:hAnsi="Times New Roman" w:cs="Times New Roman"/>
          <w:sz w:val="20"/>
          <w:szCs w:val="20"/>
        </w:rPr>
        <w:t>B рекомендуемых задачах мы объединим и прекращённую деятельность, и долгосрочные активы, предназначенные для продажи. Заодно посмотрим, как вместе с этим стандартом может тестироваться реорганизация (которую мы разбирали в теме «</w:t>
      </w:r>
      <w:r w:rsidR="00D24647">
        <w:rPr>
          <w:rFonts w:ascii="Times New Roman" w:hAnsi="Times New Roman" w:cs="Times New Roman"/>
          <w:sz w:val="20"/>
          <w:szCs w:val="20"/>
        </w:rPr>
        <w:t>резервы</w:t>
      </w:r>
      <w:r>
        <w:rPr>
          <w:rFonts w:ascii="Times New Roman" w:hAnsi="Times New Roman" w:cs="Times New Roman"/>
          <w:sz w:val="20"/>
          <w:szCs w:val="20"/>
        </w:rPr>
        <w:t>»): ведь необходимость продавать необоротные активы вполне может быть вызвана именно реорганизацией. В общем, к практике!</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 задача «Дама и Собачка»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 задача «Дядя Ваня»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 задача «Долгосрочные активы для продажи» </w:t>
      </w:r>
    </w:p>
    <w:p w:rsidR="009D214F" w:rsidRDefault="009E293D">
      <w:pPr>
        <w:tabs>
          <w:tab w:val="left" w:pos="142"/>
          <w:tab w:val="left" w:pos="426"/>
        </w:tabs>
        <w:spacing w:line="240" w:lineRule="auto"/>
        <w:jc w:val="both"/>
        <w:rPr>
          <w:sz w:val="20"/>
          <w:szCs w:val="20"/>
        </w:rPr>
      </w:pPr>
      <w:r>
        <w:rPr>
          <w:rFonts w:ascii="Times New Roman" w:hAnsi="Times New Roman" w:cs="Times New Roman"/>
          <w:sz w:val="20"/>
          <w:szCs w:val="20"/>
        </w:rPr>
        <w:tab/>
      </w:r>
      <w:r>
        <w:rPr>
          <w:rFonts w:ascii="Times New Roman" w:hAnsi="Times New Roman" w:cs="Times New Roman"/>
          <w:sz w:val="20"/>
          <w:szCs w:val="20"/>
        </w:rPr>
        <w:tab/>
        <w:t>□ задача «Вий»</w:t>
      </w:r>
    </w:p>
    <w:p w:rsidR="009D214F" w:rsidRDefault="009E293D">
      <w:pPr>
        <w:tabs>
          <w:tab w:val="left" w:pos="142"/>
          <w:tab w:val="left" w:pos="426"/>
        </w:tabs>
        <w:spacing w:line="240" w:lineRule="auto"/>
        <w:jc w:val="both"/>
        <w:rPr>
          <w:rFonts w:ascii="Times New Roman" w:hAnsi="Times New Roman" w:cs="Times New Roman"/>
          <w:b/>
          <w:bCs/>
          <w:sz w:val="28"/>
          <w:szCs w:val="28"/>
        </w:rPr>
      </w:pPr>
      <w:r>
        <w:rPr>
          <w:noProof/>
          <w:lang w:eastAsia="ru-RU"/>
        </w:rPr>
        <mc:AlternateContent>
          <mc:Choice Requires="wps">
            <w:drawing>
              <wp:anchor distT="0" distB="0" distL="0" distR="0" simplePos="0" relativeHeight="30" behindDoc="0" locked="0" layoutInCell="1" allowOverlap="1">
                <wp:simplePos x="0" y="0"/>
                <wp:positionH relativeFrom="column">
                  <wp:posOffset>45720</wp:posOffset>
                </wp:positionH>
                <wp:positionV relativeFrom="paragraph">
                  <wp:posOffset>89535</wp:posOffset>
                </wp:positionV>
                <wp:extent cx="6079490" cy="635"/>
                <wp:effectExtent l="0" t="0" r="0" b="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6078960" cy="0"/>
                        </a:xfrm>
                        <a:prstGeom prst="line">
                          <a:avLst/>
                        </a:prstGeom>
                        <a:ln>
                          <a:solidFill>
                            <a:srgbClr val="000000"/>
                          </a:solidFill>
                        </a:ln>
                      </wps:spPr>
                      <wps:bodyPr/>
                    </wps:wsp>
                  </a:graphicData>
                </a:graphic>
              </wp:anchor>
            </w:drawing>
          </mc:Choice>
          <mc:Fallback>
            <w:pict>
              <v:line id="shape_0" from="3.6pt,7.05pt" to="482.2pt,7.05pt" stroked="t" style="position:absolute">
                <v:stroke color="black" joinstyle="round" endcap="flat"/>
                <v:fill on="false" o:detectmouseclick="t"/>
              </v:line>
            </w:pict>
          </mc:Fallback>
        </mc:AlternateContent>
      </w: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bCs/>
          <w:sz w:val="28"/>
          <w:szCs w:val="28"/>
        </w:rPr>
      </w:pPr>
    </w:p>
    <w:p w:rsidR="009D214F" w:rsidRDefault="009D214F">
      <w:pPr>
        <w:tabs>
          <w:tab w:val="left" w:pos="142"/>
          <w:tab w:val="left" w:pos="426"/>
        </w:tabs>
        <w:spacing w:line="240" w:lineRule="auto"/>
        <w:jc w:val="both"/>
        <w:rPr>
          <w:rFonts w:ascii="Times New Roman" w:hAnsi="Times New Roman" w:cs="Times New Roman"/>
          <w:b/>
          <w:sz w:val="28"/>
          <w:szCs w:val="28"/>
        </w:rPr>
      </w:pPr>
    </w:p>
    <w:p w:rsidR="009E293D" w:rsidRDefault="009E293D"/>
    <w:sectPr w:rsidR="009E293D">
      <w:headerReference w:type="default" r:id="rId12"/>
      <w:headerReference w:type="first" r:id="rId13"/>
      <w:pgSz w:w="11906" w:h="16838"/>
      <w:pgMar w:top="850" w:right="850" w:bottom="850" w:left="1417" w:header="708" w:footer="0"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780" w:rsidRDefault="00BE6780">
      <w:pPr>
        <w:spacing w:after="0" w:line="240" w:lineRule="auto"/>
      </w:pPr>
      <w:r>
        <w:separator/>
      </w:r>
    </w:p>
  </w:endnote>
  <w:endnote w:type="continuationSeparator" w:id="0">
    <w:p w:rsidR="00BE6780" w:rsidRDefault="00BE6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CC"/>
    <w:family w:val="roman"/>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780" w:rsidRDefault="00BE6780">
      <w:pPr>
        <w:spacing w:after="0" w:line="240" w:lineRule="auto"/>
      </w:pPr>
      <w:r>
        <w:separator/>
      </w:r>
    </w:p>
  </w:footnote>
  <w:footnote w:type="continuationSeparator" w:id="0">
    <w:p w:rsidR="00BE6780" w:rsidRDefault="00BE67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14F" w:rsidRDefault="009E293D">
    <w:pPr>
      <w:tabs>
        <w:tab w:val="left" w:pos="142"/>
        <w:tab w:val="left" w:pos="426"/>
      </w:tabs>
      <w:spacing w:after="0" w:line="240" w:lineRule="auto"/>
      <w:jc w:val="right"/>
      <w:rPr>
        <w:sz w:val="20"/>
        <w:szCs w:val="20"/>
      </w:rPr>
    </w:pPr>
    <w:r>
      <w:rPr>
        <w:rFonts w:ascii="Times New Roman" w:hAnsi="Times New Roman" w:cs="Times New Roman"/>
        <w:sz w:val="20"/>
        <w:szCs w:val="20"/>
        <w:shd w:val="clear" w:color="auto" w:fill="FFFFFF"/>
      </w:rPr>
      <w:t>Глава 14 МСФО/</w:t>
    </w:r>
    <w:r>
      <w:rPr>
        <w:rFonts w:ascii="Times New Roman" w:hAnsi="Times New Roman" w:cs="Times New Roman"/>
        <w:sz w:val="20"/>
        <w:szCs w:val="20"/>
        <w:shd w:val="clear" w:color="auto" w:fill="FFFFFF"/>
        <w:lang w:val="en-US"/>
      </w:rPr>
      <w:t>IFRS</w:t>
    </w:r>
    <w:r>
      <w:rPr>
        <w:rFonts w:ascii="Times New Roman" w:hAnsi="Times New Roman" w:cs="Times New Roman"/>
        <w:sz w:val="20"/>
        <w:szCs w:val="20"/>
        <w:shd w:val="clear" w:color="auto" w:fill="FFFFFF"/>
      </w:rPr>
      <w:t xml:space="preserve"> 5: Долгосрочные активы, предназначенные </w:t>
    </w:r>
    <w:r>
      <w:rPr>
        <w:rFonts w:ascii="Times New Roman" w:hAnsi="Times New Roman" w:cs="Times New Roman"/>
        <w:sz w:val="20"/>
        <w:szCs w:val="20"/>
        <w:shd w:val="clear" w:color="auto" w:fill="FFFFFF"/>
        <w:lang w:val="en-US"/>
      </w:rPr>
      <w:t xml:space="preserve"> </w:t>
    </w:r>
    <w:r>
      <w:rPr>
        <w:rFonts w:ascii="Times New Roman" w:hAnsi="Times New Roman" w:cs="Times New Roman"/>
        <w:sz w:val="20"/>
        <w:szCs w:val="20"/>
        <w:shd w:val="clear" w:color="auto" w:fill="FFFFFF"/>
      </w:rPr>
      <w:t>для продажи, и прекращенная деятельность</w:t>
    </w:r>
  </w:p>
  <w:p w:rsidR="009D214F" w:rsidRDefault="009E293D">
    <w:pPr>
      <w:tabs>
        <w:tab w:val="left" w:pos="142"/>
        <w:tab w:val="left" w:pos="426"/>
      </w:tabs>
      <w:spacing w:after="0" w:line="240" w:lineRule="auto"/>
      <w:jc w:val="right"/>
      <w:rPr>
        <w:rFonts w:ascii="Times New Roman" w:hAnsi="Times New Roman" w:cs="Times New Roman"/>
        <w:shd w:val="clear" w:color="auto" w:fill="FFFFFF"/>
      </w:rPr>
    </w:pPr>
    <w:r>
      <w:rPr>
        <w:noProof/>
        <w:sz w:val="20"/>
        <w:szCs w:val="20"/>
        <w:lang w:eastAsia="ru-RU"/>
      </w:rPr>
      <mc:AlternateContent>
        <mc:Choice Requires="wps">
          <w:drawing>
            <wp:anchor distT="0" distB="0" distL="0" distR="0" simplePos="0" relativeHeight="12" behindDoc="0" locked="0" layoutInCell="1" allowOverlap="1">
              <wp:simplePos x="0" y="0"/>
              <wp:positionH relativeFrom="column">
                <wp:posOffset>35560</wp:posOffset>
              </wp:positionH>
              <wp:positionV relativeFrom="paragraph">
                <wp:posOffset>7620</wp:posOffset>
              </wp:positionV>
              <wp:extent cx="6105525" cy="635"/>
              <wp:effectExtent l="0" t="0" r="0" b="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6104880" cy="0"/>
                      </a:xfrm>
                      <a:prstGeom prst="line">
                        <a:avLst/>
                      </a:prstGeom>
                      <a:ln>
                        <a:solidFill>
                          <a:srgbClr val="000000"/>
                        </a:solidFill>
                      </a:ln>
                    </wps:spPr>
                    <wps:bodyPr/>
                  </wps:wsp>
                </a:graphicData>
              </a:graphic>
            </wp:anchor>
          </w:drawing>
        </mc:Choice>
        <mc:Fallback>
          <w:pict>
            <v:line id="shape_0" from="2.8pt,0.6pt" to="483.45pt,0.6pt" stroked="t" style="position:absolute">
              <v:stroke color="black" joinstyle="round" endcap="flat"/>
              <v:fill on="false" o:detectmouseclick="t"/>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14F" w:rsidRDefault="009E293D">
    <w:pPr>
      <w:pStyle w:val="af1"/>
      <w:jc w:val="center"/>
    </w:pPr>
    <w:r>
      <w:fldChar w:fldCharType="begin"/>
    </w:r>
    <w:r>
      <w:rPr>
        <w:noProof/>
        <w:lang w:eastAsia="ru-RU"/>
      </w:rPr>
      <mc:AlternateContent>
        <mc:Choice Requires="wps">
          <w:drawing>
            <wp:anchor distT="0" distB="0" distL="114300" distR="114300" simplePos="0" relativeHeight="5" behindDoc="1" locked="0" layoutInCell="1" allowOverlap="1">
              <wp:simplePos x="0" y="0"/>
              <wp:positionH relativeFrom="column">
                <wp:posOffset>-22225</wp:posOffset>
              </wp:positionH>
              <wp:positionV relativeFrom="paragraph">
                <wp:posOffset>143510</wp:posOffset>
              </wp:positionV>
              <wp:extent cx="6149340" cy="1270"/>
              <wp:effectExtent l="0" t="0" r="0" b="0"/>
              <wp:wrapNone/>
              <wp:docPr id="23" name="Прямая соединительная линия 23"/>
              <wp:cNvGraphicFramePr/>
              <a:graphic xmlns:a="http://schemas.openxmlformats.org/drawingml/2006/main">
                <a:graphicData uri="http://schemas.microsoft.com/office/word/2010/wordprocessingShape">
                  <wps:wsp>
                    <wps:cNvCnPr/>
                    <wps:spPr>
                      <a:xfrm flipH="1">
                        <a:off x="0" y="0"/>
                        <a:ext cx="6148800" cy="0"/>
                      </a:xfrm>
                      <a:prstGeom prst="line">
                        <a:avLst/>
                      </a:prstGeom>
                      <a:ln w="6480">
                        <a:solidFill>
                          <a:srgbClr val="000000"/>
                        </a:solidFill>
                        <a:round/>
                      </a:ln>
                    </wps:spPr>
                    <wps:bodyPr/>
                  </wps:wsp>
                </a:graphicData>
              </a:graphic>
            </wp:anchor>
          </w:drawing>
        </mc:Choice>
        <mc:Fallback>
          <w:pict>
            <v:line id="shape_0" from="-1.75pt,11.3pt" to="482.35pt,11.3pt" ID="Прямая соединительная линия 23" stroked="t" style="position:absolute;flip:x">
              <v:stroke color="black" weight="6480" joinstyle="round" endcap="flat"/>
              <v:fill on="false" o:detectmouseclick="t"/>
            </v:line>
          </w:pict>
        </mc:Fallback>
      </mc:AlternateContent>
    </w:r>
    <w:r>
      <w:instrText>PAGE</w:instrText>
    </w:r>
    <w:r>
      <w:fldChar w:fldCharType="separate"/>
    </w:r>
    <w:r>
      <w:t>1</w:t>
    </w:r>
    <w:r>
      <w:fldChar w:fldCharType="end"/>
    </w:r>
  </w:p>
  <w:p w:rsidR="009D214F" w:rsidRDefault="009D214F">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E4AC1"/>
    <w:multiLevelType w:val="multilevel"/>
    <w:tmpl w:val="1B1A2EB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14913321"/>
    <w:multiLevelType w:val="multilevel"/>
    <w:tmpl w:val="625CE87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24ED50C3"/>
    <w:multiLevelType w:val="multilevel"/>
    <w:tmpl w:val="02D4C95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3">
    <w:nsid w:val="293F14FC"/>
    <w:multiLevelType w:val="multilevel"/>
    <w:tmpl w:val="99B63F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5DF84924"/>
    <w:multiLevelType w:val="hybridMultilevel"/>
    <w:tmpl w:val="6520F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14F"/>
    <w:rsid w:val="00071375"/>
    <w:rsid w:val="002069DF"/>
    <w:rsid w:val="002A57D0"/>
    <w:rsid w:val="00620EFF"/>
    <w:rsid w:val="009D214F"/>
    <w:rsid w:val="009E293D"/>
    <w:rsid w:val="00BE6780"/>
    <w:rsid w:val="00BF0959"/>
    <w:rsid w:val="00CD1383"/>
    <w:rsid w:val="00D2464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Cs w:val="22"/>
        <w:lang w:val="uk-UA"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pPr>
    <w:rPr>
      <w:color w:val="00000A"/>
      <w:sz w:val="22"/>
      <w:lang w:val="ru-RU"/>
    </w:rPr>
  </w:style>
  <w:style w:type="paragraph" w:styleId="1">
    <w:name w:val="heading 1"/>
    <w:basedOn w:val="a"/>
    <w:pPr>
      <w:keepNext/>
      <w:keepLines/>
      <w:spacing w:before="480" w:after="0"/>
      <w:outlineLvl w:val="0"/>
    </w:pPr>
    <w:rPr>
      <w:rFonts w:ascii="Cambria" w:hAnsi="Cambria"/>
      <w:b/>
      <w:bCs/>
      <w:color w:val="365F91"/>
      <w:sz w:val="28"/>
      <w:szCs w:val="28"/>
    </w:r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Верхний колонтитул Знак"/>
    <w:basedOn w:val="a1"/>
    <w:qFormat/>
  </w:style>
  <w:style w:type="character" w:customStyle="1" w:styleId="a5">
    <w:name w:val="Нижний колонтитул Знак"/>
    <w:basedOn w:val="a1"/>
    <w:qFormat/>
  </w:style>
  <w:style w:type="character" w:customStyle="1" w:styleId="6">
    <w:name w:val="Заголовок №6_"/>
    <w:basedOn w:val="a1"/>
    <w:qFormat/>
    <w:rPr>
      <w:rFonts w:ascii="Impact" w:eastAsia="Impact" w:hAnsi="Impact" w:cs="Impact"/>
      <w:sz w:val="30"/>
      <w:szCs w:val="30"/>
      <w:shd w:val="clear" w:color="auto" w:fill="FFFFFF"/>
    </w:rPr>
  </w:style>
  <w:style w:type="character" w:customStyle="1" w:styleId="a6">
    <w:name w:val="Основной текст_"/>
    <w:basedOn w:val="a1"/>
    <w:qFormat/>
    <w:rPr>
      <w:rFonts w:ascii="Arial" w:eastAsia="Arial" w:hAnsi="Arial" w:cs="Arial"/>
      <w:w w:val="70"/>
      <w:shd w:val="clear" w:color="auto" w:fill="FFFFFF"/>
    </w:rPr>
  </w:style>
  <w:style w:type="character" w:customStyle="1" w:styleId="a7">
    <w:name w:val="Другое_"/>
    <w:basedOn w:val="a1"/>
    <w:qFormat/>
    <w:rPr>
      <w:rFonts w:ascii="Arial" w:eastAsia="Arial" w:hAnsi="Arial" w:cs="Arial"/>
      <w:w w:val="70"/>
      <w:shd w:val="clear" w:color="auto" w:fill="FFFFFF"/>
    </w:rPr>
  </w:style>
  <w:style w:type="character" w:customStyle="1" w:styleId="10">
    <w:name w:val="Заголовок 1 Знак"/>
    <w:basedOn w:val="a1"/>
    <w:qFormat/>
    <w:rPr>
      <w:rFonts w:ascii="Cambria" w:eastAsia="Calibri" w:hAnsi="Cambria" w:cs="Tahoma"/>
      <w:b/>
      <w:bCs/>
      <w:color w:val="365F91"/>
      <w:sz w:val="28"/>
      <w:szCs w:val="28"/>
    </w:rPr>
  </w:style>
  <w:style w:type="character" w:customStyle="1" w:styleId="a8">
    <w:name w:val="Текст выноски Знак"/>
    <w:basedOn w:val="a1"/>
    <w:qFormat/>
    <w:rPr>
      <w:rFonts w:ascii="Tahoma" w:hAnsi="Tahoma" w:cs="Tahoma"/>
      <w:sz w:val="16"/>
      <w:szCs w:val="16"/>
    </w:rPr>
  </w:style>
  <w:style w:type="character" w:customStyle="1" w:styleId="7">
    <w:name w:val="Заголовок №7_"/>
    <w:basedOn w:val="a1"/>
    <w:qFormat/>
    <w:rPr>
      <w:rFonts w:ascii="Franklin Gothic Medium Cond" w:eastAsia="Franklin Gothic Medium Cond" w:hAnsi="Franklin Gothic Medium Cond" w:cs="Franklin Gothic Medium Cond"/>
      <w:sz w:val="28"/>
      <w:szCs w:val="28"/>
      <w:shd w:val="clear" w:color="auto" w:fill="FFFFFF"/>
    </w:rPr>
  </w:style>
  <w:style w:type="character" w:customStyle="1" w:styleId="60">
    <w:name w:val="Основной текст (6)_"/>
    <w:basedOn w:val="a1"/>
    <w:qFormat/>
    <w:rPr>
      <w:rFonts w:ascii="Calibri" w:eastAsia="Calibri" w:hAnsi="Calibri" w:cs="Calibri"/>
      <w:shd w:val="clear" w:color="auto" w:fill="FFFFFF"/>
      <w:lang w:val="en-US" w:bidi="en-US"/>
    </w:rPr>
  </w:style>
  <w:style w:type="character" w:customStyle="1" w:styleId="5">
    <w:name w:val="Основной текст (5)_"/>
    <w:basedOn w:val="a1"/>
    <w:qFormat/>
    <w:rPr>
      <w:rFonts w:ascii="Arial" w:eastAsia="Arial" w:hAnsi="Arial" w:cs="Arial"/>
      <w:sz w:val="20"/>
      <w:szCs w:val="20"/>
      <w:shd w:val="clear" w:color="auto" w:fill="FFFFFF"/>
    </w:rPr>
  </w:style>
  <w:style w:type="character" w:customStyle="1" w:styleId="50">
    <w:name w:val="Заголовок №5_"/>
    <w:basedOn w:val="a1"/>
    <w:qFormat/>
    <w:rPr>
      <w:rFonts w:ascii="Arial" w:eastAsia="Arial" w:hAnsi="Arial" w:cs="Arial"/>
      <w:sz w:val="32"/>
      <w:szCs w:val="32"/>
      <w:shd w:val="clear" w:color="auto" w:fill="FFFFFF"/>
    </w:rPr>
  </w:style>
  <w:style w:type="character" w:customStyle="1" w:styleId="a9">
    <w:name w:val="Оглавление_"/>
    <w:basedOn w:val="a1"/>
    <w:qFormat/>
    <w:rPr>
      <w:rFonts w:ascii="Arial" w:eastAsia="Arial" w:hAnsi="Arial" w:cs="Arial"/>
      <w:w w:val="70"/>
      <w:shd w:val="clear" w:color="auto" w:fill="FFFFFF"/>
    </w:rPr>
  </w:style>
  <w:style w:type="character" w:customStyle="1" w:styleId="ListLabel1">
    <w:name w:val="ListLabel 1"/>
    <w:qFormat/>
    <w:rPr>
      <w:rFonts w:eastAsia="Franklin Gothic Medium Cond" w:cs="Franklin Gothic Medium Cond"/>
      <w:i w:val="0"/>
      <w:iCs w:val="0"/>
      <w:caps w:val="0"/>
      <w:smallCaps w:val="0"/>
      <w:color w:val="000000"/>
      <w:spacing w:val="0"/>
      <w:w w:val="100"/>
      <w:sz w:val="28"/>
      <w:szCs w:val="28"/>
      <w:shd w:val="clear" w:color="auto" w:fill="FFFFFF"/>
      <w:lang w:val="ru-RU" w:eastAsia="ru-RU" w:bidi="ru-RU"/>
    </w:rPr>
  </w:style>
  <w:style w:type="character" w:customStyle="1" w:styleId="ListLabel2">
    <w:name w:val="ListLabel 2"/>
    <w:qFormat/>
    <w:rPr>
      <w:rFonts w:eastAsia="Arial" w:cs="Arial"/>
      <w:i w:val="0"/>
      <w:iCs w:val="0"/>
      <w:caps w:val="0"/>
      <w:smallCaps w:val="0"/>
      <w:color w:val="000000"/>
      <w:spacing w:val="0"/>
      <w:w w:val="70"/>
      <w:sz w:val="24"/>
      <w:szCs w:val="24"/>
      <w:shd w:val="clear" w:color="auto" w:fill="FFFFFF"/>
      <w:lang w:val="ru-RU" w:eastAsia="ru-RU" w:bidi="ru-RU"/>
    </w:rPr>
  </w:style>
  <w:style w:type="character" w:customStyle="1" w:styleId="ListLabel3">
    <w:name w:val="ListLabel 3"/>
    <w:qFormat/>
    <w:rPr>
      <w:rFonts w:eastAsia="Arial" w:cs="Arial"/>
      <w:i w:val="0"/>
      <w:iCs w:val="0"/>
      <w:caps w:val="0"/>
      <w:smallCaps w:val="0"/>
      <w:color w:val="000000"/>
      <w:spacing w:val="0"/>
      <w:w w:val="100"/>
      <w:sz w:val="20"/>
      <w:szCs w:val="20"/>
      <w:shd w:val="clear" w:color="auto" w:fill="FFFFFF"/>
      <w:lang w:val="ru-RU" w:eastAsia="ru-RU" w:bidi="ru-RU"/>
    </w:rPr>
  </w:style>
  <w:style w:type="character" w:customStyle="1" w:styleId="ListLabel4">
    <w:name w:val="ListLabel 4"/>
    <w:qFormat/>
    <w:rPr>
      <w:b/>
    </w:rPr>
  </w:style>
  <w:style w:type="character" w:customStyle="1" w:styleId="ListLabel5">
    <w:name w:val="ListLabel 5"/>
    <w:qFormat/>
    <w:rPr>
      <w:rFonts w:cs="Times New Roman"/>
    </w:rPr>
  </w:style>
  <w:style w:type="character" w:customStyle="1" w:styleId="ListLabel6">
    <w:name w:val="ListLabel 6"/>
    <w:qFormat/>
    <w:rPr>
      <w:b/>
      <w:sz w:val="24"/>
    </w:rPr>
  </w:style>
  <w:style w:type="character" w:customStyle="1" w:styleId="ListLabel7">
    <w:name w:val="ListLabel 7"/>
    <w:qFormat/>
    <w:rPr>
      <w:rFonts w:eastAsia="Arial" w:cs="Arial"/>
      <w:i w:val="0"/>
      <w:iCs w:val="0"/>
      <w:caps w:val="0"/>
      <w:smallCaps w:val="0"/>
      <w:color w:val="000000"/>
      <w:spacing w:val="0"/>
      <w:w w:val="100"/>
      <w:sz w:val="18"/>
      <w:szCs w:val="18"/>
      <w:shd w:val="clear" w:color="auto" w:fill="FFFFFF"/>
      <w:lang w:val="ru-RU" w:eastAsia="ru-RU" w:bidi="ru-RU"/>
    </w:rPr>
  </w:style>
  <w:style w:type="character" w:customStyle="1" w:styleId="ListLabel8">
    <w:name w:val="ListLabel 8"/>
    <w:qFormat/>
    <w:rPr>
      <w:rFonts w:ascii="Times New Roman" w:hAnsi="Times New Roman"/>
      <w:b/>
      <w:sz w:val="20"/>
    </w:rPr>
  </w:style>
  <w:style w:type="character" w:customStyle="1" w:styleId="ListLabel9">
    <w:name w:val="ListLabel 9"/>
    <w:qFormat/>
    <w:rPr>
      <w:rFonts w:eastAsia="Franklin Gothic Medium Cond" w:cs="Franklin Gothic Medium Cond"/>
      <w:i w:val="0"/>
      <w:iCs w:val="0"/>
      <w:caps w:val="0"/>
      <w:smallCaps w:val="0"/>
      <w:color w:val="000000"/>
      <w:spacing w:val="0"/>
      <w:w w:val="100"/>
      <w:sz w:val="28"/>
      <w:szCs w:val="28"/>
      <w:shd w:val="clear" w:color="auto" w:fill="FFFFFF"/>
      <w:lang w:val="en-US" w:eastAsia="en-US" w:bidi="en-US"/>
    </w:rPr>
  </w:style>
  <w:style w:type="character" w:customStyle="1" w:styleId="aa">
    <w:name w:val="Символ нумерации"/>
    <w:qFormat/>
  </w:style>
  <w:style w:type="character" w:customStyle="1" w:styleId="ab">
    <w:name w:val="Маркеры списка"/>
    <w:qFormat/>
    <w:rPr>
      <w:rFonts w:ascii="OpenSymbol" w:eastAsia="OpenSymbol" w:hAnsi="OpenSymbol" w:cs="OpenSymbol"/>
    </w:rPr>
  </w:style>
  <w:style w:type="character" w:customStyle="1" w:styleId="ListLabel10">
    <w:name w:val="ListLabel 10"/>
    <w:qFormat/>
    <w:rPr>
      <w:rFonts w:ascii="Times New Roman" w:hAnsi="Times New Roman"/>
      <w:b/>
      <w:sz w:val="20"/>
    </w:rPr>
  </w:style>
  <w:style w:type="character" w:customStyle="1" w:styleId="ListLabel11">
    <w:name w:val="ListLabel 11"/>
    <w:qFormat/>
    <w:rPr>
      <w:b/>
    </w:rPr>
  </w:style>
  <w:style w:type="character" w:customStyle="1" w:styleId="ListLabel12">
    <w:name w:val="ListLabel 12"/>
    <w:qFormat/>
    <w:rPr>
      <w:rFonts w:ascii="Times New Roman" w:hAnsi="Times New Roman" w:cs="Symbol"/>
      <w:b w:val="0"/>
      <w:sz w:val="20"/>
    </w:rPr>
  </w:style>
  <w:style w:type="character" w:customStyle="1" w:styleId="ListLabel13">
    <w:name w:val="ListLabel 13"/>
    <w:qFormat/>
    <w:rPr>
      <w:rFonts w:cs="OpenSymbol"/>
    </w:rPr>
  </w:style>
  <w:style w:type="character" w:customStyle="1" w:styleId="ListLabel14">
    <w:name w:val="ListLabel 14"/>
    <w:qFormat/>
    <w:rPr>
      <w:rFonts w:ascii="Times New Roman" w:hAnsi="Times New Roman" w:cs="Wingdings"/>
      <w:b w:val="0"/>
      <w:sz w:val="20"/>
    </w:rPr>
  </w:style>
  <w:style w:type="character" w:customStyle="1" w:styleId="ListLabel15">
    <w:name w:val="ListLabel 15"/>
    <w:qFormat/>
    <w:rPr>
      <w:rFonts w:ascii="Times New Roman" w:hAnsi="Times New Roman"/>
      <w:b/>
      <w:sz w:val="20"/>
    </w:rPr>
  </w:style>
  <w:style w:type="character" w:customStyle="1" w:styleId="ListLabel16">
    <w:name w:val="ListLabel 16"/>
    <w:qFormat/>
    <w:rPr>
      <w:b/>
    </w:rPr>
  </w:style>
  <w:style w:type="character" w:customStyle="1" w:styleId="ListLabel17">
    <w:name w:val="ListLabel 17"/>
    <w:qFormat/>
    <w:rPr>
      <w:rFonts w:ascii="Times New Roman" w:hAnsi="Times New Roman" w:cs="Symbol"/>
      <w:b w:val="0"/>
      <w:sz w:val="20"/>
    </w:rPr>
  </w:style>
  <w:style w:type="character" w:customStyle="1" w:styleId="ListLabel18">
    <w:name w:val="ListLabel 18"/>
    <w:qFormat/>
    <w:rPr>
      <w:rFonts w:cs="OpenSymbol"/>
    </w:rPr>
  </w:style>
  <w:style w:type="character" w:customStyle="1" w:styleId="ListLabel19">
    <w:name w:val="ListLabel 19"/>
    <w:qFormat/>
    <w:rPr>
      <w:rFonts w:ascii="Times New Roman" w:hAnsi="Times New Roman" w:cs="Wingdings"/>
      <w:b w:val="0"/>
      <w:sz w:val="20"/>
    </w:rPr>
  </w:style>
  <w:style w:type="character" w:customStyle="1" w:styleId="ListLabel20">
    <w:name w:val="ListLabel 20"/>
    <w:qFormat/>
    <w:rPr>
      <w:rFonts w:ascii="Times New Roman" w:hAnsi="Times New Roman"/>
      <w:b/>
      <w:sz w:val="20"/>
    </w:rPr>
  </w:style>
  <w:style w:type="character" w:customStyle="1" w:styleId="ListLabel21">
    <w:name w:val="ListLabel 21"/>
    <w:qFormat/>
    <w:rPr>
      <w:b/>
    </w:rPr>
  </w:style>
  <w:style w:type="character" w:customStyle="1" w:styleId="ListLabel22">
    <w:name w:val="ListLabel 22"/>
    <w:qFormat/>
    <w:rPr>
      <w:rFonts w:ascii="Times New Roman" w:hAnsi="Times New Roman" w:cs="Symbol"/>
      <w:b w:val="0"/>
      <w:sz w:val="20"/>
    </w:rPr>
  </w:style>
  <w:style w:type="character" w:customStyle="1" w:styleId="ListLabel23">
    <w:name w:val="ListLabel 23"/>
    <w:qFormat/>
    <w:rPr>
      <w:rFonts w:cs="OpenSymbol"/>
    </w:rPr>
  </w:style>
  <w:style w:type="character" w:customStyle="1" w:styleId="ListLabel24">
    <w:name w:val="ListLabel 24"/>
    <w:qFormat/>
    <w:rPr>
      <w:rFonts w:ascii="Times New Roman" w:hAnsi="Times New Roman" w:cs="Wingdings"/>
      <w:b w:val="0"/>
      <w:sz w:val="20"/>
    </w:rPr>
  </w:style>
  <w:style w:type="character" w:customStyle="1" w:styleId="ListLabel25">
    <w:name w:val="ListLabel 25"/>
    <w:qFormat/>
    <w:rPr>
      <w:rFonts w:ascii="Times New Roman" w:hAnsi="Times New Roman" w:cs="Symbol"/>
      <w:b w:val="0"/>
      <w:sz w:val="20"/>
    </w:rPr>
  </w:style>
  <w:style w:type="character" w:customStyle="1" w:styleId="ListLabel26">
    <w:name w:val="ListLabel 26"/>
    <w:qFormat/>
    <w:rPr>
      <w:rFonts w:cs="OpenSymbol"/>
    </w:rPr>
  </w:style>
  <w:style w:type="character" w:customStyle="1" w:styleId="ListLabel27">
    <w:name w:val="ListLabel 27"/>
    <w:qFormat/>
    <w:rPr>
      <w:rFonts w:ascii="Times New Roman" w:hAnsi="Times New Roman" w:cs="Symbol"/>
      <w:b w:val="0"/>
      <w:sz w:val="20"/>
    </w:rPr>
  </w:style>
  <w:style w:type="character" w:customStyle="1" w:styleId="ListLabel28">
    <w:name w:val="ListLabel 28"/>
    <w:qFormat/>
    <w:rPr>
      <w:rFonts w:cs="OpenSymbol"/>
    </w:rPr>
  </w:style>
  <w:style w:type="paragraph" w:customStyle="1" w:styleId="a0">
    <w:name w:val="Заголовок"/>
    <w:basedOn w:val="a"/>
    <w:next w:val="ac"/>
    <w:qFormat/>
    <w:pPr>
      <w:keepNext/>
      <w:spacing w:before="240" w:after="120"/>
    </w:pPr>
    <w:rPr>
      <w:rFonts w:ascii="Liberation Sans" w:eastAsia="Microsoft YaHei" w:hAnsi="Liberation Sans" w:cs="Mangal"/>
      <w:sz w:val="28"/>
      <w:szCs w:val="28"/>
    </w:rPr>
  </w:style>
  <w:style w:type="paragraph" w:styleId="ac">
    <w:name w:val="Body Text"/>
    <w:basedOn w:val="a"/>
    <w:pPr>
      <w:spacing w:after="140" w:line="288" w:lineRule="auto"/>
    </w:pPr>
  </w:style>
  <w:style w:type="paragraph" w:styleId="ad">
    <w:name w:val="List"/>
    <w:basedOn w:val="ac"/>
    <w:rPr>
      <w:rFonts w:cs="Mangal"/>
    </w:rPr>
  </w:style>
  <w:style w:type="paragraph" w:styleId="ae">
    <w:name w:val="Title"/>
    <w:basedOn w:val="a"/>
    <w:pPr>
      <w:suppressLineNumbers/>
      <w:spacing w:before="120" w:after="120"/>
    </w:pPr>
    <w:rPr>
      <w:rFonts w:cs="Mangal"/>
      <w:i/>
      <w:iCs/>
      <w:sz w:val="24"/>
      <w:szCs w:val="24"/>
    </w:rPr>
  </w:style>
  <w:style w:type="paragraph" w:styleId="af">
    <w:name w:val="index heading"/>
    <w:basedOn w:val="a"/>
    <w:qFormat/>
    <w:pPr>
      <w:suppressLineNumbers/>
    </w:pPr>
    <w:rPr>
      <w:rFonts w:cs="Mangal"/>
    </w:rPr>
  </w:style>
  <w:style w:type="paragraph" w:customStyle="1" w:styleId="af0">
    <w:name w:val="Заглавие"/>
    <w:basedOn w:val="a0"/>
  </w:style>
  <w:style w:type="paragraph" w:styleId="af1">
    <w:name w:val="header"/>
    <w:basedOn w:val="a"/>
    <w:pPr>
      <w:tabs>
        <w:tab w:val="center" w:pos="4819"/>
        <w:tab w:val="right" w:pos="9639"/>
      </w:tabs>
      <w:spacing w:after="0" w:line="240" w:lineRule="auto"/>
    </w:pPr>
  </w:style>
  <w:style w:type="paragraph" w:styleId="af2">
    <w:name w:val="footer"/>
    <w:basedOn w:val="a"/>
    <w:pPr>
      <w:tabs>
        <w:tab w:val="center" w:pos="4819"/>
        <w:tab w:val="right" w:pos="9639"/>
      </w:tabs>
      <w:spacing w:after="0" w:line="240" w:lineRule="auto"/>
    </w:pPr>
  </w:style>
  <w:style w:type="paragraph" w:customStyle="1" w:styleId="61">
    <w:name w:val="Заголовок №6"/>
    <w:basedOn w:val="a"/>
    <w:qFormat/>
    <w:pPr>
      <w:widowControl w:val="0"/>
      <w:shd w:val="clear" w:color="auto" w:fill="FFFFFF"/>
      <w:spacing w:after="310" w:line="240" w:lineRule="auto"/>
      <w:ind w:left="1030"/>
      <w:outlineLvl w:val="5"/>
    </w:pPr>
    <w:rPr>
      <w:rFonts w:ascii="Impact" w:eastAsia="Impact" w:hAnsi="Impact" w:cs="Impact"/>
      <w:b/>
      <w:bCs/>
      <w:sz w:val="30"/>
      <w:szCs w:val="30"/>
    </w:rPr>
  </w:style>
  <w:style w:type="paragraph" w:customStyle="1" w:styleId="11">
    <w:name w:val="Основной текст1"/>
    <w:basedOn w:val="a"/>
    <w:qFormat/>
    <w:pPr>
      <w:widowControl w:val="0"/>
      <w:shd w:val="clear" w:color="auto" w:fill="FFFFFF"/>
      <w:spacing w:after="180" w:line="240" w:lineRule="auto"/>
      <w:ind w:firstLine="20"/>
    </w:pPr>
    <w:rPr>
      <w:rFonts w:ascii="Arial" w:eastAsia="Arial" w:hAnsi="Arial" w:cs="Arial"/>
      <w:w w:val="70"/>
    </w:rPr>
  </w:style>
  <w:style w:type="paragraph" w:customStyle="1" w:styleId="af3">
    <w:name w:val="Другое"/>
    <w:basedOn w:val="a"/>
    <w:qFormat/>
    <w:pPr>
      <w:widowControl w:val="0"/>
      <w:shd w:val="clear" w:color="auto" w:fill="FFFFFF"/>
      <w:spacing w:after="180" w:line="240" w:lineRule="auto"/>
      <w:ind w:firstLine="20"/>
    </w:pPr>
    <w:rPr>
      <w:rFonts w:ascii="Arial" w:eastAsia="Arial" w:hAnsi="Arial" w:cs="Arial"/>
      <w:w w:val="70"/>
    </w:rPr>
  </w:style>
  <w:style w:type="paragraph" w:styleId="af4">
    <w:name w:val="TOC Heading"/>
    <w:basedOn w:val="1"/>
    <w:rPr>
      <w:lang w:eastAsia="uk-UA"/>
    </w:rPr>
  </w:style>
  <w:style w:type="paragraph" w:styleId="20">
    <w:name w:val="toc 2"/>
    <w:basedOn w:val="a"/>
    <w:autoRedefine/>
    <w:pPr>
      <w:spacing w:after="100"/>
      <w:ind w:left="220"/>
    </w:pPr>
    <w:rPr>
      <w:lang w:eastAsia="uk-UA"/>
    </w:rPr>
  </w:style>
  <w:style w:type="paragraph" w:styleId="12">
    <w:name w:val="toc 1"/>
    <w:basedOn w:val="a"/>
    <w:autoRedefine/>
    <w:pPr>
      <w:spacing w:after="100"/>
    </w:pPr>
    <w:rPr>
      <w:lang w:eastAsia="uk-UA"/>
    </w:rPr>
  </w:style>
  <w:style w:type="paragraph" w:styleId="30">
    <w:name w:val="toc 3"/>
    <w:basedOn w:val="a"/>
    <w:autoRedefine/>
    <w:pPr>
      <w:spacing w:after="100"/>
      <w:ind w:left="440"/>
    </w:pPr>
    <w:rPr>
      <w:lang w:eastAsia="uk-UA"/>
    </w:rPr>
  </w:style>
  <w:style w:type="paragraph" w:styleId="af5">
    <w:name w:val="Balloon Text"/>
    <w:basedOn w:val="a"/>
    <w:qFormat/>
    <w:pPr>
      <w:spacing w:after="0" w:line="240" w:lineRule="auto"/>
    </w:pPr>
    <w:rPr>
      <w:rFonts w:ascii="Tahoma" w:hAnsi="Tahoma"/>
      <w:sz w:val="16"/>
      <w:szCs w:val="16"/>
    </w:rPr>
  </w:style>
  <w:style w:type="paragraph" w:styleId="af6">
    <w:name w:val="List Paragraph"/>
    <w:basedOn w:val="a"/>
    <w:qFormat/>
    <w:pPr>
      <w:ind w:left="720"/>
      <w:contextualSpacing/>
    </w:pPr>
  </w:style>
  <w:style w:type="paragraph" w:customStyle="1" w:styleId="70">
    <w:name w:val="Заголовок №7"/>
    <w:basedOn w:val="a"/>
    <w:qFormat/>
    <w:pPr>
      <w:widowControl w:val="0"/>
      <w:shd w:val="clear" w:color="auto" w:fill="FFFFFF"/>
      <w:spacing w:after="90" w:line="240" w:lineRule="auto"/>
      <w:ind w:left="1400"/>
      <w:outlineLvl w:val="6"/>
    </w:pPr>
    <w:rPr>
      <w:rFonts w:ascii="Franklin Gothic Medium Cond" w:eastAsia="Franklin Gothic Medium Cond" w:hAnsi="Franklin Gothic Medium Cond" w:cs="Franklin Gothic Medium Cond"/>
      <w:b/>
      <w:bCs/>
      <w:sz w:val="28"/>
      <w:szCs w:val="28"/>
      <w:lang w:val="uk-UA"/>
    </w:rPr>
  </w:style>
  <w:style w:type="paragraph" w:customStyle="1" w:styleId="62">
    <w:name w:val="Основной текст (6)"/>
    <w:basedOn w:val="a"/>
    <w:qFormat/>
    <w:pPr>
      <w:widowControl w:val="0"/>
      <w:shd w:val="clear" w:color="auto" w:fill="FFFFFF"/>
      <w:spacing w:after="190" w:line="240" w:lineRule="auto"/>
      <w:ind w:left="920"/>
    </w:pPr>
    <w:rPr>
      <w:rFonts w:cs="Calibri"/>
      <w:lang w:val="en-US" w:bidi="en-US"/>
    </w:rPr>
  </w:style>
  <w:style w:type="paragraph" w:customStyle="1" w:styleId="51">
    <w:name w:val="Основной текст (5)"/>
    <w:basedOn w:val="a"/>
    <w:qFormat/>
    <w:pPr>
      <w:widowControl w:val="0"/>
      <w:shd w:val="clear" w:color="auto" w:fill="FFFFFF"/>
      <w:spacing w:after="140" w:line="240" w:lineRule="auto"/>
      <w:ind w:left="1020"/>
    </w:pPr>
    <w:rPr>
      <w:rFonts w:ascii="Arial" w:eastAsia="Arial" w:hAnsi="Arial" w:cs="Arial"/>
      <w:b/>
      <w:bCs/>
      <w:sz w:val="20"/>
      <w:szCs w:val="20"/>
      <w:lang w:val="uk-UA"/>
    </w:rPr>
  </w:style>
  <w:style w:type="paragraph" w:customStyle="1" w:styleId="52">
    <w:name w:val="Заголовок №5"/>
    <w:basedOn w:val="a"/>
    <w:qFormat/>
    <w:pPr>
      <w:widowControl w:val="0"/>
      <w:shd w:val="clear" w:color="auto" w:fill="FFFFFF"/>
      <w:spacing w:after="20" w:line="204" w:lineRule="auto"/>
      <w:ind w:left="5710"/>
      <w:outlineLvl w:val="4"/>
    </w:pPr>
    <w:rPr>
      <w:rFonts w:ascii="Arial" w:eastAsia="Arial" w:hAnsi="Arial" w:cs="Arial"/>
      <w:sz w:val="32"/>
      <w:szCs w:val="32"/>
      <w:lang w:val="uk-UA"/>
    </w:rPr>
  </w:style>
  <w:style w:type="paragraph" w:customStyle="1" w:styleId="af7">
    <w:name w:val="Оглавление"/>
    <w:basedOn w:val="a"/>
    <w:qFormat/>
    <w:pPr>
      <w:widowControl w:val="0"/>
      <w:shd w:val="clear" w:color="auto" w:fill="FFFFFF"/>
      <w:spacing w:after="0" w:line="204" w:lineRule="auto"/>
      <w:ind w:left="480"/>
    </w:pPr>
    <w:rPr>
      <w:rFonts w:ascii="Arial" w:eastAsia="Arial" w:hAnsi="Arial" w:cs="Arial"/>
      <w:w w:val="70"/>
      <w:lang w:val="uk-UA"/>
    </w:rPr>
  </w:style>
  <w:style w:type="paragraph" w:customStyle="1" w:styleId="af8">
    <w:name w:val="Блочная цитата"/>
    <w:basedOn w:val="a"/>
    <w:qFormat/>
  </w:style>
  <w:style w:type="paragraph" w:styleId="af9">
    <w:name w:val="Subtitle"/>
    <w:basedOn w:val="a0"/>
  </w:style>
  <w:style w:type="paragraph" w:customStyle="1" w:styleId="afa">
    <w:name w:val="Содержимое таблицы"/>
    <w:basedOn w:val="a"/>
    <w:qFormat/>
  </w:style>
  <w:style w:type="paragraph" w:customStyle="1" w:styleId="afb">
    <w:name w:val="Заголовок таблицы"/>
    <w:basedOn w:val="afa"/>
    <w:qFormat/>
  </w:style>
  <w:style w:type="paragraph" w:customStyle="1" w:styleId="afc">
    <w:name w:val="Подпись к картинке"/>
    <w:basedOn w:val="a"/>
    <w:qFormat/>
    <w:pPr>
      <w:shd w:val="clear" w:color="auto" w:fill="FFFFFF"/>
    </w:pPr>
    <w:rPr>
      <w:rFonts w:ascii="Arial" w:eastAsia="Arial" w:hAnsi="Arial" w:cs="Arial"/>
      <w:w w:val="7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Cs w:val="22"/>
        <w:lang w:val="uk-UA"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pPr>
    <w:rPr>
      <w:color w:val="00000A"/>
      <w:sz w:val="22"/>
      <w:lang w:val="ru-RU"/>
    </w:rPr>
  </w:style>
  <w:style w:type="paragraph" w:styleId="1">
    <w:name w:val="heading 1"/>
    <w:basedOn w:val="a"/>
    <w:pPr>
      <w:keepNext/>
      <w:keepLines/>
      <w:spacing w:before="480" w:after="0"/>
      <w:outlineLvl w:val="0"/>
    </w:pPr>
    <w:rPr>
      <w:rFonts w:ascii="Cambria" w:hAnsi="Cambria"/>
      <w:b/>
      <w:bCs/>
      <w:color w:val="365F91"/>
      <w:sz w:val="28"/>
      <w:szCs w:val="28"/>
    </w:r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Верхний колонтитул Знак"/>
    <w:basedOn w:val="a1"/>
    <w:qFormat/>
  </w:style>
  <w:style w:type="character" w:customStyle="1" w:styleId="a5">
    <w:name w:val="Нижний колонтитул Знак"/>
    <w:basedOn w:val="a1"/>
    <w:qFormat/>
  </w:style>
  <w:style w:type="character" w:customStyle="1" w:styleId="6">
    <w:name w:val="Заголовок №6_"/>
    <w:basedOn w:val="a1"/>
    <w:qFormat/>
    <w:rPr>
      <w:rFonts w:ascii="Impact" w:eastAsia="Impact" w:hAnsi="Impact" w:cs="Impact"/>
      <w:sz w:val="30"/>
      <w:szCs w:val="30"/>
      <w:shd w:val="clear" w:color="auto" w:fill="FFFFFF"/>
    </w:rPr>
  </w:style>
  <w:style w:type="character" w:customStyle="1" w:styleId="a6">
    <w:name w:val="Основной текст_"/>
    <w:basedOn w:val="a1"/>
    <w:qFormat/>
    <w:rPr>
      <w:rFonts w:ascii="Arial" w:eastAsia="Arial" w:hAnsi="Arial" w:cs="Arial"/>
      <w:w w:val="70"/>
      <w:shd w:val="clear" w:color="auto" w:fill="FFFFFF"/>
    </w:rPr>
  </w:style>
  <w:style w:type="character" w:customStyle="1" w:styleId="a7">
    <w:name w:val="Другое_"/>
    <w:basedOn w:val="a1"/>
    <w:qFormat/>
    <w:rPr>
      <w:rFonts w:ascii="Arial" w:eastAsia="Arial" w:hAnsi="Arial" w:cs="Arial"/>
      <w:w w:val="70"/>
      <w:shd w:val="clear" w:color="auto" w:fill="FFFFFF"/>
    </w:rPr>
  </w:style>
  <w:style w:type="character" w:customStyle="1" w:styleId="10">
    <w:name w:val="Заголовок 1 Знак"/>
    <w:basedOn w:val="a1"/>
    <w:qFormat/>
    <w:rPr>
      <w:rFonts w:ascii="Cambria" w:eastAsia="Calibri" w:hAnsi="Cambria" w:cs="Tahoma"/>
      <w:b/>
      <w:bCs/>
      <w:color w:val="365F91"/>
      <w:sz w:val="28"/>
      <w:szCs w:val="28"/>
    </w:rPr>
  </w:style>
  <w:style w:type="character" w:customStyle="1" w:styleId="a8">
    <w:name w:val="Текст выноски Знак"/>
    <w:basedOn w:val="a1"/>
    <w:qFormat/>
    <w:rPr>
      <w:rFonts w:ascii="Tahoma" w:hAnsi="Tahoma" w:cs="Tahoma"/>
      <w:sz w:val="16"/>
      <w:szCs w:val="16"/>
    </w:rPr>
  </w:style>
  <w:style w:type="character" w:customStyle="1" w:styleId="7">
    <w:name w:val="Заголовок №7_"/>
    <w:basedOn w:val="a1"/>
    <w:qFormat/>
    <w:rPr>
      <w:rFonts w:ascii="Franklin Gothic Medium Cond" w:eastAsia="Franklin Gothic Medium Cond" w:hAnsi="Franklin Gothic Medium Cond" w:cs="Franklin Gothic Medium Cond"/>
      <w:sz w:val="28"/>
      <w:szCs w:val="28"/>
      <w:shd w:val="clear" w:color="auto" w:fill="FFFFFF"/>
    </w:rPr>
  </w:style>
  <w:style w:type="character" w:customStyle="1" w:styleId="60">
    <w:name w:val="Основной текст (6)_"/>
    <w:basedOn w:val="a1"/>
    <w:qFormat/>
    <w:rPr>
      <w:rFonts w:ascii="Calibri" w:eastAsia="Calibri" w:hAnsi="Calibri" w:cs="Calibri"/>
      <w:shd w:val="clear" w:color="auto" w:fill="FFFFFF"/>
      <w:lang w:val="en-US" w:bidi="en-US"/>
    </w:rPr>
  </w:style>
  <w:style w:type="character" w:customStyle="1" w:styleId="5">
    <w:name w:val="Основной текст (5)_"/>
    <w:basedOn w:val="a1"/>
    <w:qFormat/>
    <w:rPr>
      <w:rFonts w:ascii="Arial" w:eastAsia="Arial" w:hAnsi="Arial" w:cs="Arial"/>
      <w:sz w:val="20"/>
      <w:szCs w:val="20"/>
      <w:shd w:val="clear" w:color="auto" w:fill="FFFFFF"/>
    </w:rPr>
  </w:style>
  <w:style w:type="character" w:customStyle="1" w:styleId="50">
    <w:name w:val="Заголовок №5_"/>
    <w:basedOn w:val="a1"/>
    <w:qFormat/>
    <w:rPr>
      <w:rFonts w:ascii="Arial" w:eastAsia="Arial" w:hAnsi="Arial" w:cs="Arial"/>
      <w:sz w:val="32"/>
      <w:szCs w:val="32"/>
      <w:shd w:val="clear" w:color="auto" w:fill="FFFFFF"/>
    </w:rPr>
  </w:style>
  <w:style w:type="character" w:customStyle="1" w:styleId="a9">
    <w:name w:val="Оглавление_"/>
    <w:basedOn w:val="a1"/>
    <w:qFormat/>
    <w:rPr>
      <w:rFonts w:ascii="Arial" w:eastAsia="Arial" w:hAnsi="Arial" w:cs="Arial"/>
      <w:w w:val="70"/>
      <w:shd w:val="clear" w:color="auto" w:fill="FFFFFF"/>
    </w:rPr>
  </w:style>
  <w:style w:type="character" w:customStyle="1" w:styleId="ListLabel1">
    <w:name w:val="ListLabel 1"/>
    <w:qFormat/>
    <w:rPr>
      <w:rFonts w:eastAsia="Franklin Gothic Medium Cond" w:cs="Franklin Gothic Medium Cond"/>
      <w:i w:val="0"/>
      <w:iCs w:val="0"/>
      <w:caps w:val="0"/>
      <w:smallCaps w:val="0"/>
      <w:color w:val="000000"/>
      <w:spacing w:val="0"/>
      <w:w w:val="100"/>
      <w:sz w:val="28"/>
      <w:szCs w:val="28"/>
      <w:shd w:val="clear" w:color="auto" w:fill="FFFFFF"/>
      <w:lang w:val="ru-RU" w:eastAsia="ru-RU" w:bidi="ru-RU"/>
    </w:rPr>
  </w:style>
  <w:style w:type="character" w:customStyle="1" w:styleId="ListLabel2">
    <w:name w:val="ListLabel 2"/>
    <w:qFormat/>
    <w:rPr>
      <w:rFonts w:eastAsia="Arial" w:cs="Arial"/>
      <w:i w:val="0"/>
      <w:iCs w:val="0"/>
      <w:caps w:val="0"/>
      <w:smallCaps w:val="0"/>
      <w:color w:val="000000"/>
      <w:spacing w:val="0"/>
      <w:w w:val="70"/>
      <w:sz w:val="24"/>
      <w:szCs w:val="24"/>
      <w:shd w:val="clear" w:color="auto" w:fill="FFFFFF"/>
      <w:lang w:val="ru-RU" w:eastAsia="ru-RU" w:bidi="ru-RU"/>
    </w:rPr>
  </w:style>
  <w:style w:type="character" w:customStyle="1" w:styleId="ListLabel3">
    <w:name w:val="ListLabel 3"/>
    <w:qFormat/>
    <w:rPr>
      <w:rFonts w:eastAsia="Arial" w:cs="Arial"/>
      <w:i w:val="0"/>
      <w:iCs w:val="0"/>
      <w:caps w:val="0"/>
      <w:smallCaps w:val="0"/>
      <w:color w:val="000000"/>
      <w:spacing w:val="0"/>
      <w:w w:val="100"/>
      <w:sz w:val="20"/>
      <w:szCs w:val="20"/>
      <w:shd w:val="clear" w:color="auto" w:fill="FFFFFF"/>
      <w:lang w:val="ru-RU" w:eastAsia="ru-RU" w:bidi="ru-RU"/>
    </w:rPr>
  </w:style>
  <w:style w:type="character" w:customStyle="1" w:styleId="ListLabel4">
    <w:name w:val="ListLabel 4"/>
    <w:qFormat/>
    <w:rPr>
      <w:b/>
    </w:rPr>
  </w:style>
  <w:style w:type="character" w:customStyle="1" w:styleId="ListLabel5">
    <w:name w:val="ListLabel 5"/>
    <w:qFormat/>
    <w:rPr>
      <w:rFonts w:cs="Times New Roman"/>
    </w:rPr>
  </w:style>
  <w:style w:type="character" w:customStyle="1" w:styleId="ListLabel6">
    <w:name w:val="ListLabel 6"/>
    <w:qFormat/>
    <w:rPr>
      <w:b/>
      <w:sz w:val="24"/>
    </w:rPr>
  </w:style>
  <w:style w:type="character" w:customStyle="1" w:styleId="ListLabel7">
    <w:name w:val="ListLabel 7"/>
    <w:qFormat/>
    <w:rPr>
      <w:rFonts w:eastAsia="Arial" w:cs="Arial"/>
      <w:i w:val="0"/>
      <w:iCs w:val="0"/>
      <w:caps w:val="0"/>
      <w:smallCaps w:val="0"/>
      <w:color w:val="000000"/>
      <w:spacing w:val="0"/>
      <w:w w:val="100"/>
      <w:sz w:val="18"/>
      <w:szCs w:val="18"/>
      <w:shd w:val="clear" w:color="auto" w:fill="FFFFFF"/>
      <w:lang w:val="ru-RU" w:eastAsia="ru-RU" w:bidi="ru-RU"/>
    </w:rPr>
  </w:style>
  <w:style w:type="character" w:customStyle="1" w:styleId="ListLabel8">
    <w:name w:val="ListLabel 8"/>
    <w:qFormat/>
    <w:rPr>
      <w:rFonts w:ascii="Times New Roman" w:hAnsi="Times New Roman"/>
      <w:b/>
      <w:sz w:val="20"/>
    </w:rPr>
  </w:style>
  <w:style w:type="character" w:customStyle="1" w:styleId="ListLabel9">
    <w:name w:val="ListLabel 9"/>
    <w:qFormat/>
    <w:rPr>
      <w:rFonts w:eastAsia="Franklin Gothic Medium Cond" w:cs="Franklin Gothic Medium Cond"/>
      <w:i w:val="0"/>
      <w:iCs w:val="0"/>
      <w:caps w:val="0"/>
      <w:smallCaps w:val="0"/>
      <w:color w:val="000000"/>
      <w:spacing w:val="0"/>
      <w:w w:val="100"/>
      <w:sz w:val="28"/>
      <w:szCs w:val="28"/>
      <w:shd w:val="clear" w:color="auto" w:fill="FFFFFF"/>
      <w:lang w:val="en-US" w:eastAsia="en-US" w:bidi="en-US"/>
    </w:rPr>
  </w:style>
  <w:style w:type="character" w:customStyle="1" w:styleId="aa">
    <w:name w:val="Символ нумерации"/>
    <w:qFormat/>
  </w:style>
  <w:style w:type="character" w:customStyle="1" w:styleId="ab">
    <w:name w:val="Маркеры списка"/>
    <w:qFormat/>
    <w:rPr>
      <w:rFonts w:ascii="OpenSymbol" w:eastAsia="OpenSymbol" w:hAnsi="OpenSymbol" w:cs="OpenSymbol"/>
    </w:rPr>
  </w:style>
  <w:style w:type="character" w:customStyle="1" w:styleId="ListLabel10">
    <w:name w:val="ListLabel 10"/>
    <w:qFormat/>
    <w:rPr>
      <w:rFonts w:ascii="Times New Roman" w:hAnsi="Times New Roman"/>
      <w:b/>
      <w:sz w:val="20"/>
    </w:rPr>
  </w:style>
  <w:style w:type="character" w:customStyle="1" w:styleId="ListLabel11">
    <w:name w:val="ListLabel 11"/>
    <w:qFormat/>
    <w:rPr>
      <w:b/>
    </w:rPr>
  </w:style>
  <w:style w:type="character" w:customStyle="1" w:styleId="ListLabel12">
    <w:name w:val="ListLabel 12"/>
    <w:qFormat/>
    <w:rPr>
      <w:rFonts w:ascii="Times New Roman" w:hAnsi="Times New Roman" w:cs="Symbol"/>
      <w:b w:val="0"/>
      <w:sz w:val="20"/>
    </w:rPr>
  </w:style>
  <w:style w:type="character" w:customStyle="1" w:styleId="ListLabel13">
    <w:name w:val="ListLabel 13"/>
    <w:qFormat/>
    <w:rPr>
      <w:rFonts w:cs="OpenSymbol"/>
    </w:rPr>
  </w:style>
  <w:style w:type="character" w:customStyle="1" w:styleId="ListLabel14">
    <w:name w:val="ListLabel 14"/>
    <w:qFormat/>
    <w:rPr>
      <w:rFonts w:ascii="Times New Roman" w:hAnsi="Times New Roman" w:cs="Wingdings"/>
      <w:b w:val="0"/>
      <w:sz w:val="20"/>
    </w:rPr>
  </w:style>
  <w:style w:type="character" w:customStyle="1" w:styleId="ListLabel15">
    <w:name w:val="ListLabel 15"/>
    <w:qFormat/>
    <w:rPr>
      <w:rFonts w:ascii="Times New Roman" w:hAnsi="Times New Roman"/>
      <w:b/>
      <w:sz w:val="20"/>
    </w:rPr>
  </w:style>
  <w:style w:type="character" w:customStyle="1" w:styleId="ListLabel16">
    <w:name w:val="ListLabel 16"/>
    <w:qFormat/>
    <w:rPr>
      <w:b/>
    </w:rPr>
  </w:style>
  <w:style w:type="character" w:customStyle="1" w:styleId="ListLabel17">
    <w:name w:val="ListLabel 17"/>
    <w:qFormat/>
    <w:rPr>
      <w:rFonts w:ascii="Times New Roman" w:hAnsi="Times New Roman" w:cs="Symbol"/>
      <w:b w:val="0"/>
      <w:sz w:val="20"/>
    </w:rPr>
  </w:style>
  <w:style w:type="character" w:customStyle="1" w:styleId="ListLabel18">
    <w:name w:val="ListLabel 18"/>
    <w:qFormat/>
    <w:rPr>
      <w:rFonts w:cs="OpenSymbol"/>
    </w:rPr>
  </w:style>
  <w:style w:type="character" w:customStyle="1" w:styleId="ListLabel19">
    <w:name w:val="ListLabel 19"/>
    <w:qFormat/>
    <w:rPr>
      <w:rFonts w:ascii="Times New Roman" w:hAnsi="Times New Roman" w:cs="Wingdings"/>
      <w:b w:val="0"/>
      <w:sz w:val="20"/>
    </w:rPr>
  </w:style>
  <w:style w:type="character" w:customStyle="1" w:styleId="ListLabel20">
    <w:name w:val="ListLabel 20"/>
    <w:qFormat/>
    <w:rPr>
      <w:rFonts w:ascii="Times New Roman" w:hAnsi="Times New Roman"/>
      <w:b/>
      <w:sz w:val="20"/>
    </w:rPr>
  </w:style>
  <w:style w:type="character" w:customStyle="1" w:styleId="ListLabel21">
    <w:name w:val="ListLabel 21"/>
    <w:qFormat/>
    <w:rPr>
      <w:b/>
    </w:rPr>
  </w:style>
  <w:style w:type="character" w:customStyle="1" w:styleId="ListLabel22">
    <w:name w:val="ListLabel 22"/>
    <w:qFormat/>
    <w:rPr>
      <w:rFonts w:ascii="Times New Roman" w:hAnsi="Times New Roman" w:cs="Symbol"/>
      <w:b w:val="0"/>
      <w:sz w:val="20"/>
    </w:rPr>
  </w:style>
  <w:style w:type="character" w:customStyle="1" w:styleId="ListLabel23">
    <w:name w:val="ListLabel 23"/>
    <w:qFormat/>
    <w:rPr>
      <w:rFonts w:cs="OpenSymbol"/>
    </w:rPr>
  </w:style>
  <w:style w:type="character" w:customStyle="1" w:styleId="ListLabel24">
    <w:name w:val="ListLabel 24"/>
    <w:qFormat/>
    <w:rPr>
      <w:rFonts w:ascii="Times New Roman" w:hAnsi="Times New Roman" w:cs="Wingdings"/>
      <w:b w:val="0"/>
      <w:sz w:val="20"/>
    </w:rPr>
  </w:style>
  <w:style w:type="character" w:customStyle="1" w:styleId="ListLabel25">
    <w:name w:val="ListLabel 25"/>
    <w:qFormat/>
    <w:rPr>
      <w:rFonts w:ascii="Times New Roman" w:hAnsi="Times New Roman" w:cs="Symbol"/>
      <w:b w:val="0"/>
      <w:sz w:val="20"/>
    </w:rPr>
  </w:style>
  <w:style w:type="character" w:customStyle="1" w:styleId="ListLabel26">
    <w:name w:val="ListLabel 26"/>
    <w:qFormat/>
    <w:rPr>
      <w:rFonts w:cs="OpenSymbol"/>
    </w:rPr>
  </w:style>
  <w:style w:type="character" w:customStyle="1" w:styleId="ListLabel27">
    <w:name w:val="ListLabel 27"/>
    <w:qFormat/>
    <w:rPr>
      <w:rFonts w:ascii="Times New Roman" w:hAnsi="Times New Roman" w:cs="Symbol"/>
      <w:b w:val="0"/>
      <w:sz w:val="20"/>
    </w:rPr>
  </w:style>
  <w:style w:type="character" w:customStyle="1" w:styleId="ListLabel28">
    <w:name w:val="ListLabel 28"/>
    <w:qFormat/>
    <w:rPr>
      <w:rFonts w:cs="OpenSymbol"/>
    </w:rPr>
  </w:style>
  <w:style w:type="paragraph" w:customStyle="1" w:styleId="a0">
    <w:name w:val="Заголовок"/>
    <w:basedOn w:val="a"/>
    <w:next w:val="ac"/>
    <w:qFormat/>
    <w:pPr>
      <w:keepNext/>
      <w:spacing w:before="240" w:after="120"/>
    </w:pPr>
    <w:rPr>
      <w:rFonts w:ascii="Liberation Sans" w:eastAsia="Microsoft YaHei" w:hAnsi="Liberation Sans" w:cs="Mangal"/>
      <w:sz w:val="28"/>
      <w:szCs w:val="28"/>
    </w:rPr>
  </w:style>
  <w:style w:type="paragraph" w:styleId="ac">
    <w:name w:val="Body Text"/>
    <w:basedOn w:val="a"/>
    <w:pPr>
      <w:spacing w:after="140" w:line="288" w:lineRule="auto"/>
    </w:pPr>
  </w:style>
  <w:style w:type="paragraph" w:styleId="ad">
    <w:name w:val="List"/>
    <w:basedOn w:val="ac"/>
    <w:rPr>
      <w:rFonts w:cs="Mangal"/>
    </w:rPr>
  </w:style>
  <w:style w:type="paragraph" w:styleId="ae">
    <w:name w:val="Title"/>
    <w:basedOn w:val="a"/>
    <w:pPr>
      <w:suppressLineNumbers/>
      <w:spacing w:before="120" w:after="120"/>
    </w:pPr>
    <w:rPr>
      <w:rFonts w:cs="Mangal"/>
      <w:i/>
      <w:iCs/>
      <w:sz w:val="24"/>
      <w:szCs w:val="24"/>
    </w:rPr>
  </w:style>
  <w:style w:type="paragraph" w:styleId="af">
    <w:name w:val="index heading"/>
    <w:basedOn w:val="a"/>
    <w:qFormat/>
    <w:pPr>
      <w:suppressLineNumbers/>
    </w:pPr>
    <w:rPr>
      <w:rFonts w:cs="Mangal"/>
    </w:rPr>
  </w:style>
  <w:style w:type="paragraph" w:customStyle="1" w:styleId="af0">
    <w:name w:val="Заглавие"/>
    <w:basedOn w:val="a0"/>
  </w:style>
  <w:style w:type="paragraph" w:styleId="af1">
    <w:name w:val="header"/>
    <w:basedOn w:val="a"/>
    <w:pPr>
      <w:tabs>
        <w:tab w:val="center" w:pos="4819"/>
        <w:tab w:val="right" w:pos="9639"/>
      </w:tabs>
      <w:spacing w:after="0" w:line="240" w:lineRule="auto"/>
    </w:pPr>
  </w:style>
  <w:style w:type="paragraph" w:styleId="af2">
    <w:name w:val="footer"/>
    <w:basedOn w:val="a"/>
    <w:pPr>
      <w:tabs>
        <w:tab w:val="center" w:pos="4819"/>
        <w:tab w:val="right" w:pos="9639"/>
      </w:tabs>
      <w:spacing w:after="0" w:line="240" w:lineRule="auto"/>
    </w:pPr>
  </w:style>
  <w:style w:type="paragraph" w:customStyle="1" w:styleId="61">
    <w:name w:val="Заголовок №6"/>
    <w:basedOn w:val="a"/>
    <w:qFormat/>
    <w:pPr>
      <w:widowControl w:val="0"/>
      <w:shd w:val="clear" w:color="auto" w:fill="FFFFFF"/>
      <w:spacing w:after="310" w:line="240" w:lineRule="auto"/>
      <w:ind w:left="1030"/>
      <w:outlineLvl w:val="5"/>
    </w:pPr>
    <w:rPr>
      <w:rFonts w:ascii="Impact" w:eastAsia="Impact" w:hAnsi="Impact" w:cs="Impact"/>
      <w:b/>
      <w:bCs/>
      <w:sz w:val="30"/>
      <w:szCs w:val="30"/>
    </w:rPr>
  </w:style>
  <w:style w:type="paragraph" w:customStyle="1" w:styleId="11">
    <w:name w:val="Основной текст1"/>
    <w:basedOn w:val="a"/>
    <w:qFormat/>
    <w:pPr>
      <w:widowControl w:val="0"/>
      <w:shd w:val="clear" w:color="auto" w:fill="FFFFFF"/>
      <w:spacing w:after="180" w:line="240" w:lineRule="auto"/>
      <w:ind w:firstLine="20"/>
    </w:pPr>
    <w:rPr>
      <w:rFonts w:ascii="Arial" w:eastAsia="Arial" w:hAnsi="Arial" w:cs="Arial"/>
      <w:w w:val="70"/>
    </w:rPr>
  </w:style>
  <w:style w:type="paragraph" w:customStyle="1" w:styleId="af3">
    <w:name w:val="Другое"/>
    <w:basedOn w:val="a"/>
    <w:qFormat/>
    <w:pPr>
      <w:widowControl w:val="0"/>
      <w:shd w:val="clear" w:color="auto" w:fill="FFFFFF"/>
      <w:spacing w:after="180" w:line="240" w:lineRule="auto"/>
      <w:ind w:firstLine="20"/>
    </w:pPr>
    <w:rPr>
      <w:rFonts w:ascii="Arial" w:eastAsia="Arial" w:hAnsi="Arial" w:cs="Arial"/>
      <w:w w:val="70"/>
    </w:rPr>
  </w:style>
  <w:style w:type="paragraph" w:styleId="af4">
    <w:name w:val="TOC Heading"/>
    <w:basedOn w:val="1"/>
    <w:rPr>
      <w:lang w:eastAsia="uk-UA"/>
    </w:rPr>
  </w:style>
  <w:style w:type="paragraph" w:styleId="20">
    <w:name w:val="toc 2"/>
    <w:basedOn w:val="a"/>
    <w:autoRedefine/>
    <w:pPr>
      <w:spacing w:after="100"/>
      <w:ind w:left="220"/>
    </w:pPr>
    <w:rPr>
      <w:lang w:eastAsia="uk-UA"/>
    </w:rPr>
  </w:style>
  <w:style w:type="paragraph" w:styleId="12">
    <w:name w:val="toc 1"/>
    <w:basedOn w:val="a"/>
    <w:autoRedefine/>
    <w:pPr>
      <w:spacing w:after="100"/>
    </w:pPr>
    <w:rPr>
      <w:lang w:eastAsia="uk-UA"/>
    </w:rPr>
  </w:style>
  <w:style w:type="paragraph" w:styleId="30">
    <w:name w:val="toc 3"/>
    <w:basedOn w:val="a"/>
    <w:autoRedefine/>
    <w:pPr>
      <w:spacing w:after="100"/>
      <w:ind w:left="440"/>
    </w:pPr>
    <w:rPr>
      <w:lang w:eastAsia="uk-UA"/>
    </w:rPr>
  </w:style>
  <w:style w:type="paragraph" w:styleId="af5">
    <w:name w:val="Balloon Text"/>
    <w:basedOn w:val="a"/>
    <w:qFormat/>
    <w:pPr>
      <w:spacing w:after="0" w:line="240" w:lineRule="auto"/>
    </w:pPr>
    <w:rPr>
      <w:rFonts w:ascii="Tahoma" w:hAnsi="Tahoma"/>
      <w:sz w:val="16"/>
      <w:szCs w:val="16"/>
    </w:rPr>
  </w:style>
  <w:style w:type="paragraph" w:styleId="af6">
    <w:name w:val="List Paragraph"/>
    <w:basedOn w:val="a"/>
    <w:qFormat/>
    <w:pPr>
      <w:ind w:left="720"/>
      <w:contextualSpacing/>
    </w:pPr>
  </w:style>
  <w:style w:type="paragraph" w:customStyle="1" w:styleId="70">
    <w:name w:val="Заголовок №7"/>
    <w:basedOn w:val="a"/>
    <w:qFormat/>
    <w:pPr>
      <w:widowControl w:val="0"/>
      <w:shd w:val="clear" w:color="auto" w:fill="FFFFFF"/>
      <w:spacing w:after="90" w:line="240" w:lineRule="auto"/>
      <w:ind w:left="1400"/>
      <w:outlineLvl w:val="6"/>
    </w:pPr>
    <w:rPr>
      <w:rFonts w:ascii="Franklin Gothic Medium Cond" w:eastAsia="Franklin Gothic Medium Cond" w:hAnsi="Franklin Gothic Medium Cond" w:cs="Franklin Gothic Medium Cond"/>
      <w:b/>
      <w:bCs/>
      <w:sz w:val="28"/>
      <w:szCs w:val="28"/>
      <w:lang w:val="uk-UA"/>
    </w:rPr>
  </w:style>
  <w:style w:type="paragraph" w:customStyle="1" w:styleId="62">
    <w:name w:val="Основной текст (6)"/>
    <w:basedOn w:val="a"/>
    <w:qFormat/>
    <w:pPr>
      <w:widowControl w:val="0"/>
      <w:shd w:val="clear" w:color="auto" w:fill="FFFFFF"/>
      <w:spacing w:after="190" w:line="240" w:lineRule="auto"/>
      <w:ind w:left="920"/>
    </w:pPr>
    <w:rPr>
      <w:rFonts w:cs="Calibri"/>
      <w:lang w:val="en-US" w:bidi="en-US"/>
    </w:rPr>
  </w:style>
  <w:style w:type="paragraph" w:customStyle="1" w:styleId="51">
    <w:name w:val="Основной текст (5)"/>
    <w:basedOn w:val="a"/>
    <w:qFormat/>
    <w:pPr>
      <w:widowControl w:val="0"/>
      <w:shd w:val="clear" w:color="auto" w:fill="FFFFFF"/>
      <w:spacing w:after="140" w:line="240" w:lineRule="auto"/>
      <w:ind w:left="1020"/>
    </w:pPr>
    <w:rPr>
      <w:rFonts w:ascii="Arial" w:eastAsia="Arial" w:hAnsi="Arial" w:cs="Arial"/>
      <w:b/>
      <w:bCs/>
      <w:sz w:val="20"/>
      <w:szCs w:val="20"/>
      <w:lang w:val="uk-UA"/>
    </w:rPr>
  </w:style>
  <w:style w:type="paragraph" w:customStyle="1" w:styleId="52">
    <w:name w:val="Заголовок №5"/>
    <w:basedOn w:val="a"/>
    <w:qFormat/>
    <w:pPr>
      <w:widowControl w:val="0"/>
      <w:shd w:val="clear" w:color="auto" w:fill="FFFFFF"/>
      <w:spacing w:after="20" w:line="204" w:lineRule="auto"/>
      <w:ind w:left="5710"/>
      <w:outlineLvl w:val="4"/>
    </w:pPr>
    <w:rPr>
      <w:rFonts w:ascii="Arial" w:eastAsia="Arial" w:hAnsi="Arial" w:cs="Arial"/>
      <w:sz w:val="32"/>
      <w:szCs w:val="32"/>
      <w:lang w:val="uk-UA"/>
    </w:rPr>
  </w:style>
  <w:style w:type="paragraph" w:customStyle="1" w:styleId="af7">
    <w:name w:val="Оглавление"/>
    <w:basedOn w:val="a"/>
    <w:qFormat/>
    <w:pPr>
      <w:widowControl w:val="0"/>
      <w:shd w:val="clear" w:color="auto" w:fill="FFFFFF"/>
      <w:spacing w:after="0" w:line="204" w:lineRule="auto"/>
      <w:ind w:left="480"/>
    </w:pPr>
    <w:rPr>
      <w:rFonts w:ascii="Arial" w:eastAsia="Arial" w:hAnsi="Arial" w:cs="Arial"/>
      <w:w w:val="70"/>
      <w:lang w:val="uk-UA"/>
    </w:rPr>
  </w:style>
  <w:style w:type="paragraph" w:customStyle="1" w:styleId="af8">
    <w:name w:val="Блочная цитата"/>
    <w:basedOn w:val="a"/>
    <w:qFormat/>
  </w:style>
  <w:style w:type="paragraph" w:styleId="af9">
    <w:name w:val="Subtitle"/>
    <w:basedOn w:val="a0"/>
  </w:style>
  <w:style w:type="paragraph" w:customStyle="1" w:styleId="afa">
    <w:name w:val="Содержимое таблицы"/>
    <w:basedOn w:val="a"/>
    <w:qFormat/>
  </w:style>
  <w:style w:type="paragraph" w:customStyle="1" w:styleId="afb">
    <w:name w:val="Заголовок таблицы"/>
    <w:basedOn w:val="afa"/>
    <w:qFormat/>
  </w:style>
  <w:style w:type="paragraph" w:customStyle="1" w:styleId="afc">
    <w:name w:val="Подпись к картинке"/>
    <w:basedOn w:val="a"/>
    <w:qFormat/>
    <w:pPr>
      <w:shd w:val="clear" w:color="auto" w:fill="FFFFFF"/>
    </w:pPr>
    <w:rPr>
      <w:rFonts w:ascii="Arial" w:eastAsia="Arial" w:hAnsi="Arial" w:cs="Arial"/>
      <w:w w:val="7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2243</Words>
  <Characters>12788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Глава20 Финансовые инструменты</vt:lpstr>
    </vt:vector>
  </TitlesOfParts>
  <Company/>
  <LinksUpToDate>false</LinksUpToDate>
  <CharactersWithSpaces>15001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Глава20 Финансовые инструменты</dc:title>
  <dc:creator>Borman88</dc:creator>
  <cp:lastModifiedBy>Borman88</cp:lastModifiedBy>
  <cp:revision>3</cp:revision>
  <dcterms:created xsi:type="dcterms:W3CDTF">2019-08-19T19:29:00Z</dcterms:created>
  <dcterms:modified xsi:type="dcterms:W3CDTF">2019-08-22T11:12:00Z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