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0CA06" w14:textId="77777777" w:rsidR="00D94FFE" w:rsidRPr="00103CAC" w:rsidRDefault="00D94FFE" w:rsidP="007B3F4D">
      <w:pPr>
        <w:bidi/>
        <w:ind w:left="284"/>
        <w:jc w:val="right"/>
        <w:rPr>
          <w:rFonts w:ascii="Times New Roman" w:hAnsi="Times New Roman" w:cs="Times New Roman"/>
          <w:color w:val="363435"/>
          <w:sz w:val="24"/>
          <w:szCs w:val="24"/>
        </w:rPr>
      </w:pPr>
      <w:bookmarkStart w:id="0" w:name="_GoBack"/>
      <w:bookmarkEnd w:id="0"/>
      <w:r w:rsidRPr="00103CAC">
        <w:rPr>
          <w:rFonts w:ascii="Times New Roman" w:eastAsia="Times New Roman" w:hAnsi="Times New Roman" w:cs="Times New Roman"/>
          <w:color w:val="363435"/>
          <w:sz w:val="24"/>
          <w:szCs w:val="24"/>
        </w:rPr>
        <w:t>В 2009 году на рынке имел место ряд факторов, оказывающих негативное влияние на финансовое состояние  корпоративных заемщиков,  эмитентов  и финансовых институтов. Вследствие нестабильности на финансовых  рынках наблюдались колебания процентных ставок, валютные рынки характеризовались волатильностью валютных курсов. Кроме того, отмечалось повышение риска ликвидности, вызванное  как «кризисом доверия»  и связанного с этим оттока клиентских средств, так и с изменением стоимости фондирования.</w:t>
      </w:r>
    </w:p>
    <w:p w14:paraId="1FC30BD8" w14:textId="255EC72A" w:rsidR="00D94FFE" w:rsidRDefault="00D94FFE">
      <w:pPr>
        <w:rPr>
          <w:rFonts w:ascii="Times New Roman" w:hAnsi="Times New Roman" w:cs="Times New Roman"/>
          <w:b/>
          <w:bCs/>
          <w:color w:val="363435"/>
          <w:sz w:val="24"/>
          <w:szCs w:val="24"/>
          <w:rtl/>
        </w:rPr>
      </w:pPr>
      <w:r>
        <w:rPr>
          <w:rFonts w:ascii="Times New Roman" w:hAnsi="Times New Roman" w:cs="Times New Roman"/>
          <w:b/>
          <w:bCs/>
          <w:color w:val="363435"/>
          <w:sz w:val="24"/>
          <w:szCs w:val="24"/>
          <w:rtl/>
        </w:rPr>
        <w:t>Im Jahre 2009 gab es eine Anzahl der Faktoren auf dem Markt, die negativ die Finanzlage der Gesellschaftsanleiher, der Ausgeber und der finanziellen Institutionen beeinflussten.Wegen der Unstabilität auf den Finanzmärkten wurden die Zinssatzschwankungen beobachtet, die Geldmärkte wurden von der Volatilität des Währungskurses gekennzeichnet. Dazu wurde die Erhebung des Liquiditätsriskos, die von der "Glaubwürdigketskrise" und damit gebundeten Kundenfondsabwanderungen und von der Wertänderung der Bewirtschaftungen verursacht</w:t>
      </w:r>
    </w:p>
    <w:p w14:paraId="18AA11C5" w14:textId="77777777" w:rsidR="00D94FFE" w:rsidRDefault="00D94FFE"/>
    <w:p w14:paraId="4F78842A" w14:textId="77777777" w:rsidR="00D94FFE" w:rsidRDefault="00D94FFE">
      <w:r>
        <w:t>Перевод выполнен Ириной Хоменко</w:t>
      </w:r>
    </w:p>
    <w:sectPr w:rsidR="00D94F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FFE"/>
    <w:rsid w:val="001A6DEB"/>
    <w:rsid w:val="003B7662"/>
    <w:rsid w:val="00BF71DF"/>
    <w:rsid w:val="00CA2D6B"/>
    <w:rsid w:val="00D94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026C354"/>
  <w15:chartTrackingRefBased/>
  <w15:docId w15:val="{639B6359-C588-F945-9C7B-A680FEDD3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900</Characters>
  <Application>Microsoft Office Word</Application>
  <DocSecurity>0</DocSecurity>
  <Lines>7</Lines>
  <Paragraphs>2</Paragraphs>
  <ScaleCrop>false</ScaleCrop>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homiryna77@gmail.com</dc:creator>
  <cp:keywords/>
  <dc:description/>
  <cp:lastModifiedBy>homiryna77@gmail.com</cp:lastModifiedBy>
  <cp:revision>2</cp:revision>
  <dcterms:created xsi:type="dcterms:W3CDTF">2019-05-20T17:07:00Z</dcterms:created>
  <dcterms:modified xsi:type="dcterms:W3CDTF">2019-05-20T17:07:00Z</dcterms:modified>
</cp:coreProperties>
</file>