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1DB" w:rsidRDefault="00E3527B">
      <w:pPr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Модифіковані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циліндричні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циліндричні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уявного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аргумента)</w:t>
      </w:r>
    </w:p>
    <w:p w14:paraId="0000000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30B8679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на,</w:t>
      </w:r>
      <w:r w:rsidR="008F093A" w:rsidRPr="008F09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093A">
        <w:rPr>
          <w:rFonts w:ascii="Times New Roman" w:eastAsia="Times New Roman" w:hAnsi="Times New Roman" w:cs="Times New Roman"/>
          <w:sz w:val="24"/>
          <w:szCs w:val="24"/>
          <w:lang w:val="ru-RU"/>
        </w:rPr>
        <w:t>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F09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48570439" w:rsidR="006861DB" w:rsidRPr="00873C0F" w:rsidRDefault="00A45846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8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="008F093A" w:rsidRPr="00873C0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873C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ω</w:t>
      </w:r>
      <w:r w:rsidR="00873C0F" w:rsidRPr="00873C0F">
        <w:rPr>
          <w:rFonts w:ascii="Times New Roman" w:eastAsia="Times New Roman" w:hAnsi="Times New Roman" w:cs="Times New Roman"/>
          <w:i/>
          <w:sz w:val="24"/>
          <w:szCs w:val="24"/>
        </w:rPr>
        <w:t>``</w:t>
      </w:r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proofErr w:type="spellStart"/>
      <w:r w:rsidR="00E3527B" w:rsidRPr="00A458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="00873C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ω</w:t>
      </w:r>
      <w:proofErr w:type="spellEnd"/>
      <w:r w:rsidR="00873C0F" w:rsidRPr="00873C0F">
        <w:rPr>
          <w:rFonts w:ascii="Times New Roman" w:eastAsia="Times New Roman" w:hAnsi="Times New Roman" w:cs="Times New Roman"/>
          <w:i/>
          <w:sz w:val="24"/>
          <w:szCs w:val="24"/>
        </w:rPr>
        <w:t>`</w:t>
      </w:r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 - (</w:t>
      </w:r>
      <w:r w:rsidR="00E3527B" w:rsidRPr="00A4584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="008F093A" w:rsidRPr="00873C0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="00873C0F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3C0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ω</w:t>
      </w:r>
      <w:r w:rsidR="00E3527B" w:rsidRPr="00873C0F">
        <w:rPr>
          <w:rFonts w:ascii="Times New Roman" w:eastAsia="Times New Roman" w:hAnsi="Times New Roman" w:cs="Times New Roman"/>
          <w:i/>
          <w:sz w:val="24"/>
          <w:szCs w:val="24"/>
        </w:rPr>
        <w:t xml:space="preserve"> = 0,</w:t>
      </w:r>
      <w:r w:rsidR="00E3527B" w:rsidRPr="00873C0F">
        <w:rPr>
          <w:rFonts w:ascii="Times New Roman" w:eastAsia="Times New Roman" w:hAnsi="Times New Roman" w:cs="Times New Roman"/>
          <w:sz w:val="24"/>
          <w:szCs w:val="24"/>
        </w:rPr>
        <w:tab/>
      </w:r>
      <w:r w:rsidR="00E3527B" w:rsidRPr="00873C0F">
        <w:rPr>
          <w:rFonts w:ascii="Times New Roman" w:eastAsia="Times New Roman" w:hAnsi="Times New Roman" w:cs="Times New Roman"/>
          <w:sz w:val="24"/>
          <w:szCs w:val="24"/>
        </w:rPr>
        <w:tab/>
      </w:r>
      <w:r w:rsidR="00E3527B" w:rsidRPr="00873C0F">
        <w:rPr>
          <w:rFonts w:ascii="Times New Roman" w:eastAsia="Times New Roman" w:hAnsi="Times New Roman" w:cs="Times New Roman"/>
          <w:sz w:val="24"/>
          <w:szCs w:val="24"/>
        </w:rPr>
        <w:tab/>
      </w:r>
      <w:r w:rsidR="00E3527B" w:rsidRPr="00873C0F">
        <w:rPr>
          <w:rFonts w:ascii="Times New Roman" w:eastAsia="Times New Roman" w:hAnsi="Times New Roman" w:cs="Times New Roman"/>
          <w:sz w:val="24"/>
          <w:szCs w:val="24"/>
        </w:rPr>
        <w:tab/>
        <w:t>(57)</w:t>
      </w:r>
    </w:p>
    <w:p w14:paraId="0000000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диференціювання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Нетривіальні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циліндричних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модифікованими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циліндричними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функціями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6861DB" w:rsidRDefault="00E3527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них.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Вважаємо</w:t>
      </w:r>
      <w:proofErr w:type="spellEnd"/>
    </w:p>
    <w:p w14:paraId="00000008" w14:textId="77777777" w:rsidR="006861DB" w:rsidRDefault="00E3527B">
      <w:pPr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(z),                         (58)</w:t>
      </w:r>
    </w:p>
    <w:p w14:paraId="00000009" w14:textId="77777777" w:rsidR="006861DB" w:rsidRDefault="00E3527B">
      <w:pPr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z)  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(z).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(59)</w:t>
      </w:r>
    </w:p>
    <w:p w14:paraId="0000000A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 і H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(z)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Вони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часто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Бесселя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уявного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аргумента, а К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Макдональда.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8) і (5)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</w:p>
    <w:p w14:paraId="0000000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</w:p>
    <w:p w14:paraId="0000000C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однозначна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повсюди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), то 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 і 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поводить себе,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 і як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0.</w:t>
      </w:r>
    </w:p>
    <w:p w14:paraId="0000000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 (16), (17) та (19)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співвідношення</w:t>
      </w:r>
      <w:proofErr w:type="spellEnd"/>
    </w:p>
    <w:p w14:paraId="0000000E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zI</w:t>
      </w:r>
      <w:proofErr w:type="spellEnd"/>
      <w:proofErr w:type="gramEnd"/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 </w:t>
      </w:r>
      <w:proofErr w:type="spellStart"/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zI</w:t>
      </w:r>
      <w:proofErr w:type="spellEnd"/>
    </w:p>
    <w:p w14:paraId="0000000F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+ (z) I (z), I (z</w:t>
      </w:r>
      <w:proofErr w:type="gramStart"/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)I</w:t>
      </w:r>
      <w:proofErr w:type="gramEnd"/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(z)+ I (z)</w:t>
      </w:r>
    </w:p>
    <w:p w14:paraId="00000010" w14:textId="77777777" w:rsidR="006861DB" w:rsidRPr="008F093A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(42)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отримуємо</w:t>
      </w:r>
      <w:proofErr w:type="spellEnd"/>
    </w:p>
    <w:p w14:paraId="00000011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K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 -K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 K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0000012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-2K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proofErr w:type="gram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  K</w:t>
      </w:r>
      <w:proofErr w:type="gram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 + K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*) </w:t>
      </w:r>
    </w:p>
    <w:p w14:paraId="0000001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теорем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нулі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Бесселя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слідує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безкінечно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нулів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 = 0, і чисто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уявні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6861DB" w:rsidRDefault="00E3527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зустрічаються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циліндричні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5" w14:textId="77777777" w:rsidR="006861DB" w:rsidRPr="008F093A" w:rsidRDefault="00E3527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ber</w:t>
      </w:r>
      <w:proofErr w:type="spellEnd"/>
      <w:proofErr w:type="gram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ker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kei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F09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00000016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речови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аргумента x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чином:</w:t>
      </w:r>
    </w:p>
    <w:p w14:paraId="00000017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ber</w:t>
      </w:r>
      <w:proofErr w:type="spellEnd"/>
      <w:proofErr w:type="gram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(x) = Re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(x) = </w:t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(60)</w:t>
      </w:r>
    </w:p>
    <w:p w14:paraId="00000018" w14:textId="77777777" w:rsidR="006861DB" w:rsidRPr="008F093A" w:rsidRDefault="00E3527B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ker</w:t>
      </w:r>
      <w:proofErr w:type="spellEnd"/>
      <w:proofErr w:type="gram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(x) = Re</w:t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kei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(x) = </w:t>
      </w:r>
      <w:proofErr w:type="spellStart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8F0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(61)</w:t>
      </w:r>
    </w:p>
    <w:p w14:paraId="0000001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всю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z. </w:t>
      </w:r>
    </w:p>
    <w:p w14:paraId="0000001A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властивостям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ступеневими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рядами:</w:t>
      </w:r>
    </w:p>
    <w:p w14:paraId="0000001C" w14:textId="7DB91E0F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8F093A">
        <w:rPr>
          <w:rFonts w:ascii="Times New Roman" w:eastAsia="Times New Roman" w:hAnsi="Times New Roman" w:cs="Times New Roman"/>
          <w:sz w:val="24"/>
          <w:szCs w:val="24"/>
        </w:rPr>
        <w:t xml:space="preserve">) = (-1)       </w:t>
      </w:r>
      <w:proofErr w:type="gramStart"/>
      <w:r w:rsidR="008F093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8F093A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D" w14:textId="58470865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(-1)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09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F093A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E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 |y|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числа y.</w:t>
      </w:r>
    </w:p>
    <w:p w14:paraId="0000001F" w14:textId="77777777" w:rsidR="006861DB" w:rsidRDefault="00E3527B">
      <w:pPr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Асимптотичні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уявлення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циліндричних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0" w14:textId="3819F384" w:rsidR="006861DB" w:rsidRDefault="00E3527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Математично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прагненні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безкінечност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f(x)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прагненні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безкінечності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простішу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f(x)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 Часто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</w:p>
    <w:p w14:paraId="569FED36" w14:textId="3C3E73F8" w:rsidR="008F093A" w:rsidRPr="008F093A" w:rsidRDefault="008F093A" w:rsidP="008F093A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F093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  <m:t>c1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  <m:t>z</m:t>
            </m:r>
            <w:bookmarkStart w:id="0" w:name="_GoBack"/>
            <w:bookmarkEnd w:id="0"/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 +  + … +</w:t>
      </w:r>
    </w:p>
    <w:p w14:paraId="00000022" w14:textId="33208AEA" w:rsidR="006861DB" w:rsidRPr="00E3527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ч е 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я.</w:t>
      </w:r>
    </w:p>
    <w:p w14:paraId="00000023" w14:textId="537E7859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r w:rsidR="008F093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F093A" w:rsidRPr="008F093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0</w:t>
      </w:r>
      <w:r w:rsidR="008F093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proofErr w:type="gramStart"/>
      <w:r w:rsidR="008F093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+  +</w:t>
      </w:r>
      <w:proofErr w:type="gramEnd"/>
      <w:r w:rsidR="008F093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… +   + 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розкладанням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множині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утримуючій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послідовності,що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безкінечності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</w:p>
    <w:p w14:paraId="19D3AD07" w14:textId="094BA276" w:rsidR="005A6C19" w:rsidRPr="005A6C19" w:rsidRDefault="008F093A" w:rsidP="005A6C19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</w:t>
      </w:r>
      <w:r w:rsidRPr="005A6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F09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5A6C1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5A6C19" w:rsidRPr="005A6C1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="005A6C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5A6C1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A6C19" w:rsidRPr="005A6C19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="005A6C19">
        <w:rPr>
          <w:rFonts w:ascii="Times New Roman" w:eastAsia="Times New Roman" w:hAnsi="Times New Roman" w:cs="Times New Roman"/>
          <w:sz w:val="24"/>
          <w:szCs w:val="24"/>
          <w:lang w:val="en-US"/>
        </w:rPr>
        <w:t>) -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  <w:lang w:val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  <w:lang w:val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  <m:t>z</m:t>
            </m:r>
          </m:e>
        </m:d>
        <m:nary>
          <m:naryPr>
            <m:chr m:val="∑"/>
            <m:limLoc m:val="undOvr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ru-RU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val="ru-RU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val="ru-RU"/>
                  </w:rPr>
                  <m:t>k</m:t>
                </m:r>
              </m:sup>
            </m:sSup>
          </m:e>
        </m:nary>
      </m:oMath>
      <w:r w:rsidR="005A6C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= </w:t>
      </w:r>
      <w:proofErr w:type="gramStart"/>
      <w:r w:rsidR="005A6C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 </w:t>
      </w:r>
      <w:r w:rsidR="005A6C19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proofErr w:type="gramEnd"/>
      <w:r w:rsidR="005A6C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6C19">
        <w:rPr>
          <w:rFonts w:ascii="Times New Roman" w:eastAsia="Times New Roman" w:hAnsi="Times New Roman" w:cs="Times New Roman"/>
          <w:sz w:val="24"/>
          <w:szCs w:val="24"/>
          <w:lang w:val="en-US"/>
        </w:rPr>
        <w:t>n = 0, 1, 2, …</w:t>
      </w:r>
    </w:p>
    <w:p w14:paraId="00000025" w14:textId="2B91F794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2EF54C2B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</w:p>
    <w:p w14:paraId="0000002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Легко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A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Насправді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000002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те 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C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й</w:t>
      </w:r>
    </w:p>
    <w:p w14:paraId="0000002E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</w:p>
    <w:p w14:paraId="00000030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</w:t>
      </w:r>
    </w:p>
    <w:p w14:paraId="0000003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</w:t>
      </w:r>
      <w:r>
        <w:rPr>
          <w:rFonts w:ascii="Times New Roman" w:eastAsia="Times New Roman" w:hAnsi="Times New Roman" w:cs="Times New Roman"/>
          <w:sz w:val="24"/>
          <w:szCs w:val="24"/>
        </w:rPr>
        <w:t>птотичні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розкладення</w:t>
      </w:r>
      <w:proofErr w:type="spellEnd"/>
    </w:p>
    <w:p w14:paraId="00000034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рядами.</w:t>
      </w:r>
    </w:p>
    <w:p w14:paraId="0000003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6861DB" w:rsidRDefault="00E3527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інтеграла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</w:p>
    <w:p w14:paraId="00000038" w14:textId="77777777" w:rsidR="006861DB" w:rsidRDefault="006861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великих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 &gt;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0. Очевидно, </w:t>
      </w:r>
    </w:p>
    <w:p w14:paraId="0000003A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</w:p>
    <w:p w14:paraId="0000003C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інтегрування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отримаємо</w:t>
      </w:r>
      <w:proofErr w:type="spellEnd"/>
    </w:p>
    <w:p w14:paraId="0000003E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залишку</w:t>
      </w:r>
      <w:proofErr w:type="spellEnd"/>
    </w:p>
    <w:p w14:paraId="00000040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</w:p>
    <w:p w14:paraId="0000004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44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</w:t>
      </w:r>
    </w:p>
    <w:p w14:paraId="0000004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Відмітимо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ряд</w:t>
      </w:r>
    </w:p>
    <w:p w14:paraId="0000004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розходящимся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всюди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A" w14:textId="77777777" w:rsidR="006861DB" w:rsidRDefault="006861D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6861DB" w:rsidRDefault="00E3527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циліндричних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справедлива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теорема.</w:t>
      </w:r>
    </w:p>
    <w:p w14:paraId="0000004C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 Е О Р Е М А. Будь-яке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</w:p>
    <w:p w14:paraId="0000004D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виголяду</w:t>
      </w:r>
      <w:proofErr w:type="spellEnd"/>
    </w:p>
    <w:p w14:paraId="0000004F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кажучи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параметра .</w:t>
      </w:r>
    </w:p>
    <w:p w14:paraId="0000005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 О К А 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формулі</w:t>
      </w:r>
      <w:proofErr w:type="spellEnd"/>
    </w:p>
    <w:p w14:paraId="0000005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диференціальне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</w:p>
    <w:p w14:paraId="00000054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</w:p>
    <w:p w14:paraId="0000005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</w:t>
      </w:r>
      <w:proofErr w:type="spellEnd"/>
    </w:p>
    <w:p w14:paraId="0000005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 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A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Тому 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(67)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</w:p>
    <w:p w14:paraId="0000005C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 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E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(х &gt; 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близькими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(х)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задовольняла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(67)),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вираховувалася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(х)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</w:p>
    <w:p w14:paraId="00000060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вважаємо</w:t>
      </w:r>
      <w:proofErr w:type="spellEnd"/>
    </w:p>
    <w:p w14:paraId="0000006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</w:p>
    <w:p w14:paraId="00000064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підставляючи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</w:t>
      </w:r>
    </w:p>
    <w:p w14:paraId="0000006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співвідношень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(69) і (71)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А’,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отримаємо</w:t>
      </w:r>
      <w:proofErr w:type="spellEnd"/>
    </w:p>
    <w:p w14:paraId="0000006A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звідки</w:t>
      </w:r>
      <w:proofErr w:type="spellEnd"/>
    </w:p>
    <w:p w14:paraId="0000006C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фіксованому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 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 права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межу</w:t>
      </w:r>
    </w:p>
    <w:p w14:paraId="0000006E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</w:p>
    <w:p w14:paraId="00000070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</w:t>
      </w:r>
    </w:p>
    <w:p w14:paraId="0000007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тому</w:t>
      </w:r>
    </w:p>
    <w:p w14:paraId="00000074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співвідношень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(69) та (72)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знаходимо</w:t>
      </w:r>
      <w:proofErr w:type="spellEnd"/>
    </w:p>
    <w:p w14:paraId="0000007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7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Повторяючи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приходимо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</w:p>
    <w:p w14:paraId="0000007A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</w:t>
      </w:r>
    </w:p>
    <w:p w14:paraId="0000007C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7E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Тому</w:t>
      </w:r>
    </w:p>
    <w:p w14:paraId="00000080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</w:t>
      </w:r>
    </w:p>
    <w:p w14:paraId="00000082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 дозволив 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циліндричних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 Але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Очевидно,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справедливий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Бесселя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Неймана.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Ганкеля.</w:t>
      </w:r>
    </w:p>
    <w:p w14:paraId="00000084" w14:textId="77777777" w:rsidR="006861DB" w:rsidRDefault="00E3527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Звернімось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Ганкеля.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асимптотичне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 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фиксоване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</w:t>
      </w:r>
      <w:r>
        <w:rPr>
          <w:rFonts w:ascii="Times New Roman" w:eastAsia="Times New Roman" w:hAnsi="Times New Roman" w:cs="Times New Roman"/>
          <w:sz w:val="24"/>
          <w:szCs w:val="24"/>
        </w:rPr>
        <w:t>сло і .</w:t>
      </w:r>
    </w:p>
    <w:p w14:paraId="00000085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формулою (40)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</w:p>
    <w:p w14:paraId="00000086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</w:t>
      </w:r>
    </w:p>
    <w:p w14:paraId="00000088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6861DB" w:rsidRDefault="006861D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6861DB" w:rsidRDefault="00E352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контура, </w:t>
      </w:r>
    </w:p>
    <w:p w14:paraId="0000008B" w14:textId="77777777" w:rsidR="006861DB" w:rsidRDefault="006861DB"/>
    <w:sectPr w:rsidR="006861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87E"/>
    <w:multiLevelType w:val="multilevel"/>
    <w:tmpl w:val="92181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9C1DBB"/>
    <w:multiLevelType w:val="multilevel"/>
    <w:tmpl w:val="B1ACC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DB"/>
    <w:rsid w:val="005A6C19"/>
    <w:rsid w:val="006861DB"/>
    <w:rsid w:val="00873C0F"/>
    <w:rsid w:val="008F093A"/>
    <w:rsid w:val="00A45846"/>
    <w:rsid w:val="00E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36"/>
  <w15:docId w15:val="{5C5DD6D2-7271-487F-8631-9B3C22B5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5A6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 Havrylenko</cp:lastModifiedBy>
  <cp:revision>3</cp:revision>
  <dcterms:created xsi:type="dcterms:W3CDTF">2020-12-13T04:29:00Z</dcterms:created>
  <dcterms:modified xsi:type="dcterms:W3CDTF">2020-12-13T06:00:00Z</dcterms:modified>
</cp:coreProperties>
</file>