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4814"/>
        <w:gridCol w:w="4815"/>
      </w:tblGrid>
      <w:tr w:rsidR="002836D0" w14:paraId="54B84830" w14:textId="77777777" w:rsidTr="002836D0">
        <w:tc>
          <w:tcPr>
            <w:tcW w:w="4814" w:type="dxa"/>
          </w:tcPr>
          <w:p w14:paraId="3A29ABDE" w14:textId="52D54183" w:rsidR="002836D0" w:rsidRPr="00990B83" w:rsidRDefault="002836D0" w:rsidP="00990B83">
            <w:pPr>
              <w:jc w:val="center"/>
              <w:rPr>
                <w:rFonts w:ascii="Times New Roman" w:hAnsi="Times New Roman" w:cs="Times New Roman"/>
                <w:b/>
                <w:sz w:val="28"/>
                <w:szCs w:val="28"/>
                <w:lang w:val="en-US"/>
              </w:rPr>
            </w:pPr>
            <w:r w:rsidRPr="00990B83">
              <w:rPr>
                <w:rFonts w:ascii="Times New Roman" w:hAnsi="Times New Roman" w:cs="Times New Roman"/>
                <w:b/>
                <w:sz w:val="28"/>
                <w:szCs w:val="28"/>
                <w:lang w:val="en-US"/>
              </w:rPr>
              <w:t>English</w:t>
            </w:r>
          </w:p>
        </w:tc>
        <w:tc>
          <w:tcPr>
            <w:tcW w:w="4815" w:type="dxa"/>
          </w:tcPr>
          <w:p w14:paraId="6BB332FF" w14:textId="470D3866" w:rsidR="002836D0" w:rsidRPr="00990B83" w:rsidRDefault="002836D0" w:rsidP="00990B83">
            <w:pPr>
              <w:jc w:val="center"/>
              <w:rPr>
                <w:rFonts w:ascii="Times New Roman" w:hAnsi="Times New Roman" w:cs="Times New Roman"/>
                <w:b/>
                <w:sz w:val="28"/>
                <w:szCs w:val="28"/>
                <w:lang w:val="en-US"/>
              </w:rPr>
            </w:pPr>
            <w:r w:rsidRPr="00990B83">
              <w:rPr>
                <w:rFonts w:ascii="Times New Roman" w:hAnsi="Times New Roman" w:cs="Times New Roman"/>
                <w:b/>
                <w:sz w:val="28"/>
                <w:szCs w:val="28"/>
                <w:lang w:val="en-US"/>
              </w:rPr>
              <w:t>Ukrainian</w:t>
            </w:r>
          </w:p>
        </w:tc>
      </w:tr>
      <w:tr w:rsidR="002836D0" w14:paraId="0E1DD8E0" w14:textId="77777777" w:rsidTr="002836D0">
        <w:tc>
          <w:tcPr>
            <w:tcW w:w="4814" w:type="dxa"/>
          </w:tcPr>
          <w:p w14:paraId="528F3DE1" w14:textId="77777777" w:rsidR="002836D0" w:rsidRPr="00B85C7F" w:rsidRDefault="002836D0" w:rsidP="002836D0">
            <w:pPr>
              <w:rPr>
                <w:rFonts w:ascii="Times New Roman" w:hAnsi="Times New Roman" w:cs="Times New Roman"/>
                <w:sz w:val="28"/>
                <w:szCs w:val="28"/>
              </w:rPr>
            </w:pPr>
            <w:r w:rsidRPr="00B85C7F">
              <w:rPr>
                <w:rFonts w:ascii="Times New Roman" w:hAnsi="Times New Roman" w:cs="Times New Roman"/>
                <w:sz w:val="28"/>
                <w:szCs w:val="28"/>
              </w:rPr>
              <w:t xml:space="preserve">01.11.2017 </w:t>
            </w:r>
          </w:p>
          <w:p w14:paraId="5C45CD15" w14:textId="77777777" w:rsidR="002836D0" w:rsidRPr="00B85C7F" w:rsidRDefault="002836D0" w:rsidP="002836D0">
            <w:pPr>
              <w:jc w:val="center"/>
              <w:rPr>
                <w:rFonts w:ascii="Times New Roman" w:hAnsi="Times New Roman" w:cs="Times New Roman"/>
                <w:sz w:val="28"/>
                <w:szCs w:val="28"/>
              </w:rPr>
            </w:pPr>
            <w:r w:rsidRPr="00B85C7F">
              <w:rPr>
                <w:rFonts w:ascii="Times New Roman" w:hAnsi="Times New Roman" w:cs="Times New Roman"/>
                <w:sz w:val="28"/>
                <w:szCs w:val="28"/>
              </w:rPr>
              <w:t>RESOLUTION</w:t>
            </w:r>
          </w:p>
          <w:p w14:paraId="7CD9917E" w14:textId="77777777" w:rsidR="002836D0" w:rsidRDefault="002836D0" w:rsidP="002836D0">
            <w:pPr>
              <w:jc w:val="center"/>
              <w:rPr>
                <w:rFonts w:ascii="Times New Roman" w:hAnsi="Times New Roman" w:cs="Times New Roman"/>
                <w:sz w:val="28"/>
                <w:szCs w:val="28"/>
              </w:rPr>
            </w:pPr>
            <w:r w:rsidRPr="00B85C7F">
              <w:rPr>
                <w:rFonts w:ascii="Times New Roman" w:hAnsi="Times New Roman" w:cs="Times New Roman"/>
                <w:sz w:val="28"/>
                <w:szCs w:val="28"/>
              </w:rPr>
              <w:t>on the situation of women in the labour market in the Eastern European partners</w:t>
            </w:r>
          </w:p>
          <w:p w14:paraId="3CB6347A" w14:textId="77777777" w:rsidR="002836D0" w:rsidRDefault="002836D0"/>
        </w:tc>
        <w:tc>
          <w:tcPr>
            <w:tcW w:w="4815" w:type="dxa"/>
          </w:tcPr>
          <w:p w14:paraId="3E30EDE9" w14:textId="77777777" w:rsidR="002836D0" w:rsidRDefault="002836D0" w:rsidP="002836D0">
            <w:pPr>
              <w:rPr>
                <w:rFonts w:ascii="Times New Roman" w:hAnsi="Times New Roman" w:cs="Times New Roman"/>
                <w:sz w:val="28"/>
                <w:szCs w:val="28"/>
              </w:rPr>
            </w:pPr>
            <w:r>
              <w:rPr>
                <w:rFonts w:ascii="Times New Roman" w:hAnsi="Times New Roman" w:cs="Times New Roman"/>
                <w:sz w:val="28"/>
                <w:szCs w:val="28"/>
              </w:rPr>
              <w:t>01.11.2017</w:t>
            </w:r>
          </w:p>
          <w:p w14:paraId="7623E6D9" w14:textId="77777777" w:rsidR="002836D0" w:rsidRDefault="002836D0" w:rsidP="002836D0">
            <w:pPr>
              <w:jc w:val="center"/>
              <w:rPr>
                <w:rFonts w:ascii="Times New Roman" w:hAnsi="Times New Roman" w:cs="Times New Roman"/>
                <w:sz w:val="28"/>
                <w:szCs w:val="28"/>
              </w:rPr>
            </w:pPr>
            <w:r>
              <w:rPr>
                <w:rFonts w:ascii="Times New Roman" w:hAnsi="Times New Roman" w:cs="Times New Roman"/>
                <w:sz w:val="28"/>
                <w:szCs w:val="28"/>
              </w:rPr>
              <w:t>РЕЗОЛЮЦІЯ</w:t>
            </w:r>
          </w:p>
          <w:p w14:paraId="5A5BFF8D" w14:textId="77777777" w:rsidR="002836D0" w:rsidRDefault="002836D0" w:rsidP="002836D0">
            <w:pPr>
              <w:jc w:val="center"/>
              <w:rPr>
                <w:rFonts w:ascii="Times New Roman" w:hAnsi="Times New Roman" w:cs="Times New Roman"/>
                <w:sz w:val="28"/>
                <w:szCs w:val="28"/>
              </w:rPr>
            </w:pPr>
            <w:r>
              <w:rPr>
                <w:rFonts w:ascii="Times New Roman" w:hAnsi="Times New Roman" w:cs="Times New Roman"/>
                <w:sz w:val="28"/>
                <w:szCs w:val="28"/>
              </w:rPr>
              <w:t>щодо стану жінок на ринку праці в країнах Східного Партнерства</w:t>
            </w:r>
          </w:p>
          <w:p w14:paraId="3507FA66" w14:textId="77777777" w:rsidR="002836D0" w:rsidRDefault="002836D0"/>
        </w:tc>
      </w:tr>
      <w:tr w:rsidR="002E4ED3" w14:paraId="2530E001" w14:textId="77777777" w:rsidTr="002836D0">
        <w:tc>
          <w:tcPr>
            <w:tcW w:w="4814" w:type="dxa"/>
          </w:tcPr>
          <w:p w14:paraId="1F7C5705" w14:textId="77777777"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EURONEST PARLIAMENTARY ASSEMBLY – RESOLUTION </w:t>
            </w:r>
          </w:p>
          <w:p w14:paraId="34370CC0" w14:textId="77777777"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The Euronest Parliamentary Assembly, </w:t>
            </w:r>
          </w:p>
          <w:p w14:paraId="3CFF2C64" w14:textId="35951C78"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w:t>
            </w:r>
            <w:r w:rsidRPr="002E4ED3">
              <w:rPr>
                <w:rFonts w:ascii="Times New Roman" w:hAnsi="Times New Roman" w:cs="Times New Roman"/>
                <w:sz w:val="28"/>
                <w:szCs w:val="28"/>
              </w:rPr>
              <w:t>-</w:t>
            </w:r>
            <w:r w:rsidRPr="00B85C7F">
              <w:rPr>
                <w:rFonts w:ascii="Times New Roman" w:hAnsi="Times New Roman" w:cs="Times New Roman"/>
                <w:sz w:val="28"/>
                <w:szCs w:val="28"/>
              </w:rPr>
              <w:t xml:space="preserve"> having regard to the Joint Declaration of the Eastern Partnership Summit (Vilnius, 28-29 November 2013) Eastern Partnership: the way ahead, </w:t>
            </w:r>
          </w:p>
          <w:p w14:paraId="2456D29E" w14:textId="77777777"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having regard to the Joint Declaration of the Warsaw Eastern Partnership Summit of 2930 September 2011, </w:t>
            </w:r>
          </w:p>
          <w:p w14:paraId="31DACC85" w14:textId="77777777" w:rsidR="002E4ED3" w:rsidRPr="00B85C7F" w:rsidRDefault="002E4ED3" w:rsidP="002E4ED3">
            <w:pPr>
              <w:spacing w:line="360" w:lineRule="auto"/>
              <w:jc w:val="both"/>
              <w:rPr>
                <w:rFonts w:ascii="Times New Roman" w:hAnsi="Times New Roman" w:cs="Times New Roman"/>
                <w:sz w:val="28"/>
                <w:szCs w:val="28"/>
              </w:rPr>
            </w:pPr>
            <w:r w:rsidRPr="002E4ED3">
              <w:rPr>
                <w:rFonts w:ascii="Times New Roman" w:hAnsi="Times New Roman" w:cs="Times New Roman"/>
                <w:sz w:val="28"/>
                <w:szCs w:val="28"/>
              </w:rPr>
              <w:t>-</w:t>
            </w:r>
            <w:r w:rsidRPr="00B85C7F">
              <w:rPr>
                <w:rFonts w:ascii="Times New Roman" w:hAnsi="Times New Roman" w:cs="Times New Roman"/>
                <w:sz w:val="28"/>
                <w:szCs w:val="28"/>
              </w:rPr>
              <w:t xml:space="preserve"> having regard to the European Parliament’s resolution of 13 December 2016 on the rights of women in the Eastern Partnership states, </w:t>
            </w:r>
          </w:p>
          <w:p w14:paraId="31E4CAFB" w14:textId="77777777"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having regard to the European Parliament's resolution of 23 October 2013 on ‘European Neighbourhood Policy, working towards a stronger partnership – European Parliament’s position on the 2012 progress reports’, </w:t>
            </w:r>
          </w:p>
          <w:p w14:paraId="4DD968F8" w14:textId="3472052E"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having regard to the Constituent Act of the EURONEST Parliamentary Assembly of 3 May 2011, </w:t>
            </w:r>
          </w:p>
        </w:tc>
        <w:tc>
          <w:tcPr>
            <w:tcW w:w="4815" w:type="dxa"/>
          </w:tcPr>
          <w:p w14:paraId="6E0BA3FA" w14:textId="77777777" w:rsidR="00036FCD" w:rsidRDefault="00036FCD" w:rsidP="00036FC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ПАРЛАМЕНТСЬКА АСАМБЛЕЯ ЄВРОНЕСТ – РЕЗОЛЮЦІЯ</w:t>
            </w:r>
          </w:p>
          <w:p w14:paraId="4F9E91ED" w14:textId="77777777" w:rsidR="00036FCD" w:rsidRDefault="00036FCD" w:rsidP="00036FC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Парламентська асамблея Євронест, </w:t>
            </w:r>
          </w:p>
          <w:p w14:paraId="1150FE5A" w14:textId="77777777" w:rsidR="00036FCD" w:rsidRDefault="00036FCD" w:rsidP="00036FCD">
            <w:pPr>
              <w:pStyle w:val="a4"/>
              <w:numPr>
                <w:ilvl w:val="0"/>
                <w:numId w:val="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Беручи до уваги Спільну Декларацію Саміту Східного Партнерства (Вільнюс, 28-29 листопада) Східне партнерство – шлях вперед,</w:t>
            </w:r>
          </w:p>
          <w:p w14:paraId="6B3A8095" w14:textId="77777777" w:rsidR="00036FCD" w:rsidRDefault="00036FCD" w:rsidP="00036FCD">
            <w:pPr>
              <w:pStyle w:val="a4"/>
              <w:numPr>
                <w:ilvl w:val="0"/>
                <w:numId w:val="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Беручи до уваги Спільну Декларацію Саміту Східного партнерства у Варшаві 29-30 вересня 2011 року,</w:t>
            </w:r>
          </w:p>
          <w:p w14:paraId="3E63D5AE" w14:textId="77777777" w:rsidR="00036FCD" w:rsidRDefault="00036FCD" w:rsidP="00036FCD">
            <w:pPr>
              <w:pStyle w:val="a4"/>
              <w:numPr>
                <w:ilvl w:val="0"/>
                <w:numId w:val="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Беручи до уваги резолюцію Європейського Парламенту від 13 грудня 2016 року про права жінок в державах Східного Партнерства,</w:t>
            </w:r>
          </w:p>
          <w:p w14:paraId="1709504D" w14:textId="77777777" w:rsidR="00036FCD" w:rsidRDefault="00036FCD" w:rsidP="00036FCD">
            <w:pPr>
              <w:pStyle w:val="a4"/>
              <w:numPr>
                <w:ilvl w:val="0"/>
                <w:numId w:val="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Беручи до уваги резолюцію Європейського Парламенту від 23 жовтня 2013 року про «Політику Європейського сусідства, співпраця задля досягнення потужнішого партнерства – позиція Європейського Парламенту щодо чергових доповідей 2012 року»</w:t>
            </w:r>
          </w:p>
          <w:p w14:paraId="289CDF57" w14:textId="041FDB2B" w:rsidR="002E4ED3" w:rsidRPr="00036FCD" w:rsidRDefault="00036FCD" w:rsidP="00036FCD">
            <w:pPr>
              <w:pStyle w:val="a4"/>
              <w:numPr>
                <w:ilvl w:val="0"/>
                <w:numId w:val="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Беручи до уваги Установчий Акт Парламентської Асамблеї ЄВРОНЕСТ від 3 травня 2011,</w:t>
            </w:r>
          </w:p>
        </w:tc>
      </w:tr>
      <w:tr w:rsidR="002E4ED3" w14:paraId="75FE8AA9" w14:textId="77777777" w:rsidTr="002836D0">
        <w:tc>
          <w:tcPr>
            <w:tcW w:w="4814" w:type="dxa"/>
          </w:tcPr>
          <w:p w14:paraId="67184AD5" w14:textId="77777777" w:rsidR="002E4ED3" w:rsidRPr="00B85C7F" w:rsidRDefault="002E4ED3" w:rsidP="002E4ED3">
            <w:pPr>
              <w:spacing w:line="360" w:lineRule="auto"/>
              <w:jc w:val="both"/>
              <w:rPr>
                <w:rFonts w:ascii="Times New Roman" w:hAnsi="Times New Roman" w:cs="Times New Roman"/>
                <w:sz w:val="28"/>
                <w:szCs w:val="28"/>
              </w:rPr>
            </w:pPr>
            <w:r w:rsidRPr="002E4ED3">
              <w:rPr>
                <w:rFonts w:ascii="Times New Roman" w:hAnsi="Times New Roman" w:cs="Times New Roman"/>
                <w:b/>
                <w:sz w:val="28"/>
                <w:szCs w:val="28"/>
              </w:rPr>
              <w:lastRenderedPageBreak/>
              <w:t>A.</w:t>
            </w:r>
            <w:r w:rsidRPr="00B85C7F">
              <w:rPr>
                <w:rFonts w:ascii="Times New Roman" w:hAnsi="Times New Roman" w:cs="Times New Roman"/>
                <w:sz w:val="28"/>
                <w:szCs w:val="28"/>
              </w:rPr>
              <w:t xml:space="preserve"> whereas, according to the Prague Declaration, the Partnership is based on commitments to the principles of international law and to fundamental values, including democracy, the rule of law and respect for human rights and fundamental freedoms; whereas the Riga Declaration referred to gender equality as a ‘promising new area of cooperation’; </w:t>
            </w:r>
          </w:p>
          <w:p w14:paraId="29FBB35C" w14:textId="77777777"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w:t>
            </w:r>
            <w:r w:rsidRPr="002E4ED3">
              <w:rPr>
                <w:rFonts w:ascii="Times New Roman" w:hAnsi="Times New Roman" w:cs="Times New Roman"/>
                <w:b/>
                <w:sz w:val="28"/>
                <w:szCs w:val="28"/>
              </w:rPr>
              <w:t>B.</w:t>
            </w:r>
            <w:r w:rsidRPr="00B85C7F">
              <w:rPr>
                <w:rFonts w:ascii="Times New Roman" w:hAnsi="Times New Roman" w:cs="Times New Roman"/>
                <w:sz w:val="28"/>
                <w:szCs w:val="28"/>
              </w:rPr>
              <w:t xml:space="preserve"> whereas enhanced differentiation between, and greater ownership by, partner countries are key principles for the reviewed ENP, taking into account the specific situation of each country; </w:t>
            </w:r>
          </w:p>
          <w:p w14:paraId="381C8C11" w14:textId="77777777"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w:t>
            </w:r>
            <w:r w:rsidRPr="002E4ED3">
              <w:rPr>
                <w:rFonts w:ascii="Times New Roman" w:hAnsi="Times New Roman" w:cs="Times New Roman"/>
                <w:b/>
                <w:sz w:val="28"/>
                <w:szCs w:val="28"/>
              </w:rPr>
              <w:t>C.</w:t>
            </w:r>
            <w:r w:rsidRPr="00B85C7F">
              <w:rPr>
                <w:rFonts w:ascii="Times New Roman" w:hAnsi="Times New Roman" w:cs="Times New Roman"/>
                <w:sz w:val="28"/>
                <w:szCs w:val="28"/>
              </w:rPr>
              <w:t xml:space="preserve"> whereas due consideration should be given to the objective of achieving gender equality and empowering all women and girls, as enshrined in the fifth of the sustainable development goals approved for 2016-2030 at the UN Sustainable Development Summit held on 25-27 September 2015 at the UN headquarters in New York; </w:t>
            </w:r>
          </w:p>
          <w:p w14:paraId="4C2E008B" w14:textId="76F3307E" w:rsidR="002E4ED3" w:rsidRPr="00B85C7F" w:rsidRDefault="002E4ED3" w:rsidP="002E4ED3">
            <w:pPr>
              <w:spacing w:line="360" w:lineRule="auto"/>
              <w:jc w:val="both"/>
              <w:rPr>
                <w:rFonts w:ascii="Times New Roman" w:hAnsi="Times New Roman" w:cs="Times New Roman"/>
                <w:sz w:val="28"/>
                <w:szCs w:val="28"/>
              </w:rPr>
            </w:pPr>
            <w:r w:rsidRPr="002E4ED3">
              <w:rPr>
                <w:rFonts w:ascii="Times New Roman" w:hAnsi="Times New Roman" w:cs="Times New Roman"/>
                <w:b/>
                <w:sz w:val="28"/>
                <w:szCs w:val="28"/>
              </w:rPr>
              <w:t xml:space="preserve"> D.</w:t>
            </w:r>
            <w:r w:rsidRPr="00B85C7F">
              <w:rPr>
                <w:rFonts w:ascii="Times New Roman" w:hAnsi="Times New Roman" w:cs="Times New Roman"/>
                <w:sz w:val="28"/>
                <w:szCs w:val="28"/>
              </w:rPr>
              <w:t xml:space="preserve"> whereas gender equality between women and men is enshrined in the constitutions and legal systems of all the Eastern European partners, and all the countries have ratified most of the </w:t>
            </w:r>
            <w:r w:rsidRPr="00B85C7F">
              <w:rPr>
                <w:rFonts w:ascii="Times New Roman" w:hAnsi="Times New Roman" w:cs="Times New Roman"/>
                <w:sz w:val="28"/>
                <w:szCs w:val="28"/>
              </w:rPr>
              <w:lastRenderedPageBreak/>
              <w:t xml:space="preserve">important international conventions in this area without reservations; </w:t>
            </w:r>
          </w:p>
          <w:p w14:paraId="1BD7A532" w14:textId="77777777"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w:t>
            </w:r>
            <w:r w:rsidRPr="002E4ED3">
              <w:rPr>
                <w:rFonts w:ascii="Times New Roman" w:hAnsi="Times New Roman" w:cs="Times New Roman"/>
                <w:b/>
                <w:sz w:val="28"/>
                <w:szCs w:val="28"/>
              </w:rPr>
              <w:t>E.</w:t>
            </w:r>
            <w:r w:rsidRPr="00B85C7F">
              <w:rPr>
                <w:rFonts w:ascii="Times New Roman" w:hAnsi="Times New Roman" w:cs="Times New Roman"/>
                <w:sz w:val="28"/>
                <w:szCs w:val="28"/>
              </w:rPr>
              <w:t xml:space="preserve"> whereas all the Eastern European partners have developed strategies, programmes or action plans to improve the situation of women; </w:t>
            </w:r>
          </w:p>
          <w:p w14:paraId="3AE93AB1" w14:textId="77777777" w:rsidR="002E4ED3" w:rsidRPr="00B85C7F" w:rsidRDefault="002E4ED3" w:rsidP="002E4ED3">
            <w:pPr>
              <w:spacing w:line="360" w:lineRule="auto"/>
              <w:jc w:val="both"/>
              <w:rPr>
                <w:rFonts w:ascii="Times New Roman" w:hAnsi="Times New Roman" w:cs="Times New Roman"/>
                <w:sz w:val="28"/>
                <w:szCs w:val="28"/>
              </w:rPr>
            </w:pPr>
            <w:r w:rsidRPr="002E4ED3">
              <w:rPr>
                <w:rFonts w:ascii="Times New Roman" w:hAnsi="Times New Roman" w:cs="Times New Roman"/>
                <w:b/>
                <w:sz w:val="28"/>
                <w:szCs w:val="28"/>
              </w:rPr>
              <w:t xml:space="preserve"> F.</w:t>
            </w:r>
            <w:r w:rsidRPr="00B85C7F">
              <w:rPr>
                <w:rFonts w:ascii="Times New Roman" w:hAnsi="Times New Roman" w:cs="Times New Roman"/>
                <w:sz w:val="28"/>
                <w:szCs w:val="28"/>
              </w:rPr>
              <w:t xml:space="preserve"> whereas vertical and horizontal segregation of women’s employment in the labour markets of the Eastern European partners remains entrenched in cultural and social norms; whereas women are also burdened by the ‘second shift’ of unpaid domestic work; </w:t>
            </w:r>
          </w:p>
          <w:p w14:paraId="207D75BD" w14:textId="77777777"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w:t>
            </w:r>
            <w:r w:rsidRPr="002E4ED3">
              <w:rPr>
                <w:rFonts w:ascii="Times New Roman" w:hAnsi="Times New Roman" w:cs="Times New Roman"/>
                <w:b/>
                <w:sz w:val="28"/>
                <w:szCs w:val="28"/>
              </w:rPr>
              <w:t>G.</w:t>
            </w:r>
            <w:r w:rsidRPr="00B85C7F">
              <w:rPr>
                <w:rFonts w:ascii="Times New Roman" w:hAnsi="Times New Roman" w:cs="Times New Roman"/>
                <w:sz w:val="28"/>
                <w:szCs w:val="28"/>
              </w:rPr>
              <w:t xml:space="preserve"> whereas stereotypes can have a negative impact on the role women can play, and these may be reflected in educational and training choices and continue into the labour market; </w:t>
            </w:r>
          </w:p>
          <w:p w14:paraId="081A9A8C" w14:textId="77777777" w:rsidR="002E4ED3" w:rsidRPr="00B85C7F" w:rsidRDefault="002E4ED3" w:rsidP="002E4ED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w:t>
            </w:r>
            <w:r w:rsidRPr="002E4ED3">
              <w:rPr>
                <w:rFonts w:ascii="Times New Roman" w:hAnsi="Times New Roman" w:cs="Times New Roman"/>
                <w:b/>
                <w:sz w:val="28"/>
                <w:szCs w:val="28"/>
              </w:rPr>
              <w:t>H.</w:t>
            </w:r>
            <w:r w:rsidRPr="00B85C7F">
              <w:rPr>
                <w:rFonts w:ascii="Times New Roman" w:hAnsi="Times New Roman" w:cs="Times New Roman"/>
                <w:sz w:val="28"/>
                <w:szCs w:val="28"/>
              </w:rPr>
              <w:t xml:space="preserve"> whereas while significant differences exist between the Eastern European partners concerning the prevalence of violence against women, the rate is relatively high; whereas the risk of violence is much higher for women belonging to ethnic minorities, such as the Roma; whereas Romani girls and women face double discrimination due to gender and ethnic origin, as demonstrated by their lower levels of education, significantly higher rates of </w:t>
            </w:r>
            <w:r w:rsidRPr="00B85C7F">
              <w:rPr>
                <w:rFonts w:ascii="Times New Roman" w:hAnsi="Times New Roman" w:cs="Times New Roman"/>
                <w:sz w:val="28"/>
                <w:szCs w:val="28"/>
              </w:rPr>
              <w:lastRenderedPageBreak/>
              <w:t xml:space="preserve">unemployment and poorer health than the rest of the population; </w:t>
            </w:r>
          </w:p>
          <w:p w14:paraId="5BC7A009" w14:textId="1E6FF7E6" w:rsidR="002E4ED3" w:rsidRPr="00B85C7F" w:rsidRDefault="002E4ED3" w:rsidP="002E4ED3">
            <w:pPr>
              <w:spacing w:line="360" w:lineRule="auto"/>
              <w:jc w:val="both"/>
              <w:rPr>
                <w:rFonts w:ascii="Times New Roman" w:hAnsi="Times New Roman" w:cs="Times New Roman"/>
                <w:sz w:val="28"/>
                <w:szCs w:val="28"/>
              </w:rPr>
            </w:pPr>
            <w:r w:rsidRPr="002E4ED3">
              <w:rPr>
                <w:rFonts w:ascii="Times New Roman" w:hAnsi="Times New Roman" w:cs="Times New Roman"/>
                <w:b/>
                <w:sz w:val="28"/>
                <w:szCs w:val="28"/>
              </w:rPr>
              <w:t xml:space="preserve"> I.</w:t>
            </w:r>
            <w:r w:rsidRPr="00B85C7F">
              <w:rPr>
                <w:rFonts w:ascii="Times New Roman" w:hAnsi="Times New Roman" w:cs="Times New Roman"/>
                <w:sz w:val="28"/>
                <w:szCs w:val="28"/>
              </w:rPr>
              <w:t xml:space="preserve"> whereas in Ukraine more than 1,5 million people – two thirds of them women and children – have been internally displaced since the aggression of terrorist forces began and suffer from impeded access to healthcare, housing and employment;  whereas Roma girls in Moldova spend on average less than four years in school, compared to 11 years for non-Roma girls, as a result of child and early marriages, unplanned pregnancies and childcare responsibilities; </w:t>
            </w:r>
          </w:p>
          <w:p w14:paraId="707DDA63" w14:textId="5765C995" w:rsidR="002E4ED3" w:rsidRPr="00B85C7F" w:rsidRDefault="002E4ED3" w:rsidP="002E4ED3">
            <w:pPr>
              <w:spacing w:line="360" w:lineRule="auto"/>
              <w:jc w:val="both"/>
              <w:rPr>
                <w:rFonts w:ascii="Times New Roman" w:hAnsi="Times New Roman" w:cs="Times New Roman"/>
                <w:sz w:val="28"/>
                <w:szCs w:val="28"/>
              </w:rPr>
            </w:pPr>
            <w:r w:rsidRPr="002E4ED3">
              <w:rPr>
                <w:rFonts w:ascii="Times New Roman" w:hAnsi="Times New Roman" w:cs="Times New Roman"/>
                <w:b/>
                <w:sz w:val="28"/>
                <w:szCs w:val="28"/>
              </w:rPr>
              <w:t xml:space="preserve"> J.</w:t>
            </w:r>
            <w:r w:rsidRPr="00B85C7F">
              <w:rPr>
                <w:rFonts w:ascii="Times New Roman" w:hAnsi="Times New Roman" w:cs="Times New Roman"/>
                <w:sz w:val="28"/>
                <w:szCs w:val="28"/>
              </w:rPr>
              <w:t xml:space="preserve"> whereas the EU and its Member States are committed to the protection, fulfilment and enjoyment of human rights by women and girls; whereas gender equality remains a horizontal priority within the European Neighbourhood Policy (ENP) and the European Neighbourhood Instrument (ENI), and whereas the reviewed ENP should include enhanced support for civil society and a renewed focus on the importance of gender equality; whereas civil society plays a very important role in achieving gender equality in the Eastern Partnership; </w:t>
            </w:r>
          </w:p>
        </w:tc>
        <w:tc>
          <w:tcPr>
            <w:tcW w:w="4815" w:type="dxa"/>
          </w:tcPr>
          <w:p w14:paraId="7E134808" w14:textId="77777777" w:rsidR="00036FCD" w:rsidRDefault="00036FCD" w:rsidP="00990B83">
            <w:pPr>
              <w:pStyle w:val="a4"/>
              <w:spacing w:line="360" w:lineRule="auto"/>
              <w:ind w:left="0"/>
              <w:jc w:val="both"/>
              <w:rPr>
                <w:rFonts w:ascii="Times New Roman" w:hAnsi="Times New Roman" w:cs="Times New Roman"/>
                <w:sz w:val="28"/>
                <w:szCs w:val="28"/>
              </w:rPr>
            </w:pPr>
            <w:r w:rsidRPr="00036FCD">
              <w:rPr>
                <w:rFonts w:ascii="Times New Roman" w:hAnsi="Times New Roman" w:cs="Times New Roman"/>
                <w:b/>
                <w:sz w:val="28"/>
                <w:szCs w:val="28"/>
              </w:rPr>
              <w:lastRenderedPageBreak/>
              <w:t>А.</w:t>
            </w:r>
            <w:r>
              <w:rPr>
                <w:rFonts w:ascii="Times New Roman" w:hAnsi="Times New Roman" w:cs="Times New Roman"/>
                <w:sz w:val="28"/>
                <w:szCs w:val="28"/>
              </w:rPr>
              <w:t xml:space="preserve"> оскільки, відповідно до Празької Декларації, Партнерство базується на</w:t>
            </w:r>
            <w:r>
              <w:rPr>
                <w:rFonts w:ascii="Times New Roman" w:hAnsi="Times New Roman" w:cs="Times New Roman"/>
                <w:sz w:val="28"/>
                <w:szCs w:val="28"/>
                <w:lang w:val="ru-RU"/>
              </w:rPr>
              <w:t xml:space="preserve"> </w:t>
            </w:r>
            <w:r>
              <w:rPr>
                <w:rFonts w:ascii="Times New Roman" w:hAnsi="Times New Roman" w:cs="Times New Roman"/>
                <w:sz w:val="28"/>
                <w:szCs w:val="28"/>
              </w:rPr>
              <w:t>відданості принципам міжнародного права та фундаментальних цінностей, включаючи демократію, верховенство права та повагу до прав людини та основоположних свобод; оскільки Ризька Декларація визначила гендерну рівність як « нову перспективну сферу співробітництва»;</w:t>
            </w:r>
          </w:p>
          <w:p w14:paraId="44BF466E" w14:textId="77777777" w:rsidR="00036FCD" w:rsidRDefault="00036FCD" w:rsidP="00990B83">
            <w:pPr>
              <w:pStyle w:val="a4"/>
              <w:spacing w:line="360" w:lineRule="auto"/>
              <w:ind w:left="0" w:firstLine="43"/>
              <w:jc w:val="both"/>
              <w:rPr>
                <w:rFonts w:ascii="Times New Roman" w:hAnsi="Times New Roman" w:cs="Times New Roman"/>
                <w:sz w:val="28"/>
                <w:szCs w:val="28"/>
              </w:rPr>
            </w:pPr>
            <w:r w:rsidRPr="00036FCD">
              <w:rPr>
                <w:rFonts w:ascii="Times New Roman" w:hAnsi="Times New Roman" w:cs="Times New Roman"/>
                <w:b/>
                <w:sz w:val="28"/>
                <w:szCs w:val="28"/>
              </w:rPr>
              <w:t>В.</w:t>
            </w:r>
            <w:r>
              <w:rPr>
                <w:rFonts w:ascii="Times New Roman" w:hAnsi="Times New Roman" w:cs="Times New Roman"/>
                <w:sz w:val="28"/>
                <w:szCs w:val="28"/>
              </w:rPr>
              <w:t xml:space="preserve"> оскільки посилення диференціації між державами партнерами та більш зацікавленої їх участі є ключовими принципами для переглянутої Політики Східного Партнерства, беручи до уваги специфічну ситуацію кожної країни;</w:t>
            </w:r>
          </w:p>
          <w:p w14:paraId="78FDB69C" w14:textId="77777777" w:rsidR="00036FCD" w:rsidRDefault="00036FCD" w:rsidP="00990B83">
            <w:pPr>
              <w:pStyle w:val="a4"/>
              <w:spacing w:line="360" w:lineRule="auto"/>
              <w:ind w:left="0" w:firstLine="43"/>
              <w:jc w:val="both"/>
              <w:rPr>
                <w:rFonts w:ascii="Times New Roman" w:hAnsi="Times New Roman" w:cs="Times New Roman"/>
                <w:sz w:val="28"/>
                <w:szCs w:val="28"/>
              </w:rPr>
            </w:pPr>
            <w:r w:rsidRPr="00036FCD">
              <w:rPr>
                <w:rFonts w:ascii="Times New Roman" w:hAnsi="Times New Roman" w:cs="Times New Roman"/>
                <w:b/>
                <w:sz w:val="28"/>
                <w:szCs w:val="28"/>
              </w:rPr>
              <w:t>С.</w:t>
            </w:r>
            <w:r>
              <w:rPr>
                <w:rFonts w:ascii="Times New Roman" w:hAnsi="Times New Roman" w:cs="Times New Roman"/>
                <w:sz w:val="28"/>
                <w:szCs w:val="28"/>
              </w:rPr>
              <w:t xml:space="preserve"> оскільки належна увага повинна бути звернена на цілі досягнення гендерної рівності та розширення можливостей для всіх жінок та дівчат, як це закріплено в п</w:t>
            </w:r>
            <w:r w:rsidRPr="009B190B">
              <w:rPr>
                <w:rFonts w:ascii="Times New Roman" w:hAnsi="Times New Roman" w:cs="Times New Roman"/>
                <w:sz w:val="28"/>
                <w:szCs w:val="28"/>
              </w:rPr>
              <w:t>’</w:t>
            </w:r>
            <w:r>
              <w:rPr>
                <w:rFonts w:ascii="Times New Roman" w:hAnsi="Times New Roman" w:cs="Times New Roman"/>
                <w:sz w:val="28"/>
                <w:szCs w:val="28"/>
              </w:rPr>
              <w:t>ятій цілі стабільного розвитку на 2016-2030 рік на Саміті Стабільного Розвитку ООН, проведеному 25-27 вересня 2015 року в штаб-квартирі ООН в Нью-Йорку;</w:t>
            </w:r>
          </w:p>
          <w:p w14:paraId="385377E8" w14:textId="77777777" w:rsidR="00036FCD" w:rsidRDefault="00036FCD" w:rsidP="00990B83">
            <w:pPr>
              <w:pStyle w:val="a4"/>
              <w:spacing w:line="360" w:lineRule="auto"/>
              <w:ind w:left="0" w:firstLine="43"/>
              <w:jc w:val="both"/>
              <w:rPr>
                <w:rFonts w:ascii="Times New Roman" w:hAnsi="Times New Roman" w:cs="Times New Roman"/>
                <w:sz w:val="28"/>
                <w:szCs w:val="28"/>
              </w:rPr>
            </w:pPr>
            <w:r w:rsidRPr="00036FCD">
              <w:rPr>
                <w:rFonts w:ascii="Times New Roman" w:hAnsi="Times New Roman" w:cs="Times New Roman"/>
                <w:b/>
                <w:sz w:val="28"/>
                <w:szCs w:val="28"/>
                <w:lang w:val="de-DE"/>
              </w:rPr>
              <w:lastRenderedPageBreak/>
              <w:t>D</w:t>
            </w:r>
            <w:r w:rsidRPr="00036FCD">
              <w:rPr>
                <w:rFonts w:ascii="Times New Roman" w:hAnsi="Times New Roman" w:cs="Times New Roman"/>
                <w:b/>
                <w:sz w:val="28"/>
                <w:szCs w:val="28"/>
              </w:rPr>
              <w:t>.</w:t>
            </w:r>
            <w:r w:rsidRPr="00D317EA">
              <w:rPr>
                <w:rFonts w:ascii="Times New Roman" w:hAnsi="Times New Roman" w:cs="Times New Roman"/>
                <w:sz w:val="28"/>
                <w:szCs w:val="28"/>
              </w:rPr>
              <w:t xml:space="preserve"> </w:t>
            </w:r>
            <w:r>
              <w:rPr>
                <w:rFonts w:ascii="Times New Roman" w:hAnsi="Times New Roman" w:cs="Times New Roman"/>
                <w:sz w:val="28"/>
                <w:szCs w:val="28"/>
              </w:rPr>
              <w:t>оскільки гендерна рівність між жінками та чоловіками закріплена в конституціях та юридичних системах всіх держав Східного Партнерства, і всі держави ратифікували більшість важливих міжнародних конвенцій в цій сфері без застережень;</w:t>
            </w:r>
          </w:p>
          <w:p w14:paraId="752BD539" w14:textId="77777777" w:rsidR="00036FCD" w:rsidRDefault="00036FCD" w:rsidP="00990B83">
            <w:pPr>
              <w:pStyle w:val="a4"/>
              <w:spacing w:line="360" w:lineRule="auto"/>
              <w:ind w:left="0" w:firstLine="43"/>
              <w:jc w:val="both"/>
              <w:rPr>
                <w:rFonts w:ascii="Times New Roman" w:hAnsi="Times New Roman" w:cs="Times New Roman"/>
                <w:sz w:val="28"/>
                <w:szCs w:val="28"/>
              </w:rPr>
            </w:pPr>
            <w:r w:rsidRPr="00036FCD">
              <w:rPr>
                <w:rFonts w:ascii="Times New Roman" w:hAnsi="Times New Roman" w:cs="Times New Roman"/>
                <w:b/>
                <w:sz w:val="28"/>
                <w:szCs w:val="28"/>
              </w:rPr>
              <w:t>Е.</w:t>
            </w:r>
            <w:r>
              <w:rPr>
                <w:rFonts w:ascii="Times New Roman" w:hAnsi="Times New Roman" w:cs="Times New Roman"/>
                <w:sz w:val="28"/>
                <w:szCs w:val="28"/>
              </w:rPr>
              <w:t xml:space="preserve"> оскільки всі держави Східного Партнерства мають розвинуті стратегії, програми та плани дій щодо покращення стану жінок;</w:t>
            </w:r>
          </w:p>
          <w:p w14:paraId="2D9FD2A9" w14:textId="77777777" w:rsidR="00036FCD" w:rsidRDefault="00036FCD" w:rsidP="00990B83">
            <w:pPr>
              <w:pStyle w:val="a4"/>
              <w:spacing w:line="360" w:lineRule="auto"/>
              <w:ind w:left="0"/>
              <w:jc w:val="both"/>
              <w:rPr>
                <w:rFonts w:ascii="Times New Roman" w:hAnsi="Times New Roman" w:cs="Times New Roman"/>
                <w:sz w:val="28"/>
                <w:szCs w:val="28"/>
              </w:rPr>
            </w:pPr>
            <w:r w:rsidRPr="00036FCD">
              <w:rPr>
                <w:rFonts w:ascii="Times New Roman" w:hAnsi="Times New Roman" w:cs="Times New Roman"/>
                <w:b/>
                <w:sz w:val="28"/>
                <w:szCs w:val="28"/>
                <w:lang w:val="en-US"/>
              </w:rPr>
              <w:t>F</w:t>
            </w:r>
            <w:r w:rsidRPr="00036FCD">
              <w:rPr>
                <w:rFonts w:ascii="Times New Roman" w:hAnsi="Times New Roman" w:cs="Times New Roman"/>
                <w:b/>
                <w:sz w:val="28"/>
                <w:szCs w:val="28"/>
              </w:rPr>
              <w:t>.</w:t>
            </w:r>
            <w:r w:rsidRPr="004B154C">
              <w:rPr>
                <w:rFonts w:ascii="Times New Roman" w:hAnsi="Times New Roman" w:cs="Times New Roman"/>
                <w:sz w:val="28"/>
                <w:szCs w:val="28"/>
              </w:rPr>
              <w:t xml:space="preserve"> </w:t>
            </w:r>
            <w:r>
              <w:rPr>
                <w:rFonts w:ascii="Times New Roman" w:hAnsi="Times New Roman" w:cs="Times New Roman"/>
                <w:sz w:val="28"/>
                <w:szCs w:val="28"/>
              </w:rPr>
              <w:t>оскільки вертикальна та горизонтальна сегрегація зайнятості жінок на ринку праці в державах Східного Партнерства залишається укоріненою в культурних та соціальних нормах; оскільки жінки також</w:t>
            </w:r>
            <w:r w:rsidRPr="004B154C">
              <w:rPr>
                <w:rFonts w:ascii="Times New Roman" w:hAnsi="Times New Roman" w:cs="Times New Roman"/>
                <w:sz w:val="28"/>
                <w:szCs w:val="28"/>
              </w:rPr>
              <w:t xml:space="preserve"> </w:t>
            </w:r>
            <w:r>
              <w:rPr>
                <w:rFonts w:ascii="Times New Roman" w:hAnsi="Times New Roman" w:cs="Times New Roman"/>
                <w:sz w:val="28"/>
                <w:szCs w:val="28"/>
              </w:rPr>
              <w:t>обтяжені «другою зміною» неоплачуваної домашньої роботи;</w:t>
            </w:r>
          </w:p>
          <w:p w14:paraId="6761670C" w14:textId="77777777" w:rsidR="00036FCD" w:rsidRDefault="00036FCD" w:rsidP="00990B83">
            <w:pPr>
              <w:pStyle w:val="a4"/>
              <w:spacing w:line="360" w:lineRule="auto"/>
              <w:ind w:left="0" w:firstLine="43"/>
              <w:jc w:val="both"/>
              <w:rPr>
                <w:rFonts w:ascii="Times New Roman" w:hAnsi="Times New Roman" w:cs="Times New Roman"/>
                <w:sz w:val="28"/>
                <w:szCs w:val="28"/>
              </w:rPr>
            </w:pPr>
            <w:r w:rsidRPr="00036FCD">
              <w:rPr>
                <w:rFonts w:ascii="Times New Roman" w:hAnsi="Times New Roman" w:cs="Times New Roman"/>
                <w:b/>
                <w:sz w:val="28"/>
                <w:szCs w:val="28"/>
              </w:rPr>
              <w:t>G.</w:t>
            </w:r>
            <w:r>
              <w:rPr>
                <w:rFonts w:ascii="Times New Roman" w:hAnsi="Times New Roman" w:cs="Times New Roman"/>
                <w:sz w:val="28"/>
                <w:szCs w:val="28"/>
              </w:rPr>
              <w:t xml:space="preserve"> оскільки стереотипи мають негативний вплив на роль жінок, і це може бути відображено у виборах освіти та професійної підготовки та продовжуватися на рику праці;</w:t>
            </w:r>
          </w:p>
          <w:p w14:paraId="1EBB2668" w14:textId="77777777" w:rsidR="00036FCD" w:rsidRDefault="00036FCD" w:rsidP="00990B83">
            <w:pPr>
              <w:pStyle w:val="a4"/>
              <w:spacing w:line="360" w:lineRule="auto"/>
              <w:ind w:left="0" w:firstLine="43"/>
              <w:jc w:val="both"/>
              <w:rPr>
                <w:rFonts w:ascii="Times New Roman" w:hAnsi="Times New Roman" w:cs="Times New Roman"/>
                <w:sz w:val="28"/>
                <w:szCs w:val="28"/>
              </w:rPr>
            </w:pPr>
            <w:r w:rsidRPr="00036FCD">
              <w:rPr>
                <w:rFonts w:ascii="Times New Roman" w:hAnsi="Times New Roman" w:cs="Times New Roman"/>
                <w:b/>
                <w:sz w:val="28"/>
                <w:szCs w:val="28"/>
              </w:rPr>
              <w:t>Н.</w:t>
            </w:r>
            <w:r>
              <w:rPr>
                <w:rFonts w:ascii="Times New Roman" w:hAnsi="Times New Roman" w:cs="Times New Roman"/>
                <w:sz w:val="28"/>
                <w:szCs w:val="28"/>
              </w:rPr>
              <w:t xml:space="preserve"> оскільки в той час як значні відмінності існують між країнами Східного Партнерства стосовно масштабів насилля по відношенню до жінок, показник є відносно високим; оскільки ризик насилля значно більший для жінок, що належать до </w:t>
            </w:r>
            <w:r>
              <w:rPr>
                <w:rFonts w:ascii="Times New Roman" w:hAnsi="Times New Roman" w:cs="Times New Roman"/>
                <w:sz w:val="28"/>
                <w:szCs w:val="28"/>
              </w:rPr>
              <w:lastRenderedPageBreak/>
              <w:t>етнічних меншин, такі як цигани; оскільки Ромські дівчати та жінки зіштовхуються з подвійною дискримінацією за ознакою статі та етнічного походження, як це демонструється їхніми нижчими рівнями освіти, значно вищими рівнями безробіття та слабшого здоров</w:t>
            </w:r>
            <w:r w:rsidRPr="00DB689F">
              <w:rPr>
                <w:rFonts w:ascii="Times New Roman" w:hAnsi="Times New Roman" w:cs="Times New Roman"/>
                <w:sz w:val="28"/>
                <w:szCs w:val="28"/>
              </w:rPr>
              <w:t>’</w:t>
            </w:r>
            <w:r>
              <w:rPr>
                <w:rFonts w:ascii="Times New Roman" w:hAnsi="Times New Roman" w:cs="Times New Roman"/>
                <w:sz w:val="28"/>
                <w:szCs w:val="28"/>
              </w:rPr>
              <w:t>я ніж у решти населення;</w:t>
            </w:r>
          </w:p>
          <w:p w14:paraId="0CBD1E9A" w14:textId="77777777" w:rsidR="00036FCD" w:rsidRDefault="00036FCD" w:rsidP="00990B83">
            <w:pPr>
              <w:pStyle w:val="a4"/>
              <w:spacing w:line="360" w:lineRule="auto"/>
              <w:ind w:left="0"/>
              <w:jc w:val="both"/>
              <w:rPr>
                <w:rFonts w:ascii="Times New Roman" w:hAnsi="Times New Roman" w:cs="Times New Roman"/>
                <w:sz w:val="28"/>
                <w:szCs w:val="28"/>
              </w:rPr>
            </w:pPr>
            <w:r w:rsidRPr="00036FCD">
              <w:rPr>
                <w:rFonts w:ascii="Times New Roman" w:hAnsi="Times New Roman" w:cs="Times New Roman"/>
                <w:b/>
                <w:sz w:val="28"/>
                <w:szCs w:val="28"/>
              </w:rPr>
              <w:t>І.</w:t>
            </w:r>
            <w:r>
              <w:rPr>
                <w:rFonts w:ascii="Times New Roman" w:hAnsi="Times New Roman" w:cs="Times New Roman"/>
                <w:sz w:val="28"/>
                <w:szCs w:val="28"/>
              </w:rPr>
              <w:t xml:space="preserve"> оскільки в Україні більше 1,5 млн людей – дві треті з них є жінки та діти – були внутрішньо переміщені відколи почалася агресія терористичних сил та страждають від перешкоджання доступу до охорони здоров</w:t>
            </w:r>
            <w:r w:rsidRPr="005200B8">
              <w:rPr>
                <w:rFonts w:ascii="Times New Roman" w:hAnsi="Times New Roman" w:cs="Times New Roman"/>
                <w:sz w:val="28"/>
                <w:szCs w:val="28"/>
              </w:rPr>
              <w:t>’</w:t>
            </w:r>
            <w:r>
              <w:rPr>
                <w:rFonts w:ascii="Times New Roman" w:hAnsi="Times New Roman" w:cs="Times New Roman"/>
                <w:sz w:val="28"/>
                <w:szCs w:val="28"/>
              </w:rPr>
              <w:t>я, житла та зайнятості; оскільки Ромські дівчата в Молдові проводять в середньому менше чотирьох років у школі, порівняно з 11 роками для не-Романських дівчат, внаслідок ранніх шлюбів та шлюбів у дитячому віці, незапланованої вагітності та обов’язків по догляду за дитиною;</w:t>
            </w:r>
          </w:p>
          <w:p w14:paraId="272FF609" w14:textId="4BAA12FB" w:rsidR="002E4ED3" w:rsidRDefault="00036FCD" w:rsidP="00990B83">
            <w:pPr>
              <w:pStyle w:val="a4"/>
              <w:spacing w:line="360" w:lineRule="auto"/>
              <w:ind w:left="0"/>
              <w:jc w:val="both"/>
              <w:rPr>
                <w:rFonts w:ascii="Times New Roman" w:hAnsi="Times New Roman" w:cs="Times New Roman"/>
                <w:sz w:val="28"/>
                <w:szCs w:val="28"/>
              </w:rPr>
            </w:pPr>
            <w:r w:rsidRPr="00036FCD">
              <w:rPr>
                <w:rFonts w:ascii="Times New Roman" w:hAnsi="Times New Roman" w:cs="Times New Roman"/>
                <w:b/>
                <w:sz w:val="28"/>
                <w:szCs w:val="28"/>
                <w:lang w:val="en-US"/>
              </w:rPr>
              <w:t>J</w:t>
            </w:r>
            <w:r w:rsidRPr="00036FCD">
              <w:rPr>
                <w:rFonts w:ascii="Times New Roman" w:hAnsi="Times New Roman" w:cs="Times New Roman"/>
                <w:b/>
                <w:sz w:val="28"/>
                <w:szCs w:val="28"/>
              </w:rPr>
              <w:t>.</w:t>
            </w:r>
            <w:r w:rsidRPr="005200B8">
              <w:rPr>
                <w:rFonts w:ascii="Times New Roman" w:hAnsi="Times New Roman" w:cs="Times New Roman"/>
                <w:sz w:val="28"/>
                <w:szCs w:val="28"/>
              </w:rPr>
              <w:t xml:space="preserve"> </w:t>
            </w:r>
            <w:r>
              <w:rPr>
                <w:rFonts w:ascii="Times New Roman" w:hAnsi="Times New Roman" w:cs="Times New Roman"/>
                <w:sz w:val="28"/>
                <w:szCs w:val="28"/>
              </w:rPr>
              <w:t xml:space="preserve">оскільки ЄС та Держави члени віддані захисту, реалізації та здійснення прав людини жінками та дівчатами; оскільки гендерна рівність залишається горизонтальним пріоритетом в межах Європейською Політики Сусідства (ЄПС) та Європейського Інструменту Сусідства </w:t>
            </w:r>
            <w:r>
              <w:rPr>
                <w:rFonts w:ascii="Times New Roman" w:hAnsi="Times New Roman" w:cs="Times New Roman"/>
                <w:sz w:val="28"/>
                <w:szCs w:val="28"/>
              </w:rPr>
              <w:lastRenderedPageBreak/>
              <w:t>(ЄІС), і оскільки переглянута ЄПС повинна включати посилену підтримку громадянського суспільства та переглянутий акцент на важливості гендерної рівності; оскільки громадянське суспільство грає дуже важливу роль у досягненні гендерної рівності у Східному Партнерстві;</w:t>
            </w:r>
          </w:p>
        </w:tc>
      </w:tr>
      <w:tr w:rsidR="002E4ED3" w14:paraId="774661F8" w14:textId="77777777" w:rsidTr="002836D0">
        <w:tc>
          <w:tcPr>
            <w:tcW w:w="4814" w:type="dxa"/>
          </w:tcPr>
          <w:p w14:paraId="5E53839F" w14:textId="77777777"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Gender Equality: Normative Framework </w:t>
            </w:r>
          </w:p>
          <w:p w14:paraId="53F4FFB5" w14:textId="609DF4E3"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1. Underlines that all EU Member States and all Eastern European partners have signed and ratified the UN Convention on the Elimination of all Forms of Discrimination Against Women (CEDAW); </w:t>
            </w:r>
          </w:p>
        </w:tc>
        <w:tc>
          <w:tcPr>
            <w:tcW w:w="4815" w:type="dxa"/>
          </w:tcPr>
          <w:p w14:paraId="4D8091F0" w14:textId="77777777" w:rsidR="00036FCD" w:rsidRPr="003E241B" w:rsidRDefault="00036FCD" w:rsidP="003E241B">
            <w:pPr>
              <w:pStyle w:val="a4"/>
              <w:spacing w:line="360" w:lineRule="auto"/>
              <w:ind w:left="0"/>
              <w:jc w:val="both"/>
              <w:rPr>
                <w:rFonts w:ascii="Times New Roman" w:hAnsi="Times New Roman" w:cs="Times New Roman"/>
                <w:sz w:val="28"/>
                <w:szCs w:val="28"/>
              </w:rPr>
            </w:pPr>
            <w:bookmarkStart w:id="0" w:name="_GoBack"/>
            <w:r w:rsidRPr="003E241B">
              <w:rPr>
                <w:rFonts w:ascii="Times New Roman" w:hAnsi="Times New Roman" w:cs="Times New Roman"/>
                <w:sz w:val="28"/>
                <w:szCs w:val="28"/>
              </w:rPr>
              <w:t>Гендерна рівність: Нормативні рамки</w:t>
            </w:r>
          </w:p>
          <w:bookmarkEnd w:id="0"/>
          <w:p w14:paraId="7902B0D2" w14:textId="60FA42C1" w:rsidR="002E4ED3" w:rsidRPr="003E241B" w:rsidRDefault="00036FCD" w:rsidP="003E241B">
            <w:pPr>
              <w:pStyle w:val="a4"/>
              <w:numPr>
                <w:ilvl w:val="0"/>
                <w:numId w:val="2"/>
              </w:numPr>
              <w:spacing w:line="360" w:lineRule="auto"/>
              <w:ind w:left="0" w:firstLine="567"/>
              <w:jc w:val="both"/>
              <w:rPr>
                <w:rFonts w:ascii="Times New Roman" w:hAnsi="Times New Roman" w:cs="Times New Roman"/>
                <w:sz w:val="28"/>
                <w:szCs w:val="28"/>
              </w:rPr>
            </w:pPr>
            <w:r w:rsidRPr="00B719E1">
              <w:rPr>
                <w:rFonts w:ascii="Times New Roman" w:hAnsi="Times New Roman" w:cs="Times New Roman"/>
                <w:sz w:val="28"/>
                <w:szCs w:val="28"/>
              </w:rPr>
              <w:t xml:space="preserve">Підкреслює, </w:t>
            </w:r>
            <w:r>
              <w:rPr>
                <w:rFonts w:ascii="Times New Roman" w:hAnsi="Times New Roman" w:cs="Times New Roman"/>
                <w:sz w:val="28"/>
                <w:szCs w:val="28"/>
              </w:rPr>
              <w:t>що всі держави члени ЄС та всі партнери Східного Партнерства підписали і ратифікували Конвенцію ООН Про ліквідацію всіх форм дискримінації проти жінок;</w:t>
            </w:r>
          </w:p>
        </w:tc>
      </w:tr>
      <w:tr w:rsidR="002E4ED3" w14:paraId="6A76CCFE" w14:textId="77777777" w:rsidTr="002836D0">
        <w:tc>
          <w:tcPr>
            <w:tcW w:w="4814" w:type="dxa"/>
          </w:tcPr>
          <w:p w14:paraId="151D544B" w14:textId="07523339"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2. Recalls that while Part III (Articles 10-14) describes the economic and social rights of women, Article 11 of the Convention specifically focuses on employment: right to the same employment opportunities, right to free choice of profession, right to promotion, job security and all benefits and conditions of service, right to receive vocational training, right to equal remuneration, right to social security,  right to maternity leave and a prohibition of dismissal on the grounds of pregnancy; </w:t>
            </w:r>
          </w:p>
        </w:tc>
        <w:tc>
          <w:tcPr>
            <w:tcW w:w="4815" w:type="dxa"/>
          </w:tcPr>
          <w:p w14:paraId="6E3F49F3" w14:textId="5AAB130E" w:rsidR="002E4ED3" w:rsidRPr="00BC121D" w:rsidRDefault="00BC121D" w:rsidP="00BC121D">
            <w:pPr>
              <w:pStyle w:val="a4"/>
              <w:numPr>
                <w:ilvl w:val="0"/>
                <w:numId w:val="2"/>
              </w:numPr>
              <w:spacing w:line="360" w:lineRule="auto"/>
              <w:ind w:left="0" w:firstLine="610"/>
              <w:jc w:val="both"/>
              <w:rPr>
                <w:rFonts w:ascii="Times New Roman" w:hAnsi="Times New Roman" w:cs="Times New Roman"/>
                <w:sz w:val="28"/>
                <w:szCs w:val="28"/>
              </w:rPr>
            </w:pPr>
            <w:r w:rsidRPr="00BC121D">
              <w:rPr>
                <w:rFonts w:ascii="Times New Roman" w:hAnsi="Times New Roman" w:cs="Times New Roman"/>
                <w:sz w:val="28"/>
                <w:szCs w:val="28"/>
              </w:rPr>
              <w:t>Нагадує, що в той час як Частина 3 (Статті 10-14) описує економічні та соціальні права жінок, Стаття 11 Конвенції особливо звертає увагу на зайнятість: право на рівні можливості працевлаштування,  право на вільний вибір професії, право на просування по службі, безпеку роботи та всі переваги та умови служби, право на отримання професійної підготовки, право на рівне винагородження, право на соціальну захищеність, право на декретну відпустку та заборону звільнення на підставі вагітності</w:t>
            </w:r>
            <w:r>
              <w:rPr>
                <w:rFonts w:ascii="Times New Roman" w:hAnsi="Times New Roman" w:cs="Times New Roman"/>
                <w:sz w:val="28"/>
                <w:szCs w:val="28"/>
              </w:rPr>
              <w:t>;</w:t>
            </w:r>
          </w:p>
        </w:tc>
      </w:tr>
      <w:tr w:rsidR="002E4ED3" w14:paraId="006D66C9" w14:textId="77777777" w:rsidTr="002836D0">
        <w:tc>
          <w:tcPr>
            <w:tcW w:w="4814" w:type="dxa"/>
          </w:tcPr>
          <w:p w14:paraId="22CD7369" w14:textId="643C943D"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3. Further underlines that Articles 2 and 3(3) of the Treaty on European Union (TEU) establish gender equality as one of the main principles on which the EU is founded; Article 23 of the Charter of Fundamental Rights of the European Union furthermore states that equality between men and women must be ensured in all areas, including employment, work and pay; </w:t>
            </w:r>
          </w:p>
        </w:tc>
        <w:tc>
          <w:tcPr>
            <w:tcW w:w="4815" w:type="dxa"/>
          </w:tcPr>
          <w:p w14:paraId="3ED159C3" w14:textId="13C3A345" w:rsidR="002E4ED3" w:rsidRPr="003E241B" w:rsidRDefault="00BC121D" w:rsidP="003E241B">
            <w:pPr>
              <w:pStyle w:val="a4"/>
              <w:numPr>
                <w:ilvl w:val="0"/>
                <w:numId w:val="2"/>
              </w:numPr>
              <w:spacing w:line="360" w:lineRule="auto"/>
              <w:ind w:left="43" w:firstLine="567"/>
              <w:jc w:val="both"/>
              <w:rPr>
                <w:rFonts w:ascii="Times New Roman" w:hAnsi="Times New Roman" w:cs="Times New Roman"/>
                <w:sz w:val="28"/>
                <w:szCs w:val="28"/>
              </w:rPr>
            </w:pPr>
            <w:r w:rsidRPr="00BC121D">
              <w:rPr>
                <w:rFonts w:ascii="Times New Roman" w:hAnsi="Times New Roman" w:cs="Times New Roman"/>
                <w:sz w:val="28"/>
                <w:szCs w:val="28"/>
              </w:rPr>
              <w:t>Підкреслює далі, що Стаття 2 та 3(3) Договору про Європейський Союз встановлює гендерну рівність як один з основних принципів, на яких будується ЄС; Стаття 23 Хартії Основних Прав ЄС крім того стверджує, що рівність між жінками та чоловіками повинна бути забезпечена в усіх сферах, включаючи зайнятість, роботу та оплату;</w:t>
            </w:r>
          </w:p>
        </w:tc>
      </w:tr>
      <w:tr w:rsidR="002E4ED3" w14:paraId="785A9C68" w14:textId="77777777" w:rsidTr="002836D0">
        <w:tc>
          <w:tcPr>
            <w:tcW w:w="4814" w:type="dxa"/>
          </w:tcPr>
          <w:p w14:paraId="46267B11" w14:textId="2C1F58F5"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4. Recalls that Article 22 (TEU) stresses that the EU’s action on the international scene shall be guided by the principles which have inspired its own creation; </w:t>
            </w:r>
          </w:p>
        </w:tc>
        <w:tc>
          <w:tcPr>
            <w:tcW w:w="4815" w:type="dxa"/>
          </w:tcPr>
          <w:p w14:paraId="4D4C04A2" w14:textId="4E6EF057" w:rsidR="002E4ED3" w:rsidRDefault="00BC121D" w:rsidP="003E241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Нагадує, що Стаття 22 Договору про Європейський Союз наголошує, що дії ЄС на міжнародній арені повинні керуватися принципами, які надихнули його створення;</w:t>
            </w:r>
          </w:p>
        </w:tc>
      </w:tr>
      <w:tr w:rsidR="002E4ED3" w14:paraId="7428D46E" w14:textId="77777777" w:rsidTr="002836D0">
        <w:tc>
          <w:tcPr>
            <w:tcW w:w="4814" w:type="dxa"/>
          </w:tcPr>
          <w:p w14:paraId="21B68FD1" w14:textId="2A20E89C"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5. Stresses that the gender equality acquis which the EU has developed is an important and relevant factor in this respect; underlines that this includes both the legislation and the case law of the Court of Justice of the European Union on gender equality issues; </w:t>
            </w:r>
          </w:p>
        </w:tc>
        <w:tc>
          <w:tcPr>
            <w:tcW w:w="4815" w:type="dxa"/>
          </w:tcPr>
          <w:p w14:paraId="73B7FB19" w14:textId="5A431B59" w:rsidR="002E4ED3" w:rsidRPr="003E241B" w:rsidRDefault="00BC121D" w:rsidP="003E241B">
            <w:pPr>
              <w:pStyle w:val="a4"/>
              <w:numPr>
                <w:ilvl w:val="0"/>
                <w:numId w:val="6"/>
              </w:numPr>
              <w:spacing w:line="360" w:lineRule="auto"/>
              <w:ind w:left="0" w:firstLine="610"/>
              <w:jc w:val="both"/>
              <w:rPr>
                <w:rFonts w:ascii="Times New Roman" w:hAnsi="Times New Roman" w:cs="Times New Roman"/>
                <w:sz w:val="28"/>
                <w:szCs w:val="28"/>
              </w:rPr>
            </w:pPr>
            <w:r w:rsidRPr="00BC121D">
              <w:rPr>
                <w:rFonts w:ascii="Times New Roman" w:hAnsi="Times New Roman" w:cs="Times New Roman"/>
                <w:sz w:val="28"/>
                <w:szCs w:val="28"/>
              </w:rPr>
              <w:t>Наголошує, що правова база гендерної рівності, яку розробив ЄС, є важливим та доречним фактором у цьому відношенні; підкреслює, що це включає і законодавство, і прецедентне право суду Європейського Союзу щодо питань гендерної рівності;</w:t>
            </w:r>
          </w:p>
        </w:tc>
      </w:tr>
      <w:tr w:rsidR="002E4ED3" w14:paraId="7399FECD" w14:textId="77777777" w:rsidTr="002836D0">
        <w:tc>
          <w:tcPr>
            <w:tcW w:w="4814" w:type="dxa"/>
          </w:tcPr>
          <w:p w14:paraId="520588B9" w14:textId="616AFA74"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6. At the same time, strongly believes that room for further improvement on gender equality issues exists in both the EU and the Eastern European partners, and that the exchange of good practices could be beneficial for all; </w:t>
            </w:r>
          </w:p>
        </w:tc>
        <w:tc>
          <w:tcPr>
            <w:tcW w:w="4815" w:type="dxa"/>
          </w:tcPr>
          <w:p w14:paraId="395B034A" w14:textId="67FC6E22" w:rsidR="002E4ED3" w:rsidRPr="00BC121D" w:rsidRDefault="00BC121D" w:rsidP="00BC121D">
            <w:pPr>
              <w:pStyle w:val="a4"/>
              <w:numPr>
                <w:ilvl w:val="0"/>
                <w:numId w:val="6"/>
              </w:numPr>
              <w:spacing w:line="360" w:lineRule="auto"/>
              <w:ind w:left="43" w:firstLine="567"/>
              <w:jc w:val="both"/>
              <w:rPr>
                <w:rFonts w:ascii="Times New Roman" w:hAnsi="Times New Roman" w:cs="Times New Roman"/>
                <w:sz w:val="28"/>
                <w:szCs w:val="28"/>
              </w:rPr>
            </w:pPr>
            <w:r w:rsidRPr="00BC121D">
              <w:rPr>
                <w:rFonts w:ascii="Times New Roman" w:hAnsi="Times New Roman" w:cs="Times New Roman"/>
                <w:sz w:val="28"/>
                <w:szCs w:val="28"/>
              </w:rPr>
              <w:t>В той же час, твердо вірить, що простір для подальшого покращення питань гендерної рівності існує як в ЄС, так і в Східноєвропейських партнерах, і що</w:t>
            </w:r>
            <w:r w:rsidR="003E241B">
              <w:rPr>
                <w:rFonts w:ascii="Times New Roman" w:hAnsi="Times New Roman" w:cs="Times New Roman"/>
                <w:sz w:val="28"/>
                <w:szCs w:val="28"/>
              </w:rPr>
              <w:t xml:space="preserve"> </w:t>
            </w:r>
            <w:r w:rsidRPr="00BC121D">
              <w:rPr>
                <w:rFonts w:ascii="Times New Roman" w:hAnsi="Times New Roman" w:cs="Times New Roman"/>
                <w:sz w:val="28"/>
                <w:szCs w:val="28"/>
              </w:rPr>
              <w:t>обмін передовими практиками буде вигідним для обох сторін;</w:t>
            </w:r>
          </w:p>
        </w:tc>
      </w:tr>
      <w:tr w:rsidR="002E4ED3" w14:paraId="036B7773" w14:textId="77777777" w:rsidTr="002836D0">
        <w:tc>
          <w:tcPr>
            <w:tcW w:w="4814" w:type="dxa"/>
          </w:tcPr>
          <w:p w14:paraId="53AA5598" w14:textId="77777777"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Trends in the Eastern European partners </w:t>
            </w:r>
          </w:p>
          <w:p w14:paraId="48A29AB5" w14:textId="77777777"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w:t>
            </w:r>
          </w:p>
          <w:p w14:paraId="6F3C8207" w14:textId="05694E59"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7. Understands that the situation of women in the labour markets of the Eastern European partners knows national or local differentiation, but nonetheless feels that some common trends can be identified, such as comparatively small gaps in male/female employment rates, a high level of education or the concentration of women in specific sectors of the economy; </w:t>
            </w:r>
          </w:p>
        </w:tc>
        <w:tc>
          <w:tcPr>
            <w:tcW w:w="4815" w:type="dxa"/>
          </w:tcPr>
          <w:p w14:paraId="0E8F590F" w14:textId="77777777" w:rsidR="00BC121D" w:rsidRPr="003E241B" w:rsidRDefault="00BC121D" w:rsidP="003E241B">
            <w:pPr>
              <w:pStyle w:val="a4"/>
              <w:spacing w:line="360" w:lineRule="auto"/>
              <w:ind w:left="0" w:firstLine="43"/>
              <w:jc w:val="both"/>
              <w:rPr>
                <w:rFonts w:ascii="Times New Roman" w:hAnsi="Times New Roman" w:cs="Times New Roman"/>
                <w:sz w:val="28"/>
                <w:szCs w:val="28"/>
              </w:rPr>
            </w:pPr>
            <w:r w:rsidRPr="003E241B">
              <w:rPr>
                <w:rFonts w:ascii="Times New Roman" w:hAnsi="Times New Roman" w:cs="Times New Roman"/>
                <w:sz w:val="28"/>
                <w:szCs w:val="28"/>
              </w:rPr>
              <w:t>Тенденції в Східноєвропейських партнерах:</w:t>
            </w:r>
          </w:p>
          <w:p w14:paraId="7412C152" w14:textId="71B70486" w:rsidR="002E4ED3" w:rsidRPr="003E241B" w:rsidRDefault="00BC121D" w:rsidP="003E241B">
            <w:pPr>
              <w:pStyle w:val="a4"/>
              <w:numPr>
                <w:ilvl w:val="0"/>
                <w:numId w:val="6"/>
              </w:numPr>
              <w:spacing w:line="360" w:lineRule="auto"/>
              <w:ind w:left="0" w:firstLine="610"/>
              <w:jc w:val="both"/>
              <w:rPr>
                <w:rFonts w:ascii="Times New Roman" w:hAnsi="Times New Roman" w:cs="Times New Roman"/>
                <w:sz w:val="28"/>
                <w:szCs w:val="28"/>
              </w:rPr>
            </w:pPr>
            <w:r w:rsidRPr="00BC121D">
              <w:rPr>
                <w:rFonts w:ascii="Times New Roman" w:hAnsi="Times New Roman" w:cs="Times New Roman"/>
                <w:sz w:val="28"/>
                <w:szCs w:val="28"/>
              </w:rPr>
              <w:t>Розуміє, що стан жінок на ринку праці в Східноєвропейських партнерах зазнає національної та місцевої диференціації, але тим не менш відчуває, що деякі спільні тенденції можуть бути визначені, такі як порівняно невеликі прогалини в рівнях чоловічої/жіночої зайнятості, високий рівень освіти або концентрація жінок в певних секторах економіки;</w:t>
            </w:r>
          </w:p>
        </w:tc>
      </w:tr>
      <w:tr w:rsidR="002E4ED3" w14:paraId="45A71E23" w14:textId="77777777" w:rsidTr="002836D0">
        <w:tc>
          <w:tcPr>
            <w:tcW w:w="4814" w:type="dxa"/>
          </w:tcPr>
          <w:p w14:paraId="173E7A5B" w14:textId="750E9C0C"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8. Reminds that according to the World Economic Forum Global Gender Gap Report and its Economic Participation and Opportunity sub index, which measures the average of several factors, including labour force participation or wage equality Eastern European partners score from 66 (Armenia) to 74 (Moldova) – a more homogenous, thus, group than EU countries, which score from 67 (Hungary) to 85 (Finland); </w:t>
            </w:r>
          </w:p>
        </w:tc>
        <w:tc>
          <w:tcPr>
            <w:tcW w:w="4815" w:type="dxa"/>
          </w:tcPr>
          <w:p w14:paraId="52E8BCFD" w14:textId="214C0E33" w:rsidR="002E4ED3" w:rsidRPr="003E241B" w:rsidRDefault="00BC121D" w:rsidP="003E241B">
            <w:pPr>
              <w:pStyle w:val="a4"/>
              <w:numPr>
                <w:ilvl w:val="0"/>
                <w:numId w:val="6"/>
              </w:numPr>
              <w:spacing w:line="360" w:lineRule="auto"/>
              <w:ind w:left="0" w:firstLine="709"/>
              <w:jc w:val="both"/>
              <w:rPr>
                <w:rFonts w:ascii="Times New Roman" w:hAnsi="Times New Roman" w:cs="Times New Roman"/>
                <w:sz w:val="28"/>
                <w:szCs w:val="28"/>
              </w:rPr>
            </w:pPr>
            <w:r w:rsidRPr="00BC121D">
              <w:rPr>
                <w:rFonts w:ascii="Times New Roman" w:hAnsi="Times New Roman" w:cs="Times New Roman"/>
                <w:sz w:val="28"/>
                <w:szCs w:val="28"/>
              </w:rPr>
              <w:t>Нагадує, що відповідно до Доповіді Світового Економічного Форуму щодо Глобального Гендерного Розриву та його підіндексу Економічної Участі та Можливостей, що вимірює середнє значення деяких факторів, включаючи участь у робочій силі або рівність заробітної плати, Східноєвропейські партнери оцінюються від 66 (Вірменія) до 74 (Молдова) – більш гомогенні, ніж група країн Європейського Союзу, що оцінюються від 67 (Угорщина) до 85 (Фінляндія);</w:t>
            </w:r>
          </w:p>
        </w:tc>
      </w:tr>
      <w:tr w:rsidR="002E4ED3" w14:paraId="3459E307" w14:textId="77777777" w:rsidTr="002836D0">
        <w:tc>
          <w:tcPr>
            <w:tcW w:w="4814" w:type="dxa"/>
          </w:tcPr>
          <w:p w14:paraId="753D4051" w14:textId="36BCC614"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9. Welcomes, thus, the relatively high level of women’s integration in the labour force in the countries of the </w:t>
            </w:r>
            <w:r w:rsidRPr="00B85C7F">
              <w:rPr>
                <w:rFonts w:ascii="Times New Roman" w:hAnsi="Times New Roman" w:cs="Times New Roman"/>
                <w:sz w:val="28"/>
                <w:szCs w:val="28"/>
              </w:rPr>
              <w:lastRenderedPageBreak/>
              <w:t>Eastern Partnership, which is likely to be due to their common historical experiences; regrets, however, the fact that women’s participation in the labour force seems to have been declining over the past decades as a result of the retraditionalisation process observed in the partner countries;</w:t>
            </w:r>
          </w:p>
        </w:tc>
        <w:tc>
          <w:tcPr>
            <w:tcW w:w="4815" w:type="dxa"/>
          </w:tcPr>
          <w:p w14:paraId="49D96739" w14:textId="4B620E6E" w:rsidR="002E4ED3" w:rsidRPr="003E241B" w:rsidRDefault="00BC121D" w:rsidP="003E241B">
            <w:pPr>
              <w:pStyle w:val="a4"/>
              <w:numPr>
                <w:ilvl w:val="0"/>
                <w:numId w:val="6"/>
              </w:numPr>
              <w:spacing w:line="360" w:lineRule="auto"/>
              <w:ind w:left="43" w:firstLine="567"/>
              <w:jc w:val="both"/>
              <w:rPr>
                <w:rFonts w:ascii="Times New Roman" w:hAnsi="Times New Roman" w:cs="Times New Roman"/>
                <w:sz w:val="28"/>
                <w:szCs w:val="28"/>
              </w:rPr>
            </w:pPr>
            <w:r w:rsidRPr="00BC121D">
              <w:rPr>
                <w:rFonts w:ascii="Times New Roman" w:hAnsi="Times New Roman" w:cs="Times New Roman"/>
                <w:sz w:val="28"/>
                <w:szCs w:val="28"/>
              </w:rPr>
              <w:lastRenderedPageBreak/>
              <w:t xml:space="preserve">Вітає, таким чином, відносно високий рівень жіночої інтеграції в робочій силі в країнах </w:t>
            </w:r>
            <w:r w:rsidRPr="00BC121D">
              <w:rPr>
                <w:rFonts w:ascii="Times New Roman" w:hAnsi="Times New Roman" w:cs="Times New Roman"/>
                <w:sz w:val="28"/>
                <w:szCs w:val="28"/>
              </w:rPr>
              <w:lastRenderedPageBreak/>
              <w:t>Східного Партнерства, що ймовірно є наслідком їх спільного історичного досвіду; шкодує, однак, щодо факту, що участь жінок у робочій силі має тенденцію знижуватися впродовж останніх десятиліть як результат процесу ретрадиціоналізації, що спостерігається в країнах партнерах;</w:t>
            </w:r>
          </w:p>
        </w:tc>
      </w:tr>
      <w:tr w:rsidR="002E4ED3" w14:paraId="5C36472E" w14:textId="77777777" w:rsidTr="002836D0">
        <w:tc>
          <w:tcPr>
            <w:tcW w:w="4814" w:type="dxa"/>
          </w:tcPr>
          <w:p w14:paraId="7FF91E20" w14:textId="39330C7E"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10. Underlines that while some variations remain between Eastern European partners, a lack of standardized official statistics may contribute to disparities being hidden, such as de facto inactivity (isolation from the labour market) and poverty of women on long periods of maternity leaves and early retirements; likewise, other possible disparities can be observed in terms of differences in job security, or respect for labour rights and wages, especially between the formal and informal and private and public sectors; </w:t>
            </w:r>
          </w:p>
        </w:tc>
        <w:tc>
          <w:tcPr>
            <w:tcW w:w="4815" w:type="dxa"/>
          </w:tcPr>
          <w:p w14:paraId="1305AFCF" w14:textId="378B5758" w:rsidR="002E4ED3" w:rsidRPr="003E241B" w:rsidRDefault="00BC121D" w:rsidP="003E241B">
            <w:pPr>
              <w:pStyle w:val="a4"/>
              <w:numPr>
                <w:ilvl w:val="0"/>
                <w:numId w:val="6"/>
              </w:numPr>
              <w:spacing w:line="360" w:lineRule="auto"/>
              <w:ind w:left="0" w:firstLine="610"/>
              <w:jc w:val="both"/>
              <w:rPr>
                <w:rFonts w:ascii="Times New Roman" w:hAnsi="Times New Roman" w:cs="Times New Roman"/>
                <w:sz w:val="28"/>
                <w:szCs w:val="28"/>
              </w:rPr>
            </w:pPr>
            <w:r w:rsidRPr="00BC121D">
              <w:rPr>
                <w:rFonts w:ascii="Times New Roman" w:hAnsi="Times New Roman" w:cs="Times New Roman"/>
                <w:sz w:val="28"/>
                <w:szCs w:val="28"/>
              </w:rPr>
              <w:t>Підкреслює, що в той час як деякі варіації залишаються між країнами Східного Партнерства, відсутність стандартизованої офіційної статистики може сприяти приховуванню диспропорцій, наприклад бездіяльність де-факто (ізоляція від ринку праці) та бідність жінок впродовж довгого періоду відпустки по вагітності та дострокового виходу на пенсію; так само, інші можливі диспропорції можна спостерігати з точки зору відмінностей в безпеці роботи, або повазі до трудових прав та заробітної платні, особливо між формальним та неформальним та приватним та публічним секторами;</w:t>
            </w:r>
          </w:p>
        </w:tc>
      </w:tr>
      <w:tr w:rsidR="002E4ED3" w14:paraId="7FD161C6" w14:textId="77777777" w:rsidTr="002836D0">
        <w:tc>
          <w:tcPr>
            <w:tcW w:w="4814" w:type="dxa"/>
          </w:tcPr>
          <w:p w14:paraId="441011D0" w14:textId="5ED94AD8"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11. Regrets that the gender pay gap remains high and can be as much as 50 %, despite the fact that a higher proportion of young women than men gain a university education in some of the </w:t>
            </w:r>
            <w:r w:rsidRPr="00B85C7F">
              <w:rPr>
                <w:rFonts w:ascii="Times New Roman" w:hAnsi="Times New Roman" w:cs="Times New Roman"/>
                <w:sz w:val="28"/>
                <w:szCs w:val="28"/>
              </w:rPr>
              <w:lastRenderedPageBreak/>
              <w:t xml:space="preserve">Eastern Partnership countries, with women encountering a number of cultural and sociological barriers in their access to managerial positions, as is also often the case in the EU; </w:t>
            </w:r>
          </w:p>
        </w:tc>
        <w:tc>
          <w:tcPr>
            <w:tcW w:w="4815" w:type="dxa"/>
          </w:tcPr>
          <w:p w14:paraId="378837CC" w14:textId="589E74E3" w:rsidR="002E4ED3" w:rsidRDefault="00BC121D" w:rsidP="003E241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r>
              <w:rPr>
                <w:rFonts w:ascii="Times New Roman" w:hAnsi="Times New Roman" w:cs="Times New Roman"/>
                <w:sz w:val="28"/>
                <w:szCs w:val="28"/>
              </w:rPr>
              <w:t xml:space="preserve">Шкодує, що розрив в оплаті праці чоловіків та жінок залишається високим і може дорівнювати 50%, незважаючи на той факт, що більша частка молодих жінок отримує освіту </w:t>
            </w:r>
            <w:r>
              <w:rPr>
                <w:rFonts w:ascii="Times New Roman" w:hAnsi="Times New Roman" w:cs="Times New Roman"/>
                <w:sz w:val="28"/>
                <w:szCs w:val="28"/>
              </w:rPr>
              <w:lastRenderedPageBreak/>
              <w:t>в університеті в деяких країнах Східного партнерства, жінки зіштовхуються з великою кількістю культурних та соціологічних бар</w:t>
            </w:r>
            <w:r w:rsidRPr="00C35330">
              <w:rPr>
                <w:rFonts w:ascii="Times New Roman" w:hAnsi="Times New Roman" w:cs="Times New Roman"/>
                <w:sz w:val="28"/>
                <w:szCs w:val="28"/>
              </w:rPr>
              <w:t>’</w:t>
            </w:r>
            <w:r>
              <w:rPr>
                <w:rFonts w:ascii="Times New Roman" w:hAnsi="Times New Roman" w:cs="Times New Roman"/>
                <w:sz w:val="28"/>
                <w:szCs w:val="28"/>
              </w:rPr>
              <w:t>єрів в їх доступі до керівних посад, що також часто відбувається в ЄС;</w:t>
            </w:r>
          </w:p>
        </w:tc>
      </w:tr>
      <w:tr w:rsidR="002E4ED3" w14:paraId="25B8FFA1" w14:textId="77777777" w:rsidTr="002836D0">
        <w:tc>
          <w:tcPr>
            <w:tcW w:w="4814" w:type="dxa"/>
          </w:tcPr>
          <w:p w14:paraId="486C583A" w14:textId="1D542753"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12. Stresses that female entrepreneurship may additionally be hindered by stereotypes, limited access to capital and networks, corruption and sometimes high regulatory burdens; as in the EU, women are also burdened by the second shift of unpaid domestic work, which has, in some cases, been exacerbated by the rollback of social security programmes, after the transition to a market economy; </w:t>
            </w:r>
          </w:p>
        </w:tc>
        <w:tc>
          <w:tcPr>
            <w:tcW w:w="4815" w:type="dxa"/>
          </w:tcPr>
          <w:p w14:paraId="3A983EB6" w14:textId="492991C8" w:rsidR="002E4ED3" w:rsidRPr="003E241B" w:rsidRDefault="00990B83" w:rsidP="003E241B">
            <w:pPr>
              <w:pStyle w:val="a4"/>
              <w:numPr>
                <w:ilvl w:val="0"/>
                <w:numId w:val="12"/>
              </w:numPr>
              <w:spacing w:line="360" w:lineRule="auto"/>
              <w:ind w:left="0" w:firstLine="610"/>
              <w:jc w:val="both"/>
              <w:rPr>
                <w:rFonts w:ascii="Times New Roman" w:hAnsi="Times New Roman" w:cs="Times New Roman"/>
                <w:sz w:val="28"/>
                <w:szCs w:val="28"/>
              </w:rPr>
            </w:pPr>
            <w:r w:rsidRPr="00990B83">
              <w:rPr>
                <w:rFonts w:ascii="Times New Roman" w:hAnsi="Times New Roman" w:cs="Times New Roman"/>
                <w:sz w:val="28"/>
                <w:szCs w:val="28"/>
              </w:rPr>
              <w:t>Наголошує на тому, що стереотипи, обмежений доступ до капіталу та мереж, корупція та інколи високі нормативні обтяження можуть додатково перешкоджати жіноче підприємництво; так як в ЄС, жінки також навантажені другою посадою неоплачуваної домашньої роботи, що, в деяких випадках, посилювалося згортанням програм соціального захисту, після переходу до ринкової економіки;</w:t>
            </w:r>
          </w:p>
        </w:tc>
      </w:tr>
      <w:tr w:rsidR="002E4ED3" w14:paraId="784EC49D" w14:textId="77777777" w:rsidTr="002836D0">
        <w:tc>
          <w:tcPr>
            <w:tcW w:w="4814" w:type="dxa"/>
          </w:tcPr>
          <w:p w14:paraId="7DAC2F21" w14:textId="6E9C9096"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13. Furthermore underlines that unemployment, underemployment, as well as insecure and underpaid jobs may put women at risk of prolonged poverty; fears that this may lead to irregular migration and to women becoming the victims of smugglers and traffickers; particularly stresses that vulnerable groups, such as Roma women, are at an accrued risk and that only low numbers of Romani trafficked women or children denounce their traffickers and access the </w:t>
            </w:r>
            <w:r w:rsidRPr="00B85C7F">
              <w:rPr>
                <w:rFonts w:ascii="Times New Roman" w:hAnsi="Times New Roman" w:cs="Times New Roman"/>
                <w:sz w:val="28"/>
                <w:szCs w:val="28"/>
              </w:rPr>
              <w:lastRenderedPageBreak/>
              <w:t xml:space="preserve">victim prevention and protection services; </w:t>
            </w:r>
          </w:p>
        </w:tc>
        <w:tc>
          <w:tcPr>
            <w:tcW w:w="4815" w:type="dxa"/>
          </w:tcPr>
          <w:p w14:paraId="519911DA" w14:textId="4C43C989" w:rsidR="002E4ED3" w:rsidRPr="003E241B" w:rsidRDefault="00990B83" w:rsidP="003E241B">
            <w:pPr>
              <w:pStyle w:val="a4"/>
              <w:numPr>
                <w:ilvl w:val="0"/>
                <w:numId w:val="12"/>
              </w:numPr>
              <w:spacing w:line="360" w:lineRule="auto"/>
              <w:ind w:left="0" w:firstLine="610"/>
              <w:jc w:val="both"/>
              <w:rPr>
                <w:rFonts w:ascii="Times New Roman" w:hAnsi="Times New Roman" w:cs="Times New Roman"/>
                <w:sz w:val="28"/>
                <w:szCs w:val="28"/>
              </w:rPr>
            </w:pPr>
            <w:r w:rsidRPr="00990B83">
              <w:rPr>
                <w:rFonts w:ascii="Times New Roman" w:hAnsi="Times New Roman" w:cs="Times New Roman"/>
                <w:sz w:val="28"/>
                <w:szCs w:val="28"/>
              </w:rPr>
              <w:lastRenderedPageBreak/>
              <w:t xml:space="preserve">Далі підкреслює, що неповна зайнятість, а також незахищені або недоплачувані роботи можуть поставити жінок під загрозу тривалої бідності; висловлює острах, що це може призвести до незаконної міграції та перетворення жінок на жертв контрабандистів та торговців людьми; особливо наголошує, що вразливі групи, як наприклад Ромські жінки, знаходяться під постійною загрозою, і що тільки низька кількість Ромських жінок, що були продані у </w:t>
            </w:r>
            <w:r w:rsidRPr="00990B83">
              <w:rPr>
                <w:rFonts w:ascii="Times New Roman" w:hAnsi="Times New Roman" w:cs="Times New Roman"/>
                <w:sz w:val="28"/>
                <w:szCs w:val="28"/>
              </w:rPr>
              <w:lastRenderedPageBreak/>
              <w:t>рабство, викривають їх торговців людьми та мають доступ до послуг попередження та захисту жертв;</w:t>
            </w:r>
          </w:p>
        </w:tc>
      </w:tr>
      <w:tr w:rsidR="002E4ED3" w14:paraId="7F74A0C0" w14:textId="77777777" w:rsidTr="002836D0">
        <w:tc>
          <w:tcPr>
            <w:tcW w:w="4814" w:type="dxa"/>
          </w:tcPr>
          <w:p w14:paraId="062C2FCF" w14:textId="17E5BD20"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14. Underlines that the different categories of migrant women from Eastern European partners who, as workers, are in low-paid jobs, and who may never acquire eligibility for permanent stay or citizenship, unlike professional migrant workers in the country of employment may be at high risk of abuse and discrimination; fears that this may cause a serious problems with the access to health services, including reproductive health services, because insurance or national health schemes are not available to them, or they may have to pay unaffordable fees;</w:t>
            </w:r>
          </w:p>
        </w:tc>
        <w:tc>
          <w:tcPr>
            <w:tcW w:w="4815" w:type="dxa"/>
          </w:tcPr>
          <w:p w14:paraId="6832C9CD" w14:textId="1A8BB963" w:rsidR="002E4ED3" w:rsidRPr="00990B83" w:rsidRDefault="00990B83" w:rsidP="00990B83">
            <w:pPr>
              <w:pStyle w:val="a4"/>
              <w:numPr>
                <w:ilvl w:val="0"/>
                <w:numId w:val="12"/>
              </w:numPr>
              <w:spacing w:line="360" w:lineRule="auto"/>
              <w:ind w:left="43" w:firstLine="567"/>
              <w:jc w:val="both"/>
              <w:rPr>
                <w:rFonts w:ascii="Times New Roman" w:hAnsi="Times New Roman" w:cs="Times New Roman"/>
                <w:sz w:val="28"/>
                <w:szCs w:val="28"/>
              </w:rPr>
            </w:pPr>
            <w:r w:rsidRPr="00990B83">
              <w:rPr>
                <w:rFonts w:ascii="Times New Roman" w:hAnsi="Times New Roman" w:cs="Times New Roman"/>
                <w:sz w:val="28"/>
                <w:szCs w:val="28"/>
              </w:rPr>
              <w:t>Підкреслює, що різні категорії жінок мігрантів зі Східноєвропейських партнерів, які, як працівники, знаходяться на низькоооплачуваних робочих місцях, можуть ніколи не набути права на постійне місце проживання, на відміну від професіональних трудових мігрантів в країні зайнятості, що можуть знаходитися під загрозою зловживання та дискримінації; висловлює острах, що це може спричинити серйозні проблеми з доступом до медичних послуг, включаючи послуги з репродуктивного здоров'я, тому що страхування або національні системи медичного обслуговування недоступні для них, або вони повинні платити непосильні збори;</w:t>
            </w:r>
          </w:p>
        </w:tc>
      </w:tr>
      <w:tr w:rsidR="002E4ED3" w14:paraId="461FB848" w14:textId="77777777" w:rsidTr="002836D0">
        <w:tc>
          <w:tcPr>
            <w:tcW w:w="4814" w:type="dxa"/>
          </w:tcPr>
          <w:p w14:paraId="32882615" w14:textId="77777777"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EU- Eastern European partners cooperation in the field </w:t>
            </w:r>
          </w:p>
          <w:p w14:paraId="002A29B7" w14:textId="77A790C9" w:rsidR="002E4ED3" w:rsidRPr="00B85C7F" w:rsidRDefault="002E4ED3"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15. Welcomes the fact that, within the ENP’s Strategic Priorities for 2014-2020, gender equality has been emphasised as a cross-cutting issue that has to be addressed and mainstreamed in all relevant activities; </w:t>
            </w:r>
          </w:p>
        </w:tc>
        <w:tc>
          <w:tcPr>
            <w:tcW w:w="4815" w:type="dxa"/>
          </w:tcPr>
          <w:p w14:paraId="18A737DD" w14:textId="77777777" w:rsidR="00990B83" w:rsidRDefault="00990B83" w:rsidP="00990B83">
            <w:pPr>
              <w:spacing w:line="360" w:lineRule="auto"/>
              <w:jc w:val="both"/>
              <w:rPr>
                <w:rFonts w:ascii="Times New Roman" w:hAnsi="Times New Roman" w:cs="Times New Roman"/>
                <w:sz w:val="28"/>
                <w:szCs w:val="28"/>
              </w:rPr>
            </w:pPr>
            <w:r>
              <w:rPr>
                <w:rFonts w:ascii="Times New Roman" w:hAnsi="Times New Roman" w:cs="Times New Roman"/>
                <w:sz w:val="28"/>
                <w:szCs w:val="28"/>
              </w:rPr>
              <w:t>Співробітництво ЄС та Східного Партнерства у сфері</w:t>
            </w:r>
          </w:p>
          <w:p w14:paraId="6C8F0780" w14:textId="3500EEB8" w:rsidR="002E4ED3" w:rsidRPr="00990B83" w:rsidRDefault="00990B83" w:rsidP="00990B83">
            <w:pPr>
              <w:pStyle w:val="a4"/>
              <w:numPr>
                <w:ilvl w:val="0"/>
                <w:numId w:val="12"/>
              </w:numPr>
              <w:spacing w:line="360" w:lineRule="auto"/>
              <w:ind w:left="43" w:firstLine="567"/>
              <w:jc w:val="both"/>
              <w:rPr>
                <w:rFonts w:ascii="Times New Roman" w:hAnsi="Times New Roman" w:cs="Times New Roman"/>
                <w:sz w:val="28"/>
                <w:szCs w:val="28"/>
              </w:rPr>
            </w:pPr>
            <w:r w:rsidRPr="00990B83">
              <w:rPr>
                <w:rFonts w:ascii="Times New Roman" w:hAnsi="Times New Roman" w:cs="Times New Roman"/>
                <w:sz w:val="28"/>
                <w:szCs w:val="28"/>
              </w:rPr>
              <w:t xml:space="preserve">Вітає той факт, що в межах Стратегічних Пріоритетів Політики Європейського Сусідства на 2014-2020 рік, гендерна рівність наголошувалась як наскрізне питання, що повинно бути вирішено та </w:t>
            </w:r>
            <w:r w:rsidRPr="00990B83">
              <w:rPr>
                <w:rFonts w:ascii="Times New Roman" w:hAnsi="Times New Roman" w:cs="Times New Roman"/>
                <w:sz w:val="28"/>
                <w:szCs w:val="28"/>
              </w:rPr>
              <w:lastRenderedPageBreak/>
              <w:t>інтегровано в усіх відповідних видах діяльності;</w:t>
            </w:r>
          </w:p>
        </w:tc>
      </w:tr>
      <w:tr w:rsidR="002E4ED3" w14:paraId="1A7DA046" w14:textId="77777777" w:rsidTr="002836D0">
        <w:tc>
          <w:tcPr>
            <w:tcW w:w="4814" w:type="dxa"/>
          </w:tcPr>
          <w:p w14:paraId="7361F345" w14:textId="0F72CB52" w:rsidR="002E4ED3"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16. Further welcomes that European Neighbourhood Policy (ENP) Action Plans for all the Eastern Partnership countries (except Belarus), deal with gender equality, with a view to gradually moving towards EU standards;</w:t>
            </w:r>
          </w:p>
        </w:tc>
        <w:tc>
          <w:tcPr>
            <w:tcW w:w="4815" w:type="dxa"/>
          </w:tcPr>
          <w:p w14:paraId="0FBE8193" w14:textId="5BE2F57A" w:rsidR="002E4ED3" w:rsidRPr="00990B83" w:rsidRDefault="00990B83" w:rsidP="00990B83">
            <w:pPr>
              <w:pStyle w:val="a4"/>
              <w:numPr>
                <w:ilvl w:val="0"/>
                <w:numId w:val="12"/>
              </w:numPr>
              <w:spacing w:line="360" w:lineRule="auto"/>
              <w:ind w:left="43" w:firstLine="567"/>
              <w:jc w:val="both"/>
              <w:rPr>
                <w:rFonts w:ascii="Times New Roman" w:hAnsi="Times New Roman" w:cs="Times New Roman"/>
                <w:sz w:val="28"/>
                <w:szCs w:val="28"/>
              </w:rPr>
            </w:pPr>
            <w:r w:rsidRPr="00990B83">
              <w:rPr>
                <w:rFonts w:ascii="Times New Roman" w:hAnsi="Times New Roman" w:cs="Times New Roman"/>
                <w:sz w:val="28"/>
                <w:szCs w:val="28"/>
              </w:rPr>
              <w:t>Далі вітає, що Плани Дій Європейської Політики Сусідства для всіх країн Східного Партнерства (за винятком Білорусі) займаються питаннями гендерної рівності, з метою поступового просування до стандартів ЄС;</w:t>
            </w:r>
          </w:p>
        </w:tc>
      </w:tr>
      <w:tr w:rsidR="002E4ED3" w14:paraId="27D611D4" w14:textId="77777777" w:rsidTr="002836D0">
        <w:tc>
          <w:tcPr>
            <w:tcW w:w="4814" w:type="dxa"/>
          </w:tcPr>
          <w:p w14:paraId="251F11B5" w14:textId="42A3BC0C" w:rsidR="002E4ED3"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17. Is encouraged by the fact that the Association Agreements with Ukraine, Moldova and Georgia all contain articles covering the gender equality dimension and list the EU directives to which the countries should align their legislation within the next few years; underlines the value of seeing specific rights being thus entrenched in the collective acquis across the European continent, on issues such as equal treatment in employment and occupation, on parental leave, on encouraging improvements in the safety and health at work of pregnant workers and on matters of social security; </w:t>
            </w:r>
          </w:p>
        </w:tc>
        <w:tc>
          <w:tcPr>
            <w:tcW w:w="4815" w:type="dxa"/>
          </w:tcPr>
          <w:p w14:paraId="33F70DB8" w14:textId="5547598C" w:rsidR="002E4ED3" w:rsidRPr="00990B83" w:rsidRDefault="00990B83" w:rsidP="00990B83">
            <w:pPr>
              <w:pStyle w:val="a4"/>
              <w:numPr>
                <w:ilvl w:val="0"/>
                <w:numId w:val="12"/>
              </w:numPr>
              <w:spacing w:line="360" w:lineRule="auto"/>
              <w:ind w:left="0" w:firstLine="610"/>
              <w:jc w:val="both"/>
              <w:rPr>
                <w:rFonts w:ascii="Times New Roman" w:hAnsi="Times New Roman" w:cs="Times New Roman"/>
                <w:sz w:val="28"/>
                <w:szCs w:val="28"/>
              </w:rPr>
            </w:pPr>
            <w:r w:rsidRPr="00990B83">
              <w:rPr>
                <w:rFonts w:ascii="Times New Roman" w:hAnsi="Times New Roman" w:cs="Times New Roman"/>
                <w:sz w:val="28"/>
                <w:szCs w:val="28"/>
              </w:rPr>
              <w:t>Заохочується фактом, що Угоди про Асоціацію з Україною, Молдовою та Грузією включають статті, що стосуються аспекту гендерної рівності та мають перелік директив ЄС, у відповідність до яких країни повинні пристосувати своє законодавство впродовж наступних років; підкреслює цінність бачення конкретних прав, що закріплені в колективних правових базах на європейському континенті, щодо питань рівного ставлення у працевлаштуванні та професії, батьківської відпустки, заохочення покращень в сфері безпеки та здоров’я на роботі вагітних працівниць та пита</w:t>
            </w:r>
            <w:r>
              <w:rPr>
                <w:rFonts w:ascii="Times New Roman" w:hAnsi="Times New Roman" w:cs="Times New Roman"/>
                <w:sz w:val="28"/>
                <w:szCs w:val="28"/>
              </w:rPr>
              <w:t>н</w:t>
            </w:r>
            <w:r w:rsidRPr="00990B83">
              <w:rPr>
                <w:rFonts w:ascii="Times New Roman" w:hAnsi="Times New Roman" w:cs="Times New Roman"/>
                <w:sz w:val="28"/>
                <w:szCs w:val="28"/>
              </w:rPr>
              <w:t>ь соціального захисту;</w:t>
            </w:r>
          </w:p>
        </w:tc>
      </w:tr>
      <w:tr w:rsidR="002E4ED3" w14:paraId="1C6019D0" w14:textId="77777777" w:rsidTr="002836D0">
        <w:tc>
          <w:tcPr>
            <w:tcW w:w="4814" w:type="dxa"/>
          </w:tcPr>
          <w:p w14:paraId="440AAA49" w14:textId="76B41A71" w:rsidR="002E4ED3"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18. Stresses, however, that such elements are lacking from the Partnership and Cooperation Agreements the EC had negotiated with Armenia and Azerbaijan </w:t>
            </w:r>
            <w:r w:rsidRPr="00B85C7F">
              <w:rPr>
                <w:rFonts w:ascii="Times New Roman" w:hAnsi="Times New Roman" w:cs="Times New Roman"/>
                <w:sz w:val="28"/>
                <w:szCs w:val="28"/>
              </w:rPr>
              <w:lastRenderedPageBreak/>
              <w:t xml:space="preserve">in the late nineties; welcomes the initialled EU-Armenia Comprehensive and Enhanced Partnership Agreement to be signed in November 2017 in Brussels, and the ongoing negotiations for the EU-Azerbaijan Comprehensive and Enhanced Partnership Agreement, and trusts that the new Agreements will include a gender-specific dimension; </w:t>
            </w:r>
          </w:p>
        </w:tc>
        <w:tc>
          <w:tcPr>
            <w:tcW w:w="4815" w:type="dxa"/>
          </w:tcPr>
          <w:p w14:paraId="68338AC8" w14:textId="640148E0" w:rsidR="002E4ED3" w:rsidRPr="00990B83" w:rsidRDefault="00990B83" w:rsidP="00990B83">
            <w:pPr>
              <w:pStyle w:val="a4"/>
              <w:numPr>
                <w:ilvl w:val="0"/>
                <w:numId w:val="12"/>
              </w:numPr>
              <w:spacing w:line="360" w:lineRule="auto"/>
              <w:ind w:left="43" w:firstLine="567"/>
              <w:jc w:val="both"/>
              <w:rPr>
                <w:rFonts w:ascii="Times New Roman" w:hAnsi="Times New Roman" w:cs="Times New Roman"/>
                <w:sz w:val="28"/>
                <w:szCs w:val="28"/>
              </w:rPr>
            </w:pPr>
            <w:r w:rsidRPr="00990B83">
              <w:rPr>
                <w:rFonts w:ascii="Times New Roman" w:hAnsi="Times New Roman" w:cs="Times New Roman"/>
                <w:sz w:val="28"/>
                <w:szCs w:val="28"/>
              </w:rPr>
              <w:lastRenderedPageBreak/>
              <w:t xml:space="preserve">Наголошує, тим не менш, що такі елементи відсутні в Угодах про Партнерство та Співробітництво, які ЄС уклало з Вірменією та </w:t>
            </w:r>
            <w:r w:rsidRPr="00990B83">
              <w:rPr>
                <w:rFonts w:ascii="Times New Roman" w:hAnsi="Times New Roman" w:cs="Times New Roman"/>
                <w:sz w:val="28"/>
                <w:szCs w:val="28"/>
              </w:rPr>
              <w:lastRenderedPageBreak/>
              <w:t>Азербайджаном в кінці 90-х років; вітає парафовану Угоду про Всебічне та Посилене Партнерство між ЄС та Вірменією, що має буде підписана в листопаді 2017 року в Брюсселі, і поточні переговори для Угоди про Всебічне та Посилене Партнерство між ЄС та Азербайджаном, і вірить, що нові Угоди будуть включати гендерний аспект;</w:t>
            </w:r>
          </w:p>
        </w:tc>
      </w:tr>
      <w:tr w:rsidR="002E4ED3" w14:paraId="5DFEB9FC" w14:textId="77777777" w:rsidTr="002836D0">
        <w:tc>
          <w:tcPr>
            <w:tcW w:w="4814" w:type="dxa"/>
          </w:tcPr>
          <w:p w14:paraId="3E313F0F" w14:textId="3D3DFF55" w:rsidR="002E4ED3"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19. Recalls that concrete projects aimed at empowering women and promoting gender equality are currently financed in the Eastern Partnership area through the EU’s European Instrument for Democracy and Human Rights (EIDHR) and the European Neighbourhood Instrument (ENI) and that EU regional assistance is focusing on promoting women entrepreneurship through designing national policies, supporting associations of women entrepreneurs and female-led SMEs as well as coaching and mentoring; </w:t>
            </w:r>
          </w:p>
        </w:tc>
        <w:tc>
          <w:tcPr>
            <w:tcW w:w="4815" w:type="dxa"/>
          </w:tcPr>
          <w:p w14:paraId="024CF925" w14:textId="05CADBCC" w:rsidR="002E4ED3" w:rsidRPr="00990B83" w:rsidRDefault="00990B83" w:rsidP="00990B83">
            <w:pPr>
              <w:pStyle w:val="a4"/>
              <w:numPr>
                <w:ilvl w:val="0"/>
                <w:numId w:val="12"/>
              </w:numPr>
              <w:spacing w:line="360" w:lineRule="auto"/>
              <w:ind w:left="0" w:firstLine="610"/>
              <w:jc w:val="both"/>
              <w:rPr>
                <w:rFonts w:ascii="Times New Roman" w:hAnsi="Times New Roman" w:cs="Times New Roman"/>
                <w:sz w:val="28"/>
                <w:szCs w:val="28"/>
              </w:rPr>
            </w:pPr>
            <w:r w:rsidRPr="00990B83">
              <w:rPr>
                <w:rFonts w:ascii="Times New Roman" w:hAnsi="Times New Roman" w:cs="Times New Roman"/>
                <w:sz w:val="28"/>
                <w:szCs w:val="28"/>
              </w:rPr>
              <w:t>Нагадує, що конкретні проекти спрямовані на розширення можливостей та просування гендерної рівності зараз фінансуються в площині Східного Партнерства через Європейський інструмент Демократії та Прав Людини та Інструмент Європейського Сусідства, і що регіональна допомога ЄС фокусується на просуванні жіночого підприємництва шляхом вироблення національної політики, підтримуючи асоціації жінок-підприємниць та керовані жінками Малі та Середні Підприємства, а також тренування та менторство;</w:t>
            </w:r>
          </w:p>
        </w:tc>
      </w:tr>
      <w:tr w:rsidR="002E4ED3" w14:paraId="3FE2733C" w14:textId="77777777" w:rsidTr="002836D0">
        <w:tc>
          <w:tcPr>
            <w:tcW w:w="4814" w:type="dxa"/>
          </w:tcPr>
          <w:p w14:paraId="191986DD" w14:textId="77777777" w:rsidR="006975A9"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Looking ahead: possible priorities for future action </w:t>
            </w:r>
          </w:p>
          <w:p w14:paraId="05FF2FEA" w14:textId="035783E3" w:rsidR="002E4ED3"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 20. Calls on the EU and Eastern European partners to expressly recognize gender equality as fundamental common </w:t>
            </w:r>
            <w:r w:rsidRPr="00B85C7F">
              <w:rPr>
                <w:rFonts w:ascii="Times New Roman" w:hAnsi="Times New Roman" w:cs="Times New Roman"/>
                <w:sz w:val="28"/>
                <w:szCs w:val="28"/>
              </w:rPr>
              <w:lastRenderedPageBreak/>
              <w:t>value and its achievement as a goal in their cooperation; stresses that while most of the challenges are common in nature for the EU and its partners, political impetus can help in contributing to a higher ranking of women’s rights and gender equality in the Eastern Partnership political priorities;</w:t>
            </w:r>
          </w:p>
        </w:tc>
        <w:tc>
          <w:tcPr>
            <w:tcW w:w="4815" w:type="dxa"/>
          </w:tcPr>
          <w:p w14:paraId="3118AF57" w14:textId="77777777" w:rsidR="00990B83" w:rsidRPr="00990B83" w:rsidRDefault="00990B83" w:rsidP="00990B83">
            <w:pPr>
              <w:pStyle w:val="a4"/>
              <w:spacing w:line="360" w:lineRule="auto"/>
              <w:ind w:left="0" w:firstLine="43"/>
              <w:jc w:val="both"/>
              <w:rPr>
                <w:rFonts w:ascii="Times New Roman" w:hAnsi="Times New Roman" w:cs="Times New Roman"/>
                <w:sz w:val="28"/>
                <w:szCs w:val="28"/>
              </w:rPr>
            </w:pPr>
            <w:r w:rsidRPr="00990B83">
              <w:rPr>
                <w:rFonts w:ascii="Times New Roman" w:hAnsi="Times New Roman" w:cs="Times New Roman"/>
                <w:sz w:val="28"/>
                <w:szCs w:val="28"/>
              </w:rPr>
              <w:lastRenderedPageBreak/>
              <w:t>Заглядаючи вперед: можливі пріоритети майбутньої дії</w:t>
            </w:r>
          </w:p>
          <w:p w14:paraId="29DDDFE1" w14:textId="3E822B9E" w:rsidR="002E4ED3" w:rsidRPr="00990B83" w:rsidRDefault="00990B83" w:rsidP="00990B83">
            <w:pPr>
              <w:pStyle w:val="a4"/>
              <w:numPr>
                <w:ilvl w:val="0"/>
                <w:numId w:val="12"/>
              </w:numPr>
              <w:spacing w:line="360" w:lineRule="auto"/>
              <w:ind w:left="0" w:firstLine="610"/>
              <w:jc w:val="both"/>
              <w:rPr>
                <w:rFonts w:ascii="Times New Roman" w:hAnsi="Times New Roman" w:cs="Times New Roman"/>
                <w:sz w:val="28"/>
                <w:szCs w:val="28"/>
              </w:rPr>
            </w:pPr>
            <w:r>
              <w:rPr>
                <w:rFonts w:ascii="Times New Roman" w:hAnsi="Times New Roman" w:cs="Times New Roman"/>
                <w:sz w:val="28"/>
                <w:szCs w:val="28"/>
              </w:rPr>
              <w:t xml:space="preserve">Закликає ЄС та Східноєвропейські партнерів прямо визнати гендерну рівність як </w:t>
            </w:r>
            <w:r>
              <w:rPr>
                <w:rFonts w:ascii="Times New Roman" w:hAnsi="Times New Roman" w:cs="Times New Roman"/>
                <w:sz w:val="28"/>
                <w:szCs w:val="28"/>
              </w:rPr>
              <w:lastRenderedPageBreak/>
              <w:t xml:space="preserve">фундаментальну спільну цінність та її досягнення як цілі їхнього співробітництва; наголошує, що в той час як більшість викликів є спільними за своєю природою для ЄС та його партнерів, політичний стимул може допомогти у здійсненні внеску до більш високого рейтингу прав жінок та гендерної рівності в політичних пріоритетах Східного Партнерства;  </w:t>
            </w:r>
          </w:p>
        </w:tc>
      </w:tr>
      <w:tr w:rsidR="002E4ED3" w14:paraId="1E11E4A8" w14:textId="77777777" w:rsidTr="002836D0">
        <w:tc>
          <w:tcPr>
            <w:tcW w:w="4814" w:type="dxa"/>
          </w:tcPr>
          <w:p w14:paraId="44025843" w14:textId="1D995732" w:rsidR="002E4ED3"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21. Stresses that key values such as equal economic independence, equal pay for equal work or work of equal value, equality in decision-making should thus be recognised as driving principles and common priorities; calls the Eastern European partners to consider introducing work-life balance measures in order to remove obstacles to female employment and to reduce the gender pension gap; further underlines that obsolete legal provisions which prohibit the employment of women in specific occupations should be reviewed, as they unduly restrict access of women to certain professions and work; </w:t>
            </w:r>
          </w:p>
        </w:tc>
        <w:tc>
          <w:tcPr>
            <w:tcW w:w="4815" w:type="dxa"/>
          </w:tcPr>
          <w:p w14:paraId="2900C853" w14:textId="13D59895" w:rsidR="002E4ED3"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t>21. Підкреслює, що основними цінностями є рівна економічна незалежність, однакова плата за рівну роботу</w:t>
            </w:r>
            <w:r>
              <w:rPr>
                <w:rFonts w:ascii="Times New Roman" w:hAnsi="Times New Roman" w:cs="Times New Roman"/>
                <w:sz w:val="28"/>
                <w:szCs w:val="28"/>
              </w:rPr>
              <w:t xml:space="preserve"> або роботу</w:t>
            </w:r>
            <w:r w:rsidRPr="00606542">
              <w:rPr>
                <w:rFonts w:ascii="Times New Roman" w:hAnsi="Times New Roman" w:cs="Times New Roman"/>
                <w:sz w:val="28"/>
                <w:szCs w:val="28"/>
              </w:rPr>
              <w:t xml:space="preserve"> з рівноцінною цінністю, рівність у процесі прийняття рішень повинна бути визнана як керуючпринципита спільні пріоритети; закликає східноєвропейських партнерів розглянути питання про впровадження заходів балансу між робочою та особистим життям, щоб усунути перешкоди для зайнятості жінок та зменшити гендерний розрив у пенсіях; далі підкреслює, що необхідно переглянути застарілі правові положення, що забороняють зайнятість жінок у певних професійних сферах, оскільки вони неналежним чином обмежують доступ жінок до певних професій та роботи</w:t>
            </w:r>
          </w:p>
        </w:tc>
      </w:tr>
      <w:tr w:rsidR="002E4ED3" w14:paraId="0338FFD0" w14:textId="77777777" w:rsidTr="002836D0">
        <w:tc>
          <w:tcPr>
            <w:tcW w:w="4814" w:type="dxa"/>
          </w:tcPr>
          <w:p w14:paraId="02DFA179" w14:textId="4CF13AC9" w:rsidR="002E4ED3"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22. Strongly encourages all types of actions aimed at enhancing women's rights in the labour market, such as effective implementation of the existing legal framework, advancing equality between women and men, measures fostering women’s entrepreneurship, awareness raising campaigns on their situation, better data collection, their assessment and monitoring to propose tailored measures as well as support for women’s networks and grass roots organisation; points out that the new opportunities for women might be brought together with development of digitalisation and collaborative economy in the Eastern Partnership countries;</w:t>
            </w:r>
          </w:p>
        </w:tc>
        <w:tc>
          <w:tcPr>
            <w:tcW w:w="4815" w:type="dxa"/>
          </w:tcPr>
          <w:p w14:paraId="0CD1171B" w14:textId="2C501128" w:rsidR="002E4ED3" w:rsidRPr="00990B83"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t>22. Рішуче заохочує всі види дій, спрямовані на посилення прав жінок на ринку праці, таких як ефективне впровадження існуючої правової бази, просування рівності між жінками та чоловіками, заходи щодо стимулювання жіночого підприємництва, кампанії з підвищення обізнаності щодо їх становища, кращого збору даних , їх оцінку та моніторинг, щоб запропонувати спеціальні заходи, а також підтримку організації жіночих мереж та організації; вказує на те, що нові можливості для жінок можуть бути об'єднані з розвитком цифрової та спільної економіки в країнах Східного партнерства;</w:t>
            </w:r>
          </w:p>
        </w:tc>
      </w:tr>
      <w:tr w:rsidR="002E4ED3" w14:paraId="6B2305A3" w14:textId="77777777" w:rsidTr="002836D0">
        <w:tc>
          <w:tcPr>
            <w:tcW w:w="4814" w:type="dxa"/>
          </w:tcPr>
          <w:p w14:paraId="2CA99097" w14:textId="769CEA27" w:rsidR="002E4ED3"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23. Underlines the need to formulate a gender-sensitive, rights-based policy on the basis of equality and non-discrimination, to regulate and administer  and stages of migration, to facilitate access of women migrant workers to work opportunities abroad, promoting safe migration and ensuring the protection of the rights of women migrant workers; calls on the Eastern European partners to design or oversee comprehensive socio-economic, psychological and legal services aimed at </w:t>
            </w:r>
            <w:r w:rsidRPr="00B85C7F">
              <w:rPr>
                <w:rFonts w:ascii="Times New Roman" w:hAnsi="Times New Roman" w:cs="Times New Roman"/>
                <w:sz w:val="28"/>
                <w:szCs w:val="28"/>
              </w:rPr>
              <w:lastRenderedPageBreak/>
              <w:t xml:space="preserve">facilitating the reintegration of women who have returned; </w:t>
            </w:r>
          </w:p>
        </w:tc>
        <w:tc>
          <w:tcPr>
            <w:tcW w:w="4815" w:type="dxa"/>
          </w:tcPr>
          <w:p w14:paraId="001CC7A0" w14:textId="04487C76" w:rsidR="002E4ED3"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lastRenderedPageBreak/>
              <w:t xml:space="preserve">23. Наголошує на необхідності формулювання політики, орієнтованої на дотримання гендерних питань, на основі рівності та недискримінації, регулювання та управління та етапів міграції, сприяння доступу трудящих жінок-мігрантів до можливостей працевлаштування за кордон, сприяння безпечній міграції і забезпечення захисту прав жінок-трудящих-мігрантів; закликає східноєвропейських партнерів розробити або контролювати </w:t>
            </w:r>
            <w:r w:rsidRPr="00606542">
              <w:rPr>
                <w:rFonts w:ascii="Times New Roman" w:hAnsi="Times New Roman" w:cs="Times New Roman"/>
                <w:sz w:val="28"/>
                <w:szCs w:val="28"/>
              </w:rPr>
              <w:lastRenderedPageBreak/>
              <w:t>комплексні соціально-економічні, психологічні та юридичні послуги, спрямовані на полегшення реінтеграції повернутих жінок</w:t>
            </w:r>
          </w:p>
        </w:tc>
      </w:tr>
      <w:tr w:rsidR="006975A9" w14:paraId="03330282" w14:textId="77777777" w:rsidTr="002836D0">
        <w:tc>
          <w:tcPr>
            <w:tcW w:w="4814" w:type="dxa"/>
          </w:tcPr>
          <w:p w14:paraId="5C539967" w14:textId="67F7BEB7" w:rsidR="006975A9"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24. Considers that strengthening the role of fathers in bringing up their children can improve and facilitate work-life balance for both men and women; points out that equal take-up of leave arrangements by men and women across all categories of workers should be encouraged in order to improve women’s access to and position within the labour market; stresses that child support systems, including family and child allowances, should be sufficient to ensure that women can afford to support independent households; </w:t>
            </w:r>
          </w:p>
        </w:tc>
        <w:tc>
          <w:tcPr>
            <w:tcW w:w="4815" w:type="dxa"/>
          </w:tcPr>
          <w:p w14:paraId="0E30DA4A" w14:textId="5E3583FE" w:rsidR="006975A9"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t>24. Вважає, що посилення ролі батьків у вихованні своїх дітей може покращити та забезпечити збалансований робочий і життєвий рівень як для чоловіків, так і для жінок; вказує, що слід заохочувати рівне використання чоловіків та жінок щодо відпустки у всіх категоріях працівників з метою покращення доступу жінок до ринку праці та позиції на ринку праці; підкреслює, що системи підтримки дітей, включаючи доходи сім'ї та дитини, повинні бути достатніми для того, щоб жінки могли дозволити собі підтримувати незалежні домогосподарства</w:t>
            </w:r>
          </w:p>
        </w:tc>
      </w:tr>
      <w:tr w:rsidR="006975A9" w14:paraId="169D90F1" w14:textId="77777777" w:rsidTr="002836D0">
        <w:tc>
          <w:tcPr>
            <w:tcW w:w="4814" w:type="dxa"/>
          </w:tcPr>
          <w:p w14:paraId="1999D108" w14:textId="32CBE98E" w:rsidR="006975A9"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25. Underlines that parliamentarians, on all sides, could direct more scrutiny to genderspecific issues; this could focus on the implementation of the EU acquis, i.e. on ensuring that the relevant Directives are properly applied in the three associated countries to the EU (Georgia, Moldova and Ukraine) but also on ensuring that Members scrutinize closely the ongoing negotiations that aim at </w:t>
            </w:r>
            <w:r w:rsidRPr="00B85C7F">
              <w:rPr>
                <w:rFonts w:ascii="Times New Roman" w:hAnsi="Times New Roman" w:cs="Times New Roman"/>
                <w:sz w:val="28"/>
                <w:szCs w:val="28"/>
              </w:rPr>
              <w:lastRenderedPageBreak/>
              <w:t xml:space="preserve">replacing the out-dated Partnership and Cooperation Agreements so as to ensure that similar provisions are included in the ‘new generation’ texts; </w:t>
            </w:r>
          </w:p>
        </w:tc>
        <w:tc>
          <w:tcPr>
            <w:tcW w:w="4815" w:type="dxa"/>
          </w:tcPr>
          <w:p w14:paraId="3CF4CE5D" w14:textId="7736FEB0" w:rsidR="006975A9"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lastRenderedPageBreak/>
              <w:t xml:space="preserve">25. </w:t>
            </w:r>
            <w:r>
              <w:rPr>
                <w:rFonts w:ascii="Times New Roman" w:hAnsi="Times New Roman" w:cs="Times New Roman"/>
                <w:sz w:val="28"/>
                <w:szCs w:val="28"/>
              </w:rPr>
              <w:t>П</w:t>
            </w:r>
            <w:r w:rsidRPr="00606542">
              <w:rPr>
                <w:rFonts w:ascii="Times New Roman" w:hAnsi="Times New Roman" w:cs="Times New Roman"/>
                <w:sz w:val="28"/>
                <w:szCs w:val="28"/>
              </w:rPr>
              <w:t xml:space="preserve">ідкреслює, що парламентарі, з усіх боків, можуть направити більше уваги на питання, що стосуються гендерних питань; це може зосередитись на реалізації acquis ЄС, тобто на забезпеченні належного застосування відповідних директив у трьох асоційованих країнах до ЄС (Грузія, Молдова та Україна), а також на тому, щоб члени уважно стежили за </w:t>
            </w:r>
            <w:r w:rsidRPr="00606542">
              <w:rPr>
                <w:rFonts w:ascii="Times New Roman" w:hAnsi="Times New Roman" w:cs="Times New Roman"/>
                <w:sz w:val="28"/>
                <w:szCs w:val="28"/>
              </w:rPr>
              <w:lastRenderedPageBreak/>
              <w:t>поточними переговорами, націлені на замінюючи застарілі Угоди про партнерство та співробітництво, щоб забезпечити включення подібних положень до текстів "нового покоління"</w:t>
            </w:r>
          </w:p>
        </w:tc>
      </w:tr>
      <w:tr w:rsidR="006975A9" w14:paraId="3EF7028B" w14:textId="77777777" w:rsidTr="002836D0">
        <w:tc>
          <w:tcPr>
            <w:tcW w:w="4814" w:type="dxa"/>
          </w:tcPr>
          <w:p w14:paraId="7668F1FB" w14:textId="119013D0" w:rsidR="006975A9"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26. While gender equality is a horizontal principle within the ENP and the ENI, more precise and measurable targets should be pursued, also with regard to the new Gender Action Plan in Development 2016-2020; </w:t>
            </w:r>
          </w:p>
        </w:tc>
        <w:tc>
          <w:tcPr>
            <w:tcW w:w="4815" w:type="dxa"/>
          </w:tcPr>
          <w:p w14:paraId="33181C00" w14:textId="7C09A75E" w:rsidR="006975A9"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t>26. Хоча гендерна рівність є горизонтальним принципом в рамках ЄПС та ENI, слід проводити більш точні та вимірювані цілі, також стосовно нового Плану дій щодо гендерних питань у розвитку в 2016-2020 роках</w:t>
            </w:r>
          </w:p>
        </w:tc>
      </w:tr>
      <w:tr w:rsidR="006975A9" w14:paraId="2DE4C12A" w14:textId="77777777" w:rsidTr="002836D0">
        <w:tc>
          <w:tcPr>
            <w:tcW w:w="4814" w:type="dxa"/>
          </w:tcPr>
          <w:p w14:paraId="60A787E0" w14:textId="56548589" w:rsidR="006975A9"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27. Calls, within the reviewed ENP, for country-specific reports to focus on priorities agreed with partners, including a focus on gender equality; proposes, in order to achieve these aims, to gather harmonized data regarding the situation of women in the Eastern European partners, through the ENI and notably by the introduction of the Gender Equality Index, developed by the European Institute for Gender Equality;</w:t>
            </w:r>
          </w:p>
        </w:tc>
        <w:tc>
          <w:tcPr>
            <w:tcW w:w="4815" w:type="dxa"/>
          </w:tcPr>
          <w:p w14:paraId="16148FFE" w14:textId="0171462F" w:rsidR="006975A9"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t xml:space="preserve">27. </w:t>
            </w:r>
            <w:r>
              <w:rPr>
                <w:rFonts w:ascii="Times New Roman" w:hAnsi="Times New Roman" w:cs="Times New Roman"/>
                <w:sz w:val="28"/>
                <w:szCs w:val="28"/>
              </w:rPr>
              <w:t>З</w:t>
            </w:r>
            <w:r w:rsidRPr="00606542">
              <w:rPr>
                <w:rFonts w:ascii="Times New Roman" w:hAnsi="Times New Roman" w:cs="Times New Roman"/>
                <w:sz w:val="28"/>
                <w:szCs w:val="28"/>
              </w:rPr>
              <w:t>акликає в рамках переглянутої ЄПС до звітів, що стосуються конкретних країн, зосереджуватися на пріоритетах, узгоджених з партнерами, включаючи зосередження уваги на гендерній рівності; пропонує для досягнення цих цілей зібрати узгоджені дані щодо становища жінок у східноєвропейських партнерах через ЕНІ та, зокрема, шляхом запровадження Індексу гендерної рівності, розробленого Європейським інститутом ґендерної рівності</w:t>
            </w:r>
          </w:p>
        </w:tc>
      </w:tr>
      <w:tr w:rsidR="006975A9" w14:paraId="165478C1" w14:textId="77777777" w:rsidTr="002836D0">
        <w:tc>
          <w:tcPr>
            <w:tcW w:w="4814" w:type="dxa"/>
          </w:tcPr>
          <w:p w14:paraId="551A5989" w14:textId="041B4AF0" w:rsidR="006975A9"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28. Stresses that the EU should dedicate more energy in assisting the partners in line with their strategies, programmes or action plans to improve the situation of </w:t>
            </w:r>
            <w:r w:rsidRPr="00B85C7F">
              <w:rPr>
                <w:rFonts w:ascii="Times New Roman" w:hAnsi="Times New Roman" w:cs="Times New Roman"/>
                <w:sz w:val="28"/>
                <w:szCs w:val="28"/>
              </w:rPr>
              <w:lastRenderedPageBreak/>
              <w:t xml:space="preserve">women, as well as provide expertise for adjusting labour legislation on gender equality and improving women’s participation in the labour market and decision-making; further insists on the urgent need for gender mainstreaming as a strategy for realizing gender equality, and for positive action in the National Action Plans of the European Neighbourhood Policy; </w:t>
            </w:r>
          </w:p>
        </w:tc>
        <w:tc>
          <w:tcPr>
            <w:tcW w:w="4815" w:type="dxa"/>
          </w:tcPr>
          <w:p w14:paraId="6EE9B1BC" w14:textId="43F3B36C" w:rsidR="006975A9"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lastRenderedPageBreak/>
              <w:t xml:space="preserve">28. </w:t>
            </w:r>
            <w:r>
              <w:rPr>
                <w:rFonts w:ascii="Times New Roman" w:hAnsi="Times New Roman" w:cs="Times New Roman"/>
                <w:sz w:val="28"/>
                <w:szCs w:val="28"/>
              </w:rPr>
              <w:t>П</w:t>
            </w:r>
            <w:r w:rsidRPr="00606542">
              <w:rPr>
                <w:rFonts w:ascii="Times New Roman" w:hAnsi="Times New Roman" w:cs="Times New Roman"/>
                <w:sz w:val="28"/>
                <w:szCs w:val="28"/>
              </w:rPr>
              <w:t>ідкреслює, що ЄС має приділяти більше енергії, надаючи партнерам допомогу</w:t>
            </w:r>
            <w:r>
              <w:rPr>
                <w:rFonts w:ascii="Times New Roman" w:hAnsi="Times New Roman" w:cs="Times New Roman"/>
                <w:sz w:val="28"/>
                <w:szCs w:val="28"/>
              </w:rPr>
              <w:t xml:space="preserve"> </w:t>
            </w:r>
            <w:r w:rsidRPr="00606542">
              <w:rPr>
                <w:rFonts w:ascii="Times New Roman" w:hAnsi="Times New Roman" w:cs="Times New Roman"/>
                <w:sz w:val="28"/>
                <w:szCs w:val="28"/>
              </w:rPr>
              <w:t xml:space="preserve">їх стратегії, програми або плани дій щодо </w:t>
            </w:r>
            <w:r w:rsidRPr="00606542">
              <w:rPr>
                <w:rFonts w:ascii="Times New Roman" w:hAnsi="Times New Roman" w:cs="Times New Roman"/>
                <w:sz w:val="28"/>
                <w:szCs w:val="28"/>
              </w:rPr>
              <w:lastRenderedPageBreak/>
              <w:t>покращення становища жінок, а також надання експертизи для коригування трудового законодавства щодо рівності чоловіків і жінок та покращення участі жінок на ринку праці та прийняття рішень; продовжує наполягати на нагальній потребі в актуалізації гендерної проблематики як стратегії для досягнення ґендерної рівності та позитивних дій в національних планах дій Європейської політики сусідства</w:t>
            </w:r>
          </w:p>
        </w:tc>
      </w:tr>
      <w:tr w:rsidR="006975A9" w14:paraId="5A6CAACF" w14:textId="77777777" w:rsidTr="002836D0">
        <w:tc>
          <w:tcPr>
            <w:tcW w:w="4814" w:type="dxa"/>
          </w:tcPr>
          <w:p w14:paraId="368AE2F7" w14:textId="5D845FC9" w:rsidR="006975A9"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29. Considers that an increase in the number of women in the decision-making process, primarily at the political level, is possible by changing the political culture of the Eastern European partners and implementing the best European practices of party building; </w:t>
            </w:r>
          </w:p>
        </w:tc>
        <w:tc>
          <w:tcPr>
            <w:tcW w:w="4815" w:type="dxa"/>
          </w:tcPr>
          <w:p w14:paraId="0931E6B7" w14:textId="7E46C14B" w:rsidR="006975A9"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t>29. Вважає, що збільшення кількості жінок у процесі прийняття рішень, насамперед на політичному рівні, можливе шляхом зміни політичної культури партнерів Східної Європи та впровадження кращих європейських практик партійного будівництва</w:t>
            </w:r>
          </w:p>
        </w:tc>
      </w:tr>
      <w:tr w:rsidR="006975A9" w14:paraId="7477F2BF" w14:textId="77777777" w:rsidTr="002836D0">
        <w:tc>
          <w:tcPr>
            <w:tcW w:w="4814" w:type="dxa"/>
          </w:tcPr>
          <w:p w14:paraId="549DE0DE" w14:textId="62DC5665" w:rsidR="006975A9"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30. Underlines the need for effective implementation of these strategies, programmes or action plans, with a motoring report being presented annually to Eastern European partners’ National Parliaments and shared with the Euronest Parliamentary Assembly; encourages gender related side-events to be organized in parallel to the Eastern Partnership Summits for reasons of political visibility;</w:t>
            </w:r>
          </w:p>
        </w:tc>
        <w:tc>
          <w:tcPr>
            <w:tcW w:w="4815" w:type="dxa"/>
          </w:tcPr>
          <w:p w14:paraId="47C89138" w14:textId="3B3B9646" w:rsidR="006975A9"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t xml:space="preserve">30. Підкреслює необхідність ефективного здійснення цих стратегій, програм чи планів дій, з щорічним поданням автомобільного звіту до національних парламентів країн-партнерів Східної Європи та спільної з Парламентською асамблеєю Євронест; заохочує паралельно до самітів Східного партнерства організувати паралельні події, </w:t>
            </w:r>
            <w:r w:rsidRPr="00606542">
              <w:rPr>
                <w:rFonts w:ascii="Times New Roman" w:hAnsi="Times New Roman" w:cs="Times New Roman"/>
                <w:sz w:val="28"/>
                <w:szCs w:val="28"/>
              </w:rPr>
              <w:lastRenderedPageBreak/>
              <w:t>пов'язані з гендерними аспектами, з метою політичної видимості</w:t>
            </w:r>
          </w:p>
        </w:tc>
      </w:tr>
      <w:tr w:rsidR="006975A9" w14:paraId="1DADE946" w14:textId="77777777" w:rsidTr="002836D0">
        <w:tc>
          <w:tcPr>
            <w:tcW w:w="4814" w:type="dxa"/>
          </w:tcPr>
          <w:p w14:paraId="251D0FDF" w14:textId="0415934C" w:rsidR="006975A9"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lastRenderedPageBreak/>
              <w:t xml:space="preserve">31. Calls for women’s rights and gender equality issues to be systematically included in all regular political and human rights dialogues taking place, together with proposed actions; </w:t>
            </w:r>
          </w:p>
        </w:tc>
        <w:tc>
          <w:tcPr>
            <w:tcW w:w="4815" w:type="dxa"/>
          </w:tcPr>
          <w:p w14:paraId="66F69B3A" w14:textId="291F9D65" w:rsidR="006975A9"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t>31. Закликає до систематичного включення питань прав жінок та гендерної рівності до всіх регулярних політичних та правових діалогів, що проводяться разом із запропонованими діями;</w:t>
            </w:r>
          </w:p>
        </w:tc>
      </w:tr>
      <w:tr w:rsidR="002E4ED3" w14:paraId="7CB6D439" w14:textId="77777777" w:rsidTr="002836D0">
        <w:tc>
          <w:tcPr>
            <w:tcW w:w="4814" w:type="dxa"/>
          </w:tcPr>
          <w:p w14:paraId="1F08D110" w14:textId="74E096E7" w:rsidR="002E4ED3"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32. Encourages the Member States to develop stronger bilateral and multilateral links with Eastern European partners and an active involvement in transitional help, technical support and experience sharing; believes that Member States in close physical proximity to the Eastern European partners could play an important role in facilitating stronger links and in involving other Member States in partnerships; highlights the important role of vocational education and training for women; encourages the increase of investment supporting female employment in quality jobs, particularly in sectors and positions where women are underrepresented;  </w:t>
            </w:r>
          </w:p>
        </w:tc>
        <w:tc>
          <w:tcPr>
            <w:tcW w:w="4815" w:type="dxa"/>
          </w:tcPr>
          <w:p w14:paraId="304907A3" w14:textId="5EBB7093" w:rsidR="002E4ED3"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t xml:space="preserve">32. </w:t>
            </w:r>
            <w:r>
              <w:rPr>
                <w:rFonts w:ascii="Times New Roman" w:hAnsi="Times New Roman" w:cs="Times New Roman"/>
                <w:sz w:val="28"/>
                <w:szCs w:val="28"/>
              </w:rPr>
              <w:t>Р</w:t>
            </w:r>
            <w:r w:rsidRPr="00606542">
              <w:rPr>
                <w:rFonts w:ascii="Times New Roman" w:hAnsi="Times New Roman" w:cs="Times New Roman"/>
                <w:sz w:val="28"/>
                <w:szCs w:val="28"/>
              </w:rPr>
              <w:t>екомендує державам-членам розвивати міцніші двосторонні та багатосторонні зв'язки зі східноєвропейськими партнерами та активне залучення до надання тимчасової допомоги, технічної підтримки та обміну досвідом; вважає, що держави-члени в тісній фізичній близькості до східноєвропейських партнерів можуть відігравати важливу роль у сприянні зміцненню зв'язків та залученні інших партнерів до держав-членів; підкреслює важливу роль професійної освіти та підготовки жінок; заохочує збільшення інвестицій, що підтримують зайнятість жінок на якісних робочих місцях, особливо в секторах і на тих посадах, де жінки недопредставлені</w:t>
            </w:r>
          </w:p>
        </w:tc>
      </w:tr>
      <w:tr w:rsidR="002E4ED3" w14:paraId="1F449875" w14:textId="77777777" w:rsidTr="002836D0">
        <w:tc>
          <w:tcPr>
            <w:tcW w:w="4814" w:type="dxa"/>
          </w:tcPr>
          <w:p w14:paraId="430C3BA0" w14:textId="7D6AD6E7" w:rsidR="002E4ED3" w:rsidRPr="00B85C7F" w:rsidRDefault="006975A9" w:rsidP="00990B83">
            <w:pPr>
              <w:spacing w:line="360" w:lineRule="auto"/>
              <w:jc w:val="both"/>
              <w:rPr>
                <w:rFonts w:ascii="Times New Roman" w:hAnsi="Times New Roman" w:cs="Times New Roman"/>
                <w:sz w:val="28"/>
                <w:szCs w:val="28"/>
              </w:rPr>
            </w:pPr>
            <w:r w:rsidRPr="00B85C7F">
              <w:rPr>
                <w:rFonts w:ascii="Times New Roman" w:hAnsi="Times New Roman" w:cs="Times New Roman"/>
                <w:sz w:val="28"/>
                <w:szCs w:val="28"/>
              </w:rPr>
              <w:t xml:space="preserve">33. Instructs its Co-Presidents to forward this resolution to the President of the European Parliament, to the Council, the Commission, the High Representative of </w:t>
            </w:r>
            <w:r w:rsidRPr="00B85C7F">
              <w:rPr>
                <w:rFonts w:ascii="Times New Roman" w:hAnsi="Times New Roman" w:cs="Times New Roman"/>
                <w:sz w:val="28"/>
                <w:szCs w:val="28"/>
              </w:rPr>
              <w:lastRenderedPageBreak/>
              <w:t xml:space="preserve">the Union for Foreign Affairs and Security Policy/Vice-President of the Commission, the EEAS, the governments and parliaments of the Member States and of the Eastern Partnership.  </w:t>
            </w:r>
          </w:p>
        </w:tc>
        <w:tc>
          <w:tcPr>
            <w:tcW w:w="4815" w:type="dxa"/>
          </w:tcPr>
          <w:p w14:paraId="47583DB8" w14:textId="149219C7" w:rsidR="002E4ED3" w:rsidRDefault="00990B83" w:rsidP="00990B83">
            <w:pPr>
              <w:spacing w:line="360" w:lineRule="auto"/>
              <w:ind w:firstLine="567"/>
              <w:jc w:val="both"/>
              <w:rPr>
                <w:rFonts w:ascii="Times New Roman" w:hAnsi="Times New Roman" w:cs="Times New Roman"/>
                <w:sz w:val="28"/>
                <w:szCs w:val="28"/>
              </w:rPr>
            </w:pPr>
            <w:r w:rsidRPr="00606542">
              <w:rPr>
                <w:rFonts w:ascii="Times New Roman" w:hAnsi="Times New Roman" w:cs="Times New Roman"/>
                <w:sz w:val="28"/>
                <w:szCs w:val="28"/>
              </w:rPr>
              <w:lastRenderedPageBreak/>
              <w:t xml:space="preserve">33. Порушує своїм співголови препроводить цю резолюцію Голові Європейського Парламенту, Раді, Комісії, Високому представнику </w:t>
            </w:r>
            <w:r w:rsidRPr="00606542">
              <w:rPr>
                <w:rFonts w:ascii="Times New Roman" w:hAnsi="Times New Roman" w:cs="Times New Roman"/>
                <w:sz w:val="28"/>
                <w:szCs w:val="28"/>
              </w:rPr>
              <w:lastRenderedPageBreak/>
              <w:t>Союзу з питань зовнішніх справ та політики безпеки / Віце-президентом Комісії, ЄВС, уряди та парламенти держав-членів та Східного партнерства.</w:t>
            </w:r>
          </w:p>
        </w:tc>
      </w:tr>
    </w:tbl>
    <w:p w14:paraId="3E3D0799" w14:textId="77777777" w:rsidR="00B51FAE" w:rsidRDefault="00B51FAE"/>
    <w:sectPr w:rsidR="00B51F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2D30"/>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FCD5687"/>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1243B99"/>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8800F41"/>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4434A82"/>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9625419"/>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05F5EAD"/>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0881B3C"/>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4920784"/>
    <w:multiLevelType w:val="hybridMultilevel"/>
    <w:tmpl w:val="A45044B0"/>
    <w:lvl w:ilvl="0" w:tplc="61206596">
      <w:start w:val="12"/>
      <w:numFmt w:val="decimal"/>
      <w:lvlText w:val="%1."/>
      <w:lvlJc w:val="left"/>
      <w:pPr>
        <w:ind w:left="1302" w:hanging="37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5A1140F"/>
    <w:multiLevelType w:val="hybridMultilevel"/>
    <w:tmpl w:val="82AA3446"/>
    <w:lvl w:ilvl="0" w:tplc="1CAA2C36">
      <w:start w:val="5"/>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AFE57D4"/>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DC8667B"/>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D8B12C8"/>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54AD40BF"/>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BA33D2D"/>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1891AC3"/>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4FD02DA"/>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72A86A68"/>
    <w:multiLevelType w:val="hybridMultilevel"/>
    <w:tmpl w:val="FCC83E72"/>
    <w:lvl w:ilvl="0" w:tplc="D14011E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31B32E8"/>
    <w:multiLevelType w:val="hybridMultilevel"/>
    <w:tmpl w:val="80FE34DC"/>
    <w:lvl w:ilvl="0" w:tplc="6170793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7"/>
  </w:num>
  <w:num w:numId="2">
    <w:abstractNumId w:val="3"/>
  </w:num>
  <w:num w:numId="3">
    <w:abstractNumId w:val="0"/>
  </w:num>
  <w:num w:numId="4">
    <w:abstractNumId w:val="16"/>
  </w:num>
  <w:num w:numId="5">
    <w:abstractNumId w:val="13"/>
  </w:num>
  <w:num w:numId="6">
    <w:abstractNumId w:val="9"/>
  </w:num>
  <w:num w:numId="7">
    <w:abstractNumId w:val="11"/>
  </w:num>
  <w:num w:numId="8">
    <w:abstractNumId w:val="14"/>
  </w:num>
  <w:num w:numId="9">
    <w:abstractNumId w:val="5"/>
  </w:num>
  <w:num w:numId="10">
    <w:abstractNumId w:val="1"/>
  </w:num>
  <w:num w:numId="11">
    <w:abstractNumId w:val="15"/>
  </w:num>
  <w:num w:numId="12">
    <w:abstractNumId w:val="8"/>
  </w:num>
  <w:num w:numId="13">
    <w:abstractNumId w:val="10"/>
  </w:num>
  <w:num w:numId="14">
    <w:abstractNumId w:val="2"/>
  </w:num>
  <w:num w:numId="15">
    <w:abstractNumId w:val="4"/>
  </w:num>
  <w:num w:numId="16">
    <w:abstractNumId w:val="6"/>
  </w:num>
  <w:num w:numId="17">
    <w:abstractNumId w:val="18"/>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9E"/>
    <w:rsid w:val="00012C14"/>
    <w:rsid w:val="00036FCD"/>
    <w:rsid w:val="000669E0"/>
    <w:rsid w:val="000E10D4"/>
    <w:rsid w:val="002836D0"/>
    <w:rsid w:val="002E4ED3"/>
    <w:rsid w:val="003E241B"/>
    <w:rsid w:val="00586A9E"/>
    <w:rsid w:val="006975A9"/>
    <w:rsid w:val="006A33BE"/>
    <w:rsid w:val="006C34E5"/>
    <w:rsid w:val="007A0324"/>
    <w:rsid w:val="008E6EA9"/>
    <w:rsid w:val="00905632"/>
    <w:rsid w:val="00990B83"/>
    <w:rsid w:val="00B51FAE"/>
    <w:rsid w:val="00B55223"/>
    <w:rsid w:val="00BC121D"/>
    <w:rsid w:val="00CD6033"/>
    <w:rsid w:val="00E418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B73C"/>
  <w15:chartTrackingRefBased/>
  <w15:docId w15:val="{737E5609-9C38-40CF-8A7E-F70C67CF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6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19</Pages>
  <Words>22372</Words>
  <Characters>12753</Characters>
  <Application>Microsoft Office Word</Application>
  <DocSecurity>0</DocSecurity>
  <Lines>106</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4</cp:revision>
  <dcterms:created xsi:type="dcterms:W3CDTF">2018-01-05T19:01:00Z</dcterms:created>
  <dcterms:modified xsi:type="dcterms:W3CDTF">2018-01-05T20:00:00Z</dcterms:modified>
</cp:coreProperties>
</file>