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64F73" w14:textId="08955A67" w:rsidR="00243AC2" w:rsidRPr="007437CC" w:rsidRDefault="007F1F0C" w:rsidP="00544F03">
      <w:pPr>
        <w:spacing w:after="120" w:line="240" w:lineRule="auto"/>
        <w:jc w:val="center"/>
        <w:rPr>
          <w:rFonts w:ascii="Open Sans" w:hAnsi="Open Sans" w:cs="Open Sans"/>
          <w:b/>
          <w:bCs/>
          <w:noProof/>
          <w:sz w:val="20"/>
          <w:szCs w:val="20"/>
        </w:rPr>
      </w:pPr>
      <w:r w:rsidRPr="007437CC">
        <w:rPr>
          <w:rFonts w:ascii="Open Sans" w:hAnsi="Open Sans" w:cs="Open Sans"/>
          <w:b/>
          <w:bCs/>
          <w:noProof/>
          <w:sz w:val="20"/>
          <w:szCs w:val="20"/>
        </w:rPr>
        <w:t>В2В</w:t>
      </w:r>
    </w:p>
    <w:p w14:paraId="2E985EB4" w14:textId="763827DA" w:rsidR="007C258C" w:rsidRPr="007437CC" w:rsidRDefault="007C258C" w:rsidP="00544F03">
      <w:pPr>
        <w:spacing w:after="80" w:line="240" w:lineRule="auto"/>
        <w:jc w:val="center"/>
        <w:rPr>
          <w:rFonts w:ascii="Open Sans" w:hAnsi="Open Sans" w:cs="Open Sans"/>
          <w:noProof/>
          <w:sz w:val="20"/>
          <w:szCs w:val="20"/>
          <w:u w:val="single"/>
        </w:rPr>
      </w:pPr>
      <w:r w:rsidRPr="007437CC">
        <w:rPr>
          <w:rFonts w:ascii="Open Sans" w:hAnsi="Open Sans" w:cs="Open Sans"/>
          <w:noProof/>
          <w:sz w:val="20"/>
          <w:szCs w:val="20"/>
          <w:u w:val="single"/>
        </w:rPr>
        <w:t>Загальна ситуація в Україні</w:t>
      </w:r>
    </w:p>
    <w:p w14:paraId="66CFE889" w14:textId="77C9BB28" w:rsidR="00422268" w:rsidRPr="007437CC" w:rsidRDefault="00422268" w:rsidP="00544F03">
      <w:pPr>
        <w:spacing w:after="0" w:line="240" w:lineRule="auto"/>
        <w:contextualSpacing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Наразі в Україні побудовано 6</w:t>
      </w:r>
      <w:r w:rsidR="00BD7D54" w:rsidRPr="007437CC">
        <w:rPr>
          <w:rFonts w:ascii="Open Sans" w:hAnsi="Open Sans" w:cs="Open Sans"/>
          <w:noProof/>
          <w:sz w:val="20"/>
          <w:szCs w:val="20"/>
        </w:rPr>
        <w:t xml:space="preserve"> </w:t>
      </w:r>
      <w:r w:rsidRPr="007437CC">
        <w:rPr>
          <w:rFonts w:ascii="Open Sans" w:hAnsi="Open Sans" w:cs="Open Sans"/>
          <w:noProof/>
          <w:sz w:val="20"/>
          <w:szCs w:val="20"/>
        </w:rPr>
        <w:t>280,06 МВт потужностей сонячної енергетики, з них:</w:t>
      </w:r>
    </w:p>
    <w:p w14:paraId="6B31C8D8" w14:textId="77777777" w:rsidR="00544F03" w:rsidRPr="007437CC" w:rsidRDefault="00422268" w:rsidP="00544F0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6</w:t>
      </w:r>
      <w:r w:rsidR="00BD7D54" w:rsidRPr="007437CC">
        <w:rPr>
          <w:rFonts w:ascii="Open Sans" w:hAnsi="Open Sans" w:cs="Open Sans"/>
          <w:noProof/>
          <w:sz w:val="20"/>
          <w:szCs w:val="20"/>
        </w:rPr>
        <w:t xml:space="preserve"> </w:t>
      </w:r>
      <w:r w:rsidRPr="007437CC">
        <w:rPr>
          <w:rFonts w:ascii="Open Sans" w:hAnsi="Open Sans" w:cs="Open Sans"/>
          <w:noProof/>
          <w:sz w:val="20"/>
          <w:szCs w:val="20"/>
        </w:rPr>
        <w:t>093,51 МВт отримали «зелений» тариф до 2020 року включно;</w:t>
      </w:r>
    </w:p>
    <w:p w14:paraId="56D5A2F1" w14:textId="77777777" w:rsidR="00544F03" w:rsidRPr="007437CC" w:rsidRDefault="00422268" w:rsidP="00544F0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23,15 МВт отримали «зелений» тариф у 2021 році (величина тарифу 2020-го року);</w:t>
      </w:r>
    </w:p>
    <w:p w14:paraId="050279B6" w14:textId="77777777" w:rsidR="00544F03" w:rsidRPr="007437CC" w:rsidRDefault="00422268" w:rsidP="00544F0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163,2</w:t>
      </w:r>
      <w:r w:rsidR="00BD7D54" w:rsidRPr="007437CC">
        <w:rPr>
          <w:rFonts w:ascii="Open Sans" w:hAnsi="Open Sans" w:cs="Open Sans"/>
          <w:noProof/>
          <w:sz w:val="20"/>
          <w:szCs w:val="20"/>
        </w:rPr>
        <w:t>5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МВт отримали ліцензію та побудовані в 2020 році, але ще не отримали «зелений» тариф;</w:t>
      </w:r>
    </w:p>
    <w:p w14:paraId="715B7098" w14:textId="5CD8D223" w:rsidR="007F1F0C" w:rsidRPr="007437CC" w:rsidRDefault="00422268" w:rsidP="00544F03">
      <w:pPr>
        <w:pStyle w:val="a3"/>
        <w:numPr>
          <w:ilvl w:val="0"/>
          <w:numId w:val="2"/>
        </w:numPr>
        <w:spacing w:after="80" w:line="240" w:lineRule="auto"/>
        <w:ind w:left="714" w:hanging="357"/>
        <w:contextualSpacing w:val="0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0,160 МВт – дію «зеленого» тарифу припинено/ФЕС не працює.</w:t>
      </w:r>
    </w:p>
    <w:p w14:paraId="5707B417" w14:textId="1DE46DF2" w:rsidR="007F1F0C" w:rsidRPr="007437CC" w:rsidRDefault="007F1F0C" w:rsidP="00BD7D54">
      <w:pPr>
        <w:jc w:val="center"/>
        <w:rPr>
          <w:noProof/>
        </w:rPr>
      </w:pPr>
      <w:r w:rsidRPr="007437CC">
        <w:rPr>
          <w:noProof/>
        </w:rPr>
        <w:drawing>
          <wp:inline distT="0" distB="0" distL="0" distR="0" wp14:anchorId="61D8C9DF" wp14:editId="42C76DBD">
            <wp:extent cx="6810375" cy="2160270"/>
            <wp:effectExtent l="0" t="0" r="9525" b="1143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4CC3770" w14:textId="19266887" w:rsidR="007C258C" w:rsidRPr="007437CC" w:rsidRDefault="007C258C" w:rsidP="00544F03">
      <w:pPr>
        <w:spacing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Найбільше потужностей побудовано Дніпропетровській (18,07%), Миколаївській (14,45%) та Одеській (8,24%) областях.</w:t>
      </w:r>
      <w:r w:rsidR="00544F03" w:rsidRPr="007437CC">
        <w:rPr>
          <w:rFonts w:ascii="Open Sans" w:hAnsi="Open Sans" w:cs="Open Sans"/>
          <w:noProof/>
          <w:sz w:val="20"/>
          <w:szCs w:val="20"/>
        </w:rPr>
        <w:t xml:space="preserve"> 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Найменше </w:t>
      </w:r>
      <w:r w:rsidR="00BD7D54" w:rsidRPr="007437CC">
        <w:rPr>
          <w:rFonts w:ascii="Open Sans" w:hAnsi="Open Sans" w:cs="Open Sans"/>
          <w:noProof/>
          <w:sz w:val="20"/>
          <w:szCs w:val="20"/>
        </w:rPr>
        <w:t>-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в Луганській, Волинській, Рівненській та Сумській областях.</w:t>
      </w:r>
    </w:p>
    <w:p w14:paraId="516510E2" w14:textId="079E6313" w:rsidR="007C258C" w:rsidRPr="007437CC" w:rsidRDefault="007C258C">
      <w:pPr>
        <w:rPr>
          <w:noProof/>
        </w:rPr>
      </w:pPr>
      <w:r w:rsidRPr="007437CC">
        <w:rPr>
          <w:noProof/>
        </w:rPr>
        <w:drawing>
          <wp:inline distT="0" distB="0" distL="0" distR="0" wp14:anchorId="624B95E2" wp14:editId="58A8CBEB">
            <wp:extent cx="6814185" cy="3538331"/>
            <wp:effectExtent l="0" t="0" r="5715" b="508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2A6835B" w14:textId="77777777" w:rsidR="00544F03" w:rsidRPr="007437CC" w:rsidRDefault="007C258C" w:rsidP="00544F03">
      <w:pPr>
        <w:spacing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 xml:space="preserve">У 2020 році «зелений» тариф було встановлено для ФЕС </w:t>
      </w:r>
      <w:r w:rsidR="00F81802" w:rsidRPr="007437CC">
        <w:rPr>
          <w:rFonts w:ascii="Open Sans" w:hAnsi="Open Sans" w:cs="Open Sans"/>
          <w:noProof/>
          <w:sz w:val="20"/>
          <w:szCs w:val="20"/>
        </w:rPr>
        <w:t>с</w:t>
      </w:r>
      <w:r w:rsidRPr="007437CC">
        <w:rPr>
          <w:rFonts w:ascii="Open Sans" w:hAnsi="Open Sans" w:cs="Open Sans"/>
          <w:noProof/>
          <w:sz w:val="20"/>
          <w:szCs w:val="20"/>
        </w:rPr>
        <w:t>умарною потужністю 1182,09 МВт, з них:</w:t>
      </w:r>
    </w:p>
    <w:p w14:paraId="0920CF75" w14:textId="77777777" w:rsidR="00544F03" w:rsidRPr="007437CC" w:rsidRDefault="008878C1" w:rsidP="00544F03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886,6</w:t>
      </w:r>
      <w:r w:rsidR="00BD7D54" w:rsidRPr="007437CC">
        <w:rPr>
          <w:rFonts w:ascii="Open Sans" w:hAnsi="Open Sans" w:cs="Open Sans"/>
          <w:noProof/>
          <w:sz w:val="20"/>
          <w:szCs w:val="20"/>
        </w:rPr>
        <w:t>9</w:t>
      </w:r>
      <w:r w:rsidR="007C258C" w:rsidRPr="007437CC">
        <w:rPr>
          <w:rFonts w:ascii="Open Sans" w:hAnsi="Open Sans" w:cs="Open Sans"/>
          <w:noProof/>
          <w:sz w:val="20"/>
          <w:szCs w:val="20"/>
        </w:rPr>
        <w:t xml:space="preserve"> МВт – ФЕС, що</w:t>
      </w:r>
      <w:r w:rsidR="00BD7D54" w:rsidRPr="007437CC">
        <w:rPr>
          <w:rFonts w:ascii="Open Sans" w:hAnsi="Open Sans" w:cs="Open Sans"/>
          <w:noProof/>
          <w:sz w:val="20"/>
          <w:szCs w:val="20"/>
        </w:rPr>
        <w:t xml:space="preserve"> були побудовані у 2019 році, «зелений» тариф було встановлено у 2020 році (</w:t>
      </w:r>
      <w:r w:rsidR="007C258C" w:rsidRPr="007437CC">
        <w:rPr>
          <w:rFonts w:ascii="Open Sans" w:hAnsi="Open Sans" w:cs="Open Sans"/>
          <w:noProof/>
          <w:sz w:val="20"/>
          <w:szCs w:val="20"/>
        </w:rPr>
        <w:t>тариф 2019-го року</w:t>
      </w:r>
      <w:r w:rsidR="00BD7D54" w:rsidRPr="007437CC">
        <w:rPr>
          <w:rFonts w:ascii="Open Sans" w:hAnsi="Open Sans" w:cs="Open Sans"/>
          <w:noProof/>
          <w:sz w:val="20"/>
          <w:szCs w:val="20"/>
        </w:rPr>
        <w:t>)</w:t>
      </w:r>
      <w:r w:rsidR="007C258C" w:rsidRPr="007437CC">
        <w:rPr>
          <w:rFonts w:ascii="Open Sans" w:hAnsi="Open Sans" w:cs="Open Sans"/>
          <w:noProof/>
          <w:sz w:val="20"/>
          <w:szCs w:val="20"/>
        </w:rPr>
        <w:t>;</w:t>
      </w:r>
    </w:p>
    <w:p w14:paraId="48FAE888" w14:textId="77777777" w:rsidR="00544F03" w:rsidRPr="007437CC" w:rsidRDefault="007C258C" w:rsidP="00544F03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14,25 МВт –</w:t>
      </w:r>
      <w:r w:rsidR="008878C1" w:rsidRPr="007437CC">
        <w:rPr>
          <w:rFonts w:ascii="Open Sans" w:hAnsi="Open Sans" w:cs="Open Sans"/>
          <w:noProof/>
          <w:sz w:val="20"/>
          <w:szCs w:val="20"/>
        </w:rPr>
        <w:t xml:space="preserve"> існуючі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ФЕС</w:t>
      </w:r>
      <w:r w:rsidR="008878C1" w:rsidRPr="007437CC">
        <w:rPr>
          <w:rFonts w:ascii="Open Sans" w:hAnsi="Open Sans" w:cs="Open Sans"/>
          <w:noProof/>
          <w:sz w:val="20"/>
          <w:szCs w:val="20"/>
        </w:rPr>
        <w:t>, які працювали за «зеленим» тарифом</w:t>
      </w:r>
      <w:r w:rsidRPr="007437CC">
        <w:rPr>
          <w:rFonts w:ascii="Open Sans" w:hAnsi="Open Sans" w:cs="Open Sans"/>
          <w:noProof/>
          <w:sz w:val="20"/>
          <w:szCs w:val="20"/>
        </w:rPr>
        <w:t>,</w:t>
      </w:r>
      <w:r w:rsidR="008878C1" w:rsidRPr="007437CC">
        <w:rPr>
          <w:rFonts w:ascii="Open Sans" w:hAnsi="Open Sans" w:cs="Open Sans"/>
          <w:noProof/>
          <w:sz w:val="20"/>
          <w:szCs w:val="20"/>
        </w:rPr>
        <w:t xml:space="preserve"> але в зв’язку зі зміною назви ТОВ було видано нові постанови;</w:t>
      </w:r>
    </w:p>
    <w:p w14:paraId="3EFEE46B" w14:textId="4AC37F63" w:rsidR="008878C1" w:rsidRPr="007437CC" w:rsidRDefault="008878C1" w:rsidP="00544F03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281,15 МВт – ФЕС, що були побудовані у 2020 році.</w:t>
      </w:r>
    </w:p>
    <w:p w14:paraId="7EE32D5E" w14:textId="6C507B7D" w:rsidR="008878C1" w:rsidRPr="007437CC" w:rsidRDefault="008878C1" w:rsidP="00544F03">
      <w:pPr>
        <w:spacing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Найбільше потужностей було побудовано в Запорізькій, Миколаївській та Хмельницькій областях.</w:t>
      </w:r>
    </w:p>
    <w:p w14:paraId="4D39B72C" w14:textId="669E4C7D" w:rsidR="007C258C" w:rsidRPr="007437CC" w:rsidRDefault="007C258C">
      <w:pPr>
        <w:rPr>
          <w:noProof/>
        </w:rPr>
      </w:pPr>
      <w:r w:rsidRPr="007437CC">
        <w:rPr>
          <w:noProof/>
        </w:rPr>
        <w:lastRenderedPageBreak/>
        <w:drawing>
          <wp:inline distT="0" distB="0" distL="0" distR="0" wp14:anchorId="4D2167A7" wp14:editId="36D76BEA">
            <wp:extent cx="6845935" cy="3379304"/>
            <wp:effectExtent l="0" t="0" r="12065" b="1206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DAD071D4-BAD1-4FA8-8384-ABD8D6CE50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DC52A84" w14:textId="3FD6B709" w:rsidR="008F1ECE" w:rsidRPr="007437CC" w:rsidRDefault="008878C1" w:rsidP="00544F03">
      <w:pPr>
        <w:spacing w:line="240" w:lineRule="auto"/>
        <w:rPr>
          <w:noProof/>
        </w:rPr>
      </w:pPr>
      <w:r w:rsidRPr="007437CC">
        <w:rPr>
          <w:noProof/>
        </w:rPr>
        <w:t xml:space="preserve">У 2020 році було побудовано </w:t>
      </w:r>
      <w:r w:rsidR="00527C3D" w:rsidRPr="007437CC">
        <w:rPr>
          <w:noProof/>
        </w:rPr>
        <w:t>22,2</w:t>
      </w:r>
      <w:r w:rsidR="00BD7D54" w:rsidRPr="007437CC">
        <w:rPr>
          <w:noProof/>
        </w:rPr>
        <w:t>3</w:t>
      </w:r>
      <w:r w:rsidR="00527C3D" w:rsidRPr="007437CC">
        <w:rPr>
          <w:noProof/>
        </w:rPr>
        <w:t xml:space="preserve"> МВт </w:t>
      </w:r>
      <w:r w:rsidR="008F1ECE" w:rsidRPr="007437CC">
        <w:rPr>
          <w:noProof/>
        </w:rPr>
        <w:t>ФЕС</w:t>
      </w:r>
      <w:r w:rsidR="00BD7D54" w:rsidRPr="007437CC">
        <w:rPr>
          <w:noProof/>
        </w:rPr>
        <w:t xml:space="preserve">, </w:t>
      </w:r>
      <w:r w:rsidR="008F1ECE" w:rsidRPr="007437CC">
        <w:rPr>
          <w:noProof/>
        </w:rPr>
        <w:t>піковою потужністю до 1 МВт.</w:t>
      </w:r>
      <w:r w:rsidR="00544F03" w:rsidRPr="007437CC">
        <w:rPr>
          <w:noProof/>
        </w:rPr>
        <w:t xml:space="preserve"> </w:t>
      </w:r>
      <w:r w:rsidR="008F1ECE" w:rsidRPr="007437CC">
        <w:rPr>
          <w:noProof/>
        </w:rPr>
        <w:t xml:space="preserve">Найбільше таких станцій побудували компанії </w:t>
      </w:r>
      <w:r w:rsidR="00BD7D54" w:rsidRPr="007437CC">
        <w:rPr>
          <w:noProof/>
        </w:rPr>
        <w:t>«</w:t>
      </w:r>
      <w:r w:rsidR="008F1ECE" w:rsidRPr="007437CC">
        <w:rPr>
          <w:noProof/>
        </w:rPr>
        <w:t>Екотехнік Україна</w:t>
      </w:r>
      <w:r w:rsidR="00BD7D54" w:rsidRPr="007437CC">
        <w:rPr>
          <w:noProof/>
        </w:rPr>
        <w:t>»</w:t>
      </w:r>
      <w:r w:rsidR="008F1ECE" w:rsidRPr="007437CC">
        <w:rPr>
          <w:noProof/>
        </w:rPr>
        <w:t xml:space="preserve"> та </w:t>
      </w:r>
      <w:r w:rsidR="00BD7D54" w:rsidRPr="007437CC">
        <w:rPr>
          <w:noProof/>
        </w:rPr>
        <w:t>«</w:t>
      </w:r>
      <w:r w:rsidR="008F1ECE" w:rsidRPr="007437CC">
        <w:rPr>
          <w:noProof/>
        </w:rPr>
        <w:t>Кларс</w:t>
      </w:r>
      <w:r w:rsidR="00BD7D54" w:rsidRPr="007437CC">
        <w:rPr>
          <w:noProof/>
        </w:rPr>
        <w:t>»</w:t>
      </w:r>
      <w:r w:rsidR="008F1ECE" w:rsidRPr="007437CC">
        <w:rPr>
          <w:noProof/>
        </w:rPr>
        <w:t>.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960"/>
        <w:gridCol w:w="5272"/>
        <w:gridCol w:w="2268"/>
        <w:gridCol w:w="2268"/>
      </w:tblGrid>
      <w:tr w:rsidR="00BB2877" w:rsidRPr="007437CC" w14:paraId="281A57D8" w14:textId="77777777" w:rsidTr="00BF0593">
        <w:trPr>
          <w:trHeight w:val="3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10B2" w14:textId="373BC250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6F88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Генеральний підрядник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7958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Пікова Потужність, МВт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DCA4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Частка, %</w:t>
            </w:r>
          </w:p>
        </w:tc>
      </w:tr>
      <w:tr w:rsidR="00BB2877" w:rsidRPr="007437CC" w14:paraId="58C1D407" w14:textId="77777777" w:rsidTr="00BF0593">
        <w:trPr>
          <w:trHeight w:val="2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D243" w14:textId="0A9A52A1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112F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Кларс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FE6F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3,997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B14E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17,98%</w:t>
            </w:r>
          </w:p>
        </w:tc>
      </w:tr>
      <w:tr w:rsidR="00BB2877" w:rsidRPr="007437CC" w14:paraId="2FA9FB69" w14:textId="77777777" w:rsidTr="00BF0593">
        <w:trPr>
          <w:trHeight w:val="2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F074" w14:textId="5D609C9D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58CC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Екотехнік Україна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6EF6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C017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17,96%</w:t>
            </w:r>
          </w:p>
        </w:tc>
      </w:tr>
      <w:tr w:rsidR="00BB2877" w:rsidRPr="007437CC" w14:paraId="013F6C41" w14:textId="77777777" w:rsidTr="00BF0593">
        <w:trPr>
          <w:trHeight w:val="2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C8CF" w14:textId="5E6520BB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629F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Дані відсутні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5B29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2,421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EEDC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10,89%</w:t>
            </w:r>
          </w:p>
        </w:tc>
      </w:tr>
      <w:tr w:rsidR="00BB2877" w:rsidRPr="007437CC" w14:paraId="655541DE" w14:textId="77777777" w:rsidTr="00BF0593">
        <w:trPr>
          <w:trHeight w:val="2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B6AD" w14:textId="68A57CC6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F50C7A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АРТ-ЕНЕРГО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6C7A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5B16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6,52%</w:t>
            </w:r>
          </w:p>
        </w:tc>
      </w:tr>
      <w:tr w:rsidR="00BB2877" w:rsidRPr="007437CC" w14:paraId="7351C3EA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CA8D" w14:textId="2FB0A5C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4216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Господарський спосіб будівництва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2F0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1,362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85CD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6,13%</w:t>
            </w:r>
          </w:p>
        </w:tc>
      </w:tr>
      <w:tr w:rsidR="00BB2877" w:rsidRPr="007437CC" w14:paraId="1766FFF0" w14:textId="77777777" w:rsidTr="00BF0593">
        <w:trPr>
          <w:trHeight w:val="2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DBED" w14:textId="26D481B6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C694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Санниватт.уа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C713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1,198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FD4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5,39%</w:t>
            </w:r>
          </w:p>
        </w:tc>
      </w:tr>
      <w:tr w:rsidR="00BB2877" w:rsidRPr="007437CC" w14:paraId="3FEEAB8F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5DEC" w14:textId="4180E25B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085D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Енергобудпроектбуд-2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CBA0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8BEC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4,50%</w:t>
            </w:r>
          </w:p>
        </w:tc>
      </w:tr>
      <w:tr w:rsidR="00BB2877" w:rsidRPr="007437CC" w14:paraId="33A083D9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6A16" w14:textId="0878A29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9F5E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Вольтаж Груп Дженерал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96A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D677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4,49%</w:t>
            </w:r>
          </w:p>
        </w:tc>
      </w:tr>
      <w:tr w:rsidR="00BB2877" w:rsidRPr="007437CC" w14:paraId="2D495178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F5F9" w14:textId="1702330E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18A3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Дніпрополімермаш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147C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A8D9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4,49%</w:t>
            </w:r>
          </w:p>
        </w:tc>
      </w:tr>
      <w:tr w:rsidR="00BB2877" w:rsidRPr="007437CC" w14:paraId="7A1F2F7F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2AC1" w14:textId="4A6D5C6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16DD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КМК ЕЛЕКТРО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F3B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FF70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4,49%</w:t>
            </w:r>
          </w:p>
        </w:tc>
      </w:tr>
      <w:tr w:rsidR="00BB2877" w:rsidRPr="007437CC" w14:paraId="46AFA091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03BD" w14:textId="607EBDB9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923304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ІСОЛАР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F39F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0C6D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4,49%</w:t>
            </w:r>
          </w:p>
        </w:tc>
      </w:tr>
      <w:tr w:rsidR="00BB2877" w:rsidRPr="007437CC" w14:paraId="2F0BFF4F" w14:textId="77777777" w:rsidTr="00BF0593">
        <w:trPr>
          <w:trHeight w:val="1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B4E3" w14:textId="79414808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5CF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ДІОРО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CDF8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0,763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7331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3,43%</w:t>
            </w:r>
          </w:p>
        </w:tc>
      </w:tr>
      <w:tr w:rsidR="00BB2877" w:rsidRPr="007437CC" w14:paraId="619BAB49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51BD" w14:textId="5875555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A9E9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БМП ТОРНАДО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18FF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0,651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E82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2,93%</w:t>
            </w:r>
          </w:p>
        </w:tc>
      </w:tr>
      <w:tr w:rsidR="00BB2877" w:rsidRPr="007437CC" w14:paraId="208A14DE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FE7D" w14:textId="2857BCF4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5DDBA0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Криворізька енергетична компанія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5746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0,614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0393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2,76%</w:t>
            </w:r>
          </w:p>
        </w:tc>
      </w:tr>
      <w:tr w:rsidR="00BB2877" w:rsidRPr="007437CC" w14:paraId="3E668E8E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42CA" w14:textId="48F8A805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3DCA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АЛЬТЕКО ГРУП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3258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0,605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2A25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2,72%</w:t>
            </w:r>
          </w:p>
        </w:tc>
      </w:tr>
      <w:tr w:rsidR="00BB2877" w:rsidRPr="007437CC" w14:paraId="1AA1DD6E" w14:textId="77777777" w:rsidTr="00BF059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B181" w14:textId="06529752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8C7D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ББХ МІСТ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5D2B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1895" w14:textId="77777777" w:rsidR="00BB2877" w:rsidRPr="007437CC" w:rsidRDefault="00BB2877" w:rsidP="00BF0593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0,81%</w:t>
            </w:r>
          </w:p>
        </w:tc>
      </w:tr>
    </w:tbl>
    <w:p w14:paraId="3320AF09" w14:textId="77777777" w:rsidR="00544F03" w:rsidRPr="007437CC" w:rsidRDefault="00544F03">
      <w:pPr>
        <w:rPr>
          <w:noProof/>
        </w:rPr>
      </w:pPr>
      <w:r w:rsidRPr="007437CC">
        <w:rPr>
          <w:noProof/>
        </w:rPr>
        <w:br w:type="page"/>
      </w:r>
    </w:p>
    <w:p w14:paraId="69FCAF6A" w14:textId="18717D26" w:rsidR="008F1ECE" w:rsidRPr="007437CC" w:rsidRDefault="00BF0593" w:rsidP="00544F03">
      <w:pPr>
        <w:spacing w:line="240" w:lineRule="auto"/>
        <w:jc w:val="center"/>
        <w:rPr>
          <w:rFonts w:ascii="Open Sans" w:hAnsi="Open Sans" w:cs="Open Sans"/>
          <w:noProof/>
          <w:sz w:val="20"/>
          <w:szCs w:val="20"/>
          <w:u w:val="single"/>
        </w:rPr>
      </w:pPr>
      <w:r w:rsidRPr="007437CC">
        <w:rPr>
          <w:rFonts w:ascii="Open Sans" w:hAnsi="Open Sans" w:cs="Open Sans"/>
          <w:noProof/>
          <w:sz w:val="20"/>
          <w:szCs w:val="20"/>
          <w:u w:val="single"/>
        </w:rPr>
        <w:lastRenderedPageBreak/>
        <w:t>Д</w:t>
      </w:r>
      <w:r w:rsidR="008F1ECE" w:rsidRPr="007437CC">
        <w:rPr>
          <w:rFonts w:ascii="Open Sans" w:hAnsi="Open Sans" w:cs="Open Sans"/>
          <w:noProof/>
          <w:sz w:val="20"/>
          <w:szCs w:val="20"/>
          <w:u w:val="single"/>
        </w:rPr>
        <w:t>ахові ФЕ</w:t>
      </w:r>
      <w:r w:rsidR="008940B4" w:rsidRPr="007437CC">
        <w:rPr>
          <w:rFonts w:ascii="Open Sans" w:hAnsi="Open Sans" w:cs="Open Sans"/>
          <w:noProof/>
          <w:sz w:val="20"/>
          <w:szCs w:val="20"/>
          <w:u w:val="single"/>
        </w:rPr>
        <w:t>С</w:t>
      </w:r>
    </w:p>
    <w:p w14:paraId="53589D97" w14:textId="42772306" w:rsidR="008F1ECE" w:rsidRPr="007437CC" w:rsidRDefault="008F1ECE" w:rsidP="00544F03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Наразі в Україні побудовано 143,39 МВт потужностей дахових ФЕС</w:t>
      </w:r>
      <w:r w:rsidR="008940B4" w:rsidRPr="007437CC">
        <w:rPr>
          <w:rFonts w:ascii="Open Sans" w:hAnsi="Open Sans" w:cs="Open Sans"/>
          <w:noProof/>
          <w:sz w:val="20"/>
          <w:szCs w:val="20"/>
        </w:rPr>
        <w:t>, з них:</w:t>
      </w:r>
    </w:p>
    <w:p w14:paraId="55D3F418" w14:textId="77777777" w:rsidR="00544F03" w:rsidRPr="007437CC" w:rsidRDefault="008940B4" w:rsidP="00544F03">
      <w:pPr>
        <w:pStyle w:val="a3"/>
        <w:numPr>
          <w:ilvl w:val="0"/>
          <w:numId w:val="4"/>
        </w:numPr>
        <w:spacing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135,1</w:t>
      </w:r>
      <w:r w:rsidR="00BF0593" w:rsidRPr="007437CC">
        <w:rPr>
          <w:rFonts w:ascii="Open Sans" w:hAnsi="Open Sans" w:cs="Open Sans"/>
          <w:noProof/>
          <w:sz w:val="20"/>
          <w:szCs w:val="20"/>
        </w:rPr>
        <w:t>6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МВт отримали «зелений» тариф до 2020 року включно;</w:t>
      </w:r>
    </w:p>
    <w:p w14:paraId="4D6508CD" w14:textId="77777777" w:rsidR="00544F03" w:rsidRPr="007437CC" w:rsidRDefault="008940B4" w:rsidP="00544F03">
      <w:pPr>
        <w:pStyle w:val="a3"/>
        <w:numPr>
          <w:ilvl w:val="0"/>
          <w:numId w:val="4"/>
        </w:numPr>
        <w:spacing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0,8</w:t>
      </w:r>
      <w:r w:rsidR="00BF0593" w:rsidRPr="007437CC">
        <w:rPr>
          <w:rFonts w:ascii="Open Sans" w:hAnsi="Open Sans" w:cs="Open Sans"/>
          <w:noProof/>
          <w:sz w:val="20"/>
          <w:szCs w:val="20"/>
        </w:rPr>
        <w:t>7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МВт отримали «зелений» тариф у 2021 році (величина тарифу 2020-го року);</w:t>
      </w:r>
    </w:p>
    <w:p w14:paraId="4310D50A" w14:textId="77777777" w:rsidR="00544F03" w:rsidRPr="007437CC" w:rsidRDefault="008940B4" w:rsidP="00544F03">
      <w:pPr>
        <w:pStyle w:val="a3"/>
        <w:numPr>
          <w:ilvl w:val="0"/>
          <w:numId w:val="4"/>
        </w:numPr>
        <w:spacing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7,2</w:t>
      </w:r>
      <w:r w:rsidR="00BF0593" w:rsidRPr="007437CC">
        <w:rPr>
          <w:rFonts w:ascii="Open Sans" w:hAnsi="Open Sans" w:cs="Open Sans"/>
          <w:noProof/>
          <w:sz w:val="20"/>
          <w:szCs w:val="20"/>
        </w:rPr>
        <w:t>1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МВт отримали ліцензію та побудовані, але ще не отримали «зелений» тариф;</w:t>
      </w:r>
    </w:p>
    <w:p w14:paraId="5F1C0775" w14:textId="380F6E8C" w:rsidR="006B397B" w:rsidRPr="007437CC" w:rsidRDefault="008940B4" w:rsidP="00544F03">
      <w:pPr>
        <w:pStyle w:val="a3"/>
        <w:numPr>
          <w:ilvl w:val="0"/>
          <w:numId w:val="4"/>
        </w:numPr>
        <w:spacing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0,16 МВт – дію «зеленого» тарифу припинено/ФЕС не працює.</w:t>
      </w:r>
    </w:p>
    <w:p w14:paraId="3B948A79" w14:textId="5837D542" w:rsidR="008F1ECE" w:rsidRPr="007437CC" w:rsidRDefault="008F1ECE">
      <w:pPr>
        <w:rPr>
          <w:noProof/>
        </w:rPr>
      </w:pPr>
      <w:r w:rsidRPr="007437CC">
        <w:rPr>
          <w:noProof/>
        </w:rPr>
        <w:drawing>
          <wp:inline distT="0" distB="0" distL="0" distR="0" wp14:anchorId="296B97AB" wp14:editId="2B3FFA06">
            <wp:extent cx="6830060" cy="1868557"/>
            <wp:effectExtent l="0" t="0" r="8890" b="1778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1B704C" w14:textId="4540B009" w:rsidR="00F81802" w:rsidRPr="007437CC" w:rsidRDefault="008940B4" w:rsidP="00544F03">
      <w:pPr>
        <w:spacing w:after="12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 xml:space="preserve">Найбільше дахових ФЕС побудовано в Київській (19,28%), Івано-Франківській (10,61%) та </w:t>
      </w:r>
      <w:r w:rsidR="00F81802" w:rsidRPr="007437CC">
        <w:rPr>
          <w:rFonts w:ascii="Open Sans" w:hAnsi="Open Sans" w:cs="Open Sans"/>
          <w:noProof/>
          <w:sz w:val="20"/>
          <w:szCs w:val="20"/>
        </w:rPr>
        <w:t>Львівській (14,26%) областях.</w:t>
      </w:r>
      <w:r w:rsidR="00544F03" w:rsidRPr="007437CC">
        <w:rPr>
          <w:rFonts w:ascii="Open Sans" w:hAnsi="Open Sans" w:cs="Open Sans"/>
          <w:noProof/>
          <w:sz w:val="20"/>
          <w:szCs w:val="20"/>
        </w:rPr>
        <w:t xml:space="preserve"> </w:t>
      </w:r>
      <w:r w:rsidR="00F81802" w:rsidRPr="007437CC">
        <w:rPr>
          <w:rFonts w:ascii="Open Sans" w:hAnsi="Open Sans" w:cs="Open Sans"/>
          <w:noProof/>
          <w:sz w:val="20"/>
          <w:szCs w:val="20"/>
        </w:rPr>
        <w:t xml:space="preserve">Найменше </w:t>
      </w:r>
      <w:r w:rsidR="00544F03" w:rsidRPr="007437CC">
        <w:rPr>
          <w:rFonts w:ascii="Open Sans" w:hAnsi="Open Sans" w:cs="Open Sans"/>
          <w:noProof/>
          <w:sz w:val="20"/>
          <w:szCs w:val="20"/>
        </w:rPr>
        <w:t>-</w:t>
      </w:r>
      <w:r w:rsidR="00F81802" w:rsidRPr="007437CC">
        <w:rPr>
          <w:rFonts w:ascii="Open Sans" w:hAnsi="Open Sans" w:cs="Open Sans"/>
          <w:noProof/>
          <w:sz w:val="20"/>
          <w:szCs w:val="20"/>
        </w:rPr>
        <w:t xml:space="preserve"> в Чернігівській (1,31 МВт), Полтавській (0,71 МВт), Житомирській (0,27 МВт) та Сумській (0,07 МВт) областях.</w:t>
      </w:r>
    </w:p>
    <w:p w14:paraId="131FC070" w14:textId="170A6DA9" w:rsidR="008940B4" w:rsidRPr="007437CC" w:rsidRDefault="00F81802">
      <w:pPr>
        <w:rPr>
          <w:noProof/>
        </w:rPr>
      </w:pPr>
      <w:r w:rsidRPr="007437CC">
        <w:rPr>
          <w:noProof/>
        </w:rPr>
        <w:drawing>
          <wp:inline distT="0" distB="0" distL="0" distR="0" wp14:anchorId="6C2F0165" wp14:editId="53741219">
            <wp:extent cx="6798310" cy="2798859"/>
            <wp:effectExtent l="0" t="0" r="2540" b="1905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61DA891" w14:textId="165137D4" w:rsidR="00F81802" w:rsidRPr="007437CC" w:rsidRDefault="00DE284E" w:rsidP="00544F03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 xml:space="preserve">У 2020 році було побудовано </w:t>
      </w:r>
      <w:r w:rsidR="005D5987" w:rsidRPr="007437CC">
        <w:rPr>
          <w:rFonts w:ascii="Open Sans" w:hAnsi="Open Sans" w:cs="Open Sans"/>
          <w:noProof/>
          <w:sz w:val="20"/>
          <w:szCs w:val="20"/>
        </w:rPr>
        <w:t>6,98 МВт потужностей</w:t>
      </w:r>
      <w:r w:rsidR="00BF0593" w:rsidRPr="007437CC">
        <w:rPr>
          <w:rFonts w:ascii="Open Sans" w:hAnsi="Open Sans" w:cs="Open Sans"/>
          <w:noProof/>
          <w:sz w:val="20"/>
          <w:szCs w:val="20"/>
        </w:rPr>
        <w:t xml:space="preserve"> дахових ФЕС, а саме</w:t>
      </w:r>
      <w:r w:rsidR="005D5987" w:rsidRPr="007437CC">
        <w:rPr>
          <w:rFonts w:ascii="Open Sans" w:hAnsi="Open Sans" w:cs="Open Sans"/>
          <w:noProof/>
          <w:sz w:val="20"/>
          <w:szCs w:val="20"/>
        </w:rPr>
        <w:t>:</w:t>
      </w:r>
    </w:p>
    <w:p w14:paraId="57FEAFF0" w14:textId="77777777" w:rsidR="00544F03" w:rsidRPr="007437CC" w:rsidRDefault="005D5987" w:rsidP="00544F03">
      <w:pPr>
        <w:pStyle w:val="a3"/>
        <w:numPr>
          <w:ilvl w:val="0"/>
          <w:numId w:val="5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2,9</w:t>
      </w:r>
      <w:r w:rsidR="00BF0593" w:rsidRPr="007437CC">
        <w:rPr>
          <w:rFonts w:ascii="Open Sans" w:hAnsi="Open Sans" w:cs="Open Sans"/>
          <w:noProof/>
          <w:sz w:val="20"/>
          <w:szCs w:val="20"/>
        </w:rPr>
        <w:t>6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МВт отримали «зелений» тариф у 2020;</w:t>
      </w:r>
    </w:p>
    <w:p w14:paraId="712582A5" w14:textId="77777777" w:rsidR="00544F03" w:rsidRPr="007437CC" w:rsidRDefault="005D5987" w:rsidP="00544F03">
      <w:pPr>
        <w:pStyle w:val="a3"/>
        <w:numPr>
          <w:ilvl w:val="0"/>
          <w:numId w:val="5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0,4</w:t>
      </w:r>
      <w:r w:rsidR="00BF0593" w:rsidRPr="007437CC">
        <w:rPr>
          <w:rFonts w:ascii="Open Sans" w:hAnsi="Open Sans" w:cs="Open Sans"/>
          <w:noProof/>
          <w:sz w:val="20"/>
          <w:szCs w:val="20"/>
        </w:rPr>
        <w:t>4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МВт отримали тариф у 2021 році (величина 2020-го року);</w:t>
      </w:r>
    </w:p>
    <w:p w14:paraId="6CDB2079" w14:textId="05ED06AB" w:rsidR="005D5987" w:rsidRPr="007437CC" w:rsidRDefault="005D5987" w:rsidP="00544F03">
      <w:pPr>
        <w:pStyle w:val="a3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3,58 МВт побудовані та отримали ліцензію, але ще не отримали «зелений» тариф.</w:t>
      </w:r>
    </w:p>
    <w:p w14:paraId="1C67B148" w14:textId="1DB22234" w:rsidR="00F81802" w:rsidRPr="007437CC" w:rsidRDefault="00DE284E" w:rsidP="00BF0593">
      <w:pPr>
        <w:ind w:right="-1"/>
        <w:rPr>
          <w:noProof/>
        </w:rPr>
      </w:pPr>
      <w:r w:rsidRPr="007437CC">
        <w:rPr>
          <w:noProof/>
        </w:rPr>
        <w:drawing>
          <wp:inline distT="0" distB="0" distL="0" distR="0" wp14:anchorId="3BD0C0C1" wp14:editId="22176614">
            <wp:extent cx="6821805" cy="2051436"/>
            <wp:effectExtent l="0" t="0" r="17145" b="635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5D6DF7C" w14:textId="375D8647" w:rsidR="005D5987" w:rsidRPr="007437CC" w:rsidRDefault="005D5987" w:rsidP="00A03D98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lastRenderedPageBreak/>
        <w:t xml:space="preserve">Переважна більшість дахових ФЕС, які були збудовані у 2020 році </w:t>
      </w:r>
      <w:r w:rsidR="00B77D1D" w:rsidRPr="007437CC">
        <w:rPr>
          <w:rFonts w:ascii="Open Sans" w:hAnsi="Open Sans" w:cs="Open Sans"/>
          <w:noProof/>
          <w:sz w:val="20"/>
          <w:szCs w:val="20"/>
        </w:rPr>
        <w:t xml:space="preserve">встановлено </w:t>
      </w:r>
      <w:r w:rsidR="00B72C64" w:rsidRPr="007437CC">
        <w:rPr>
          <w:rFonts w:ascii="Open Sans" w:hAnsi="Open Sans" w:cs="Open Sans"/>
          <w:noProof/>
          <w:sz w:val="20"/>
          <w:szCs w:val="20"/>
        </w:rPr>
        <w:t xml:space="preserve">на дахи, матеріал покриття яких - </w:t>
      </w:r>
      <w:r w:rsidR="00B77D1D" w:rsidRPr="007437CC">
        <w:rPr>
          <w:rFonts w:ascii="Open Sans" w:hAnsi="Open Sans" w:cs="Open Sans"/>
          <w:noProof/>
          <w:sz w:val="20"/>
          <w:szCs w:val="20"/>
        </w:rPr>
        <w:t>проф.настил та бетон.</w:t>
      </w:r>
    </w:p>
    <w:p w14:paraId="0985204C" w14:textId="45CCFADE" w:rsidR="005D5987" w:rsidRPr="007437CC" w:rsidRDefault="00BF0593" w:rsidP="00A03D98">
      <w:pPr>
        <w:spacing w:after="120" w:line="240" w:lineRule="auto"/>
        <w:rPr>
          <w:rFonts w:ascii="Open Sans" w:hAnsi="Open Sans" w:cs="Open Sans"/>
          <w:noProof/>
        </w:rPr>
      </w:pPr>
      <w:r w:rsidRPr="007437CC">
        <w:rPr>
          <w:rFonts w:ascii="Open Sans" w:hAnsi="Open Sans" w:cs="Open San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C42D50" wp14:editId="397DD626">
            <wp:simplePos x="0" y="0"/>
            <wp:positionH relativeFrom="margin">
              <wp:align>right</wp:align>
            </wp:positionH>
            <wp:positionV relativeFrom="paragraph">
              <wp:posOffset>306070</wp:posOffset>
            </wp:positionV>
            <wp:extent cx="3552825" cy="2865120"/>
            <wp:effectExtent l="0" t="0" r="9525" b="11430"/>
            <wp:wrapSquare wrapText="bothSides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D6886C29-8A3E-4220-92A7-CDD9EB6BD4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C64" w:rsidRPr="007437CC">
        <w:rPr>
          <w:rFonts w:ascii="Open Sans" w:hAnsi="Open Sans" w:cs="Open Sans"/>
          <w:noProof/>
          <w:sz w:val="20"/>
          <w:szCs w:val="20"/>
        </w:rPr>
        <w:t>В основному дахові ФЕС встановлю</w:t>
      </w:r>
      <w:r w:rsidRPr="007437CC">
        <w:rPr>
          <w:rFonts w:ascii="Open Sans" w:hAnsi="Open Sans" w:cs="Open Sans"/>
          <w:noProof/>
          <w:sz w:val="20"/>
          <w:szCs w:val="20"/>
        </w:rPr>
        <w:t>вали</w:t>
      </w:r>
      <w:r w:rsidR="00B72C64" w:rsidRPr="007437CC">
        <w:rPr>
          <w:rFonts w:ascii="Open Sans" w:hAnsi="Open Sans" w:cs="Open Sans"/>
          <w:noProof/>
          <w:sz w:val="20"/>
          <w:szCs w:val="20"/>
        </w:rPr>
        <w:t xml:space="preserve"> на</w:t>
      </w:r>
      <w:r w:rsidR="00B72C64" w:rsidRPr="007437CC">
        <w:rPr>
          <w:rFonts w:ascii="Open Sans" w:hAnsi="Open Sans" w:cs="Open Sans"/>
          <w:noProof/>
        </w:rPr>
        <w:t xml:space="preserve"> </w:t>
      </w:r>
      <w:r w:rsidR="00B72C64" w:rsidRPr="007437CC">
        <w:rPr>
          <w:rFonts w:ascii="Open Sans" w:hAnsi="Open Sans" w:cs="Open Sans"/>
          <w:noProof/>
          <w:sz w:val="20"/>
          <w:szCs w:val="20"/>
        </w:rPr>
        <w:t>дахах складів та виробничих потужностей.</w:t>
      </w:r>
      <w:r w:rsidR="00B77D1D" w:rsidRPr="007437CC">
        <w:rPr>
          <w:rFonts w:ascii="Open Sans" w:hAnsi="Open Sans" w:cs="Open Sans"/>
          <w:noProof/>
        </w:rPr>
        <w:drawing>
          <wp:anchor distT="0" distB="0" distL="114300" distR="114300" simplePos="0" relativeHeight="251659264" behindDoc="0" locked="0" layoutInCell="1" allowOverlap="1" wp14:anchorId="12AE5F6F" wp14:editId="7345A926">
            <wp:simplePos x="0" y="0"/>
            <wp:positionH relativeFrom="margin">
              <wp:posOffset>-74295</wp:posOffset>
            </wp:positionH>
            <wp:positionV relativeFrom="paragraph">
              <wp:posOffset>315595</wp:posOffset>
            </wp:positionV>
            <wp:extent cx="3343275" cy="2857500"/>
            <wp:effectExtent l="0" t="0" r="9525" b="0"/>
            <wp:wrapThrough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hrough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AF21D113-8360-4E60-AFBC-17ED5C3E54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B0330" w14:textId="37C4A917" w:rsidR="00B77D1D" w:rsidRPr="007437CC" w:rsidRDefault="00B72C64" w:rsidP="00A03D98">
      <w:pPr>
        <w:spacing w:before="12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Основними видами діяльності кінцевих бенефіціарів дахових ФЕС є:</w:t>
      </w:r>
    </w:p>
    <w:p w14:paraId="6399CD22" w14:textId="77777777" w:rsidR="00A03D98" w:rsidRPr="007437CC" w:rsidRDefault="00B72C64" w:rsidP="00A03D98">
      <w:pPr>
        <w:pStyle w:val="a3"/>
        <w:numPr>
          <w:ilvl w:val="0"/>
          <w:numId w:val="6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Торгівля (продуктами харчування, автомобілями, паливом, меблями та іншими товарами) – 23,88%;</w:t>
      </w:r>
    </w:p>
    <w:p w14:paraId="69EA8F6D" w14:textId="77777777" w:rsidR="00A03D98" w:rsidRPr="007437CC" w:rsidRDefault="00B72C64" w:rsidP="00A03D98">
      <w:pPr>
        <w:pStyle w:val="a3"/>
        <w:numPr>
          <w:ilvl w:val="0"/>
          <w:numId w:val="6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Сільське господарство (розведення свиней та великої рогатої худоби, вирощування зернових культур та фруктів, прісноводне рибництво тощо) – 21,64%;</w:t>
      </w:r>
    </w:p>
    <w:p w14:paraId="6D4CD3E1" w14:textId="77777777" w:rsidR="00A03D98" w:rsidRPr="007437CC" w:rsidRDefault="00B72C64" w:rsidP="00A03D98">
      <w:pPr>
        <w:pStyle w:val="a3"/>
        <w:numPr>
          <w:ilvl w:val="0"/>
          <w:numId w:val="6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Виробництво (паперу, продуктів харчування, дерев’яних конструкцій, іграшок тощо) – 10,45%;</w:t>
      </w:r>
    </w:p>
    <w:p w14:paraId="32B4002B" w14:textId="77777777" w:rsidR="00A03D98" w:rsidRPr="007437CC" w:rsidRDefault="00B72C64" w:rsidP="00A03D98">
      <w:pPr>
        <w:pStyle w:val="a3"/>
        <w:numPr>
          <w:ilvl w:val="0"/>
          <w:numId w:val="6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Надання в оренду майна – 5,22%;</w:t>
      </w:r>
    </w:p>
    <w:p w14:paraId="7C8082C8" w14:textId="77777777" w:rsidR="00A03D98" w:rsidRPr="007437CC" w:rsidRDefault="00B72C64" w:rsidP="00A03D98">
      <w:pPr>
        <w:pStyle w:val="a3"/>
        <w:numPr>
          <w:ilvl w:val="0"/>
          <w:numId w:val="6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Будівництво та монтаж комунікацій – 4,48%;</w:t>
      </w:r>
    </w:p>
    <w:p w14:paraId="08E4057E" w14:textId="77777777" w:rsidR="00A03D98" w:rsidRPr="007437CC" w:rsidRDefault="00B72C64" w:rsidP="00A03D98">
      <w:pPr>
        <w:pStyle w:val="a3"/>
        <w:numPr>
          <w:ilvl w:val="0"/>
          <w:numId w:val="6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Будівництво житлових та нежитлових приміщень – 3,73%;</w:t>
      </w:r>
    </w:p>
    <w:p w14:paraId="29B47A3A" w14:textId="6CC97D97" w:rsidR="00B72C64" w:rsidRPr="007437CC" w:rsidRDefault="00B72C64" w:rsidP="00A03D98">
      <w:pPr>
        <w:pStyle w:val="a3"/>
        <w:numPr>
          <w:ilvl w:val="0"/>
          <w:numId w:val="6"/>
        </w:numPr>
        <w:spacing w:line="240" w:lineRule="auto"/>
        <w:ind w:left="714" w:hanging="357"/>
        <w:contextualSpacing w:val="0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Інші.</w:t>
      </w:r>
    </w:p>
    <w:p w14:paraId="73B57DA1" w14:textId="563EB01F" w:rsidR="00AB445F" w:rsidRPr="007437CC" w:rsidRDefault="00B72C64">
      <w:pPr>
        <w:rPr>
          <w:noProof/>
        </w:rPr>
      </w:pPr>
      <w:r w:rsidRPr="007437CC">
        <w:rPr>
          <w:noProof/>
        </w:rPr>
        <w:drawing>
          <wp:inline distT="0" distB="0" distL="0" distR="0" wp14:anchorId="68E51490" wp14:editId="5D9DC388">
            <wp:extent cx="6677025" cy="3912042"/>
            <wp:effectExtent l="0" t="0" r="9525" b="1270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435AEB60-A9F9-4D28-8734-93D156692C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F77C37" w14:textId="77777777" w:rsidR="00AB445F" w:rsidRPr="007437CC" w:rsidRDefault="00AB445F">
      <w:pPr>
        <w:rPr>
          <w:noProof/>
        </w:rPr>
      </w:pPr>
      <w:r w:rsidRPr="007437CC">
        <w:rPr>
          <w:noProof/>
        </w:rPr>
        <w:br w:type="page"/>
      </w:r>
    </w:p>
    <w:p w14:paraId="4B3C5B7B" w14:textId="7EE60F0F" w:rsidR="00805942" w:rsidRPr="007437CC" w:rsidRDefault="00805942" w:rsidP="00AB445F">
      <w:pPr>
        <w:jc w:val="center"/>
        <w:rPr>
          <w:rFonts w:ascii="Open Sans" w:hAnsi="Open Sans" w:cs="Open Sans"/>
          <w:noProof/>
          <w:sz w:val="20"/>
          <w:szCs w:val="20"/>
          <w:u w:val="single"/>
        </w:rPr>
      </w:pPr>
      <w:r w:rsidRPr="007437CC">
        <w:rPr>
          <w:rFonts w:ascii="Open Sans" w:hAnsi="Open Sans" w:cs="Open Sans"/>
          <w:noProof/>
          <w:sz w:val="20"/>
          <w:szCs w:val="20"/>
          <w:u w:val="single"/>
        </w:rPr>
        <w:lastRenderedPageBreak/>
        <w:t>КОНКУРЕНТИ ТА ЧАСТКА РИНКУ</w:t>
      </w:r>
    </w:p>
    <w:p w14:paraId="5ADCA876" w14:textId="2179900A" w:rsidR="00805942" w:rsidRPr="007437CC" w:rsidRDefault="00805942" w:rsidP="00AB445F">
      <w:pPr>
        <w:spacing w:after="120" w:line="240" w:lineRule="auto"/>
        <w:jc w:val="center"/>
        <w:rPr>
          <w:rFonts w:ascii="Open Sans" w:hAnsi="Open Sans" w:cs="Open Sans"/>
          <w:i/>
          <w:iCs/>
          <w:noProof/>
          <w:sz w:val="20"/>
          <w:szCs w:val="20"/>
        </w:rPr>
      </w:pPr>
      <w:r w:rsidRPr="007437CC">
        <w:rPr>
          <w:rFonts w:ascii="Open Sans" w:hAnsi="Open Sans" w:cs="Open Sans"/>
          <w:i/>
          <w:iCs/>
          <w:noProof/>
          <w:sz w:val="20"/>
          <w:szCs w:val="20"/>
        </w:rPr>
        <w:t>Наземні ФЕС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0"/>
        <w:gridCol w:w="5269"/>
        <w:gridCol w:w="2551"/>
        <w:gridCol w:w="1982"/>
      </w:tblGrid>
      <w:tr w:rsidR="00805942" w:rsidRPr="007437CC" w14:paraId="41695DD6" w14:textId="77777777" w:rsidTr="00AB445F">
        <w:trPr>
          <w:trHeight w:val="57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18F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№</w:t>
            </w:r>
          </w:p>
        </w:tc>
        <w:tc>
          <w:tcPr>
            <w:tcW w:w="2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8ED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Підрядник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459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Потужність ФЕС, МВт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B07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Частка, %</w:t>
            </w:r>
          </w:p>
        </w:tc>
      </w:tr>
      <w:tr w:rsidR="00805942" w:rsidRPr="007437CC" w14:paraId="7CBC50C3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BDF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D9A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bookmarkStart w:id="0" w:name="_Hlk64986373"/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KNESS</w:t>
            </w:r>
            <w:bookmarkEnd w:id="0"/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0B3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1160,84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6AD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18,92%</w:t>
            </w:r>
          </w:p>
        </w:tc>
      </w:tr>
      <w:tr w:rsidR="00805942" w:rsidRPr="007437CC" w14:paraId="4D60E0AE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36A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BC80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ССЕС-УКРАЇНА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6E0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621,71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52E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10,13%</w:t>
            </w:r>
          </w:p>
        </w:tc>
      </w:tr>
      <w:tr w:rsidR="00805942" w:rsidRPr="007437CC" w14:paraId="7ADFA22A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4ED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BA4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Helios Strategia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927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403,53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69B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6,58%</w:t>
            </w:r>
          </w:p>
        </w:tc>
      </w:tr>
      <w:tr w:rsidR="00805942" w:rsidRPr="007437CC" w14:paraId="6E04E1BB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1BC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225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Activ Solar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787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301,14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706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4,91%</w:t>
            </w:r>
          </w:p>
        </w:tc>
      </w:tr>
      <w:tr w:rsidR="00805942" w:rsidRPr="007437CC" w14:paraId="349FB4F8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AA4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926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ЕДС-ІНЖИНІРИНГ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268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295,29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C9D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4,81%</w:t>
            </w:r>
          </w:p>
        </w:tc>
      </w:tr>
      <w:tr w:rsidR="00805942" w:rsidRPr="007437CC" w14:paraId="42FED061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62D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964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Енерго-Сила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7A1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202,49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6D4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3,30%</w:t>
            </w:r>
          </w:p>
        </w:tc>
      </w:tr>
      <w:tr w:rsidR="00805942" w:rsidRPr="007437CC" w14:paraId="1596A5EC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F5E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530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СУНЕЛ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E36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165,59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82C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2,70%</w:t>
            </w:r>
          </w:p>
        </w:tc>
      </w:tr>
      <w:tr w:rsidR="00805942" w:rsidRPr="007437CC" w14:paraId="59D5FFA9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06D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DB4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Greenville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CC7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163,63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E33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2,67%</w:t>
            </w:r>
          </w:p>
        </w:tc>
      </w:tr>
      <w:tr w:rsidR="00805942" w:rsidRPr="007437CC" w14:paraId="2EBA56B0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DD3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A91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Rodina Energy Group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E71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161,66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76E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2,63%</w:t>
            </w:r>
          </w:p>
        </w:tc>
      </w:tr>
      <w:tr w:rsidR="00805942" w:rsidRPr="007437CC" w14:paraId="0784FFCC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69B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774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СКАТЕК СОЛАР СОЛЮШНЗ ЮКРЕЙН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BFA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141,58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245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2,31%</w:t>
            </w:r>
          </w:p>
        </w:tc>
      </w:tr>
      <w:tr w:rsidR="00805942" w:rsidRPr="007437CC" w14:paraId="1F05CF78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D9D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4DA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Блок Майстер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6C30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137,86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3E9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2,25%</w:t>
            </w:r>
          </w:p>
        </w:tc>
      </w:tr>
      <w:tr w:rsidR="00805942" w:rsidRPr="007437CC" w14:paraId="5AF79C43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F34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C07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СОЛАР СТАЛЬКОНСТРУКЦІЯ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79D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131,41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C49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2,14%</w:t>
            </w:r>
          </w:p>
        </w:tc>
      </w:tr>
      <w:tr w:rsidR="00805942" w:rsidRPr="007437CC" w14:paraId="5C4ED40C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943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3F6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Нордік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0D1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121,46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E78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1,98%</w:t>
            </w:r>
          </w:p>
        </w:tc>
      </w:tr>
      <w:tr w:rsidR="00805942" w:rsidRPr="007437CC" w14:paraId="3258CCD6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BE6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554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СОЛАР СЕРВІС УКРАЇНА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846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91,07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FD6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1,48%</w:t>
            </w:r>
          </w:p>
        </w:tc>
      </w:tr>
      <w:tr w:rsidR="00805942" w:rsidRPr="007437CC" w14:paraId="18DEFFF8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F4D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112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Санниватт.уа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193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83,51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76E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1,36%</w:t>
            </w:r>
          </w:p>
        </w:tc>
      </w:tr>
      <w:tr w:rsidR="00805942" w:rsidRPr="007437CC" w14:paraId="219391BC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793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7F6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Тесла-енерго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C03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82,68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1A9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1,35%</w:t>
            </w:r>
          </w:p>
        </w:tc>
      </w:tr>
      <w:tr w:rsidR="00805942" w:rsidRPr="007437CC" w14:paraId="59CC5CBE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976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17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873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Атмосфера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FEC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82,09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284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1,34%</w:t>
            </w:r>
          </w:p>
        </w:tc>
      </w:tr>
      <w:tr w:rsidR="00805942" w:rsidRPr="007437CC" w14:paraId="12080CF1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CD0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18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3D8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Вольтаж груп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BEB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69,73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D43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1,14%</w:t>
            </w:r>
          </w:p>
        </w:tc>
      </w:tr>
      <w:tr w:rsidR="00805942" w:rsidRPr="007437CC" w14:paraId="168FF76C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38C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19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82E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ПАУЕР КОНСТРАКШН КОРПОРЕЙШН ОФ ЧАЙНА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033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69,00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C49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1,12%</w:t>
            </w:r>
          </w:p>
        </w:tc>
      </w:tr>
      <w:tr w:rsidR="00805942" w:rsidRPr="007437CC" w14:paraId="2F8122A4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B0A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20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601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СОЮЗ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651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60,77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C37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0,99%</w:t>
            </w:r>
          </w:p>
        </w:tc>
      </w:tr>
      <w:tr w:rsidR="00805942" w:rsidRPr="007437CC" w14:paraId="5EE17AD2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BDD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21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361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Рентехно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2CE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58,75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9EB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0,96%</w:t>
            </w:r>
          </w:p>
        </w:tc>
      </w:tr>
      <w:tr w:rsidR="00805942" w:rsidRPr="007437CC" w14:paraId="108BFF13" w14:textId="77777777" w:rsidTr="00AB445F">
        <w:trPr>
          <w:trHeight w:val="57"/>
        </w:trPr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B30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22</w:t>
            </w:r>
          </w:p>
        </w:tc>
        <w:tc>
          <w:tcPr>
            <w:tcW w:w="2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5DE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Інші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180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1529,96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909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24,94%</w:t>
            </w:r>
          </w:p>
        </w:tc>
      </w:tr>
    </w:tbl>
    <w:p w14:paraId="1106B11F" w14:textId="31701500" w:rsidR="00805942" w:rsidRPr="007437CC" w:rsidRDefault="00AB445F" w:rsidP="00AB445F">
      <w:pPr>
        <w:spacing w:before="120" w:after="120" w:line="240" w:lineRule="auto"/>
        <w:jc w:val="center"/>
        <w:rPr>
          <w:rFonts w:ascii="Open Sans" w:hAnsi="Open Sans" w:cs="Open Sans"/>
          <w:i/>
          <w:iCs/>
          <w:noProof/>
          <w:sz w:val="20"/>
          <w:szCs w:val="20"/>
        </w:rPr>
      </w:pPr>
      <w:r w:rsidRPr="007437CC">
        <w:rPr>
          <w:rFonts w:ascii="Open Sans" w:hAnsi="Open Sans" w:cs="Open Sans"/>
          <w:i/>
          <w:iCs/>
          <w:noProof/>
          <w:sz w:val="20"/>
          <w:szCs w:val="20"/>
        </w:rPr>
        <w:t>Д</w:t>
      </w:r>
      <w:r w:rsidR="00805942" w:rsidRPr="007437CC">
        <w:rPr>
          <w:rFonts w:ascii="Open Sans" w:hAnsi="Open Sans" w:cs="Open Sans"/>
          <w:i/>
          <w:iCs/>
          <w:noProof/>
          <w:sz w:val="20"/>
          <w:szCs w:val="20"/>
        </w:rPr>
        <w:t>ахові ФЕС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960"/>
        <w:gridCol w:w="5272"/>
        <w:gridCol w:w="2552"/>
        <w:gridCol w:w="1984"/>
      </w:tblGrid>
      <w:tr w:rsidR="00805942" w:rsidRPr="007437CC" w14:paraId="562FB5D1" w14:textId="77777777" w:rsidTr="00AB445F">
        <w:trPr>
          <w:trHeight w:val="1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A67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2FA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Підрядник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B5E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Потужність ФЕС, МВт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BE3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b/>
                <w:bCs/>
                <w:noProof/>
                <w:color w:val="000000"/>
                <w:sz w:val="16"/>
                <w:szCs w:val="16"/>
                <w:lang w:eastAsia="uk-UA"/>
              </w:rPr>
              <w:t>Частка, %</w:t>
            </w:r>
          </w:p>
        </w:tc>
      </w:tr>
      <w:tr w:rsidR="00805942" w:rsidRPr="007437CC" w14:paraId="7860500A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067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E08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ФЛЕКС ЕНЕРДЖІ СИСТЕМЗ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075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50E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12,00%</w:t>
            </w:r>
          </w:p>
        </w:tc>
      </w:tr>
      <w:tr w:rsidR="00805942" w:rsidRPr="007437CC" w14:paraId="746804B9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757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040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Цетус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C04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5D4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4,16%</w:t>
            </w:r>
          </w:p>
        </w:tc>
      </w:tr>
      <w:tr w:rsidR="00805942" w:rsidRPr="007437CC" w14:paraId="0EE48CE0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1E6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17B0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Renteco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777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7A8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3,97%</w:t>
            </w:r>
          </w:p>
        </w:tc>
      </w:tr>
      <w:tr w:rsidR="00805942" w:rsidRPr="007437CC" w14:paraId="7E4E3050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1C5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A4A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KNESS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78B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236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7437CC">
              <w:rPr>
                <w:rFonts w:ascii="Open Sans" w:eastAsia="Times New Roman" w:hAnsi="Open Sans" w:cs="Open Sans"/>
                <w:b/>
                <w:outline/>
                <w:noProof/>
                <w:color w:val="ED7D31" w:themeColor="accent2"/>
                <w:sz w:val="16"/>
                <w:szCs w:val="16"/>
                <w:lang w:eastAsia="uk-UA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3,77%</w:t>
            </w:r>
          </w:p>
        </w:tc>
      </w:tr>
      <w:tr w:rsidR="00805942" w:rsidRPr="007437CC" w14:paraId="6AB23C71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68D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030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МІІА ГРУП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23B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01F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3,32%</w:t>
            </w:r>
          </w:p>
        </w:tc>
      </w:tr>
      <w:tr w:rsidR="00805942" w:rsidRPr="007437CC" w14:paraId="7A9805D4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A17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AAC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Helios Strategia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458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E61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3,31%</w:t>
            </w:r>
          </w:p>
        </w:tc>
      </w:tr>
      <w:tr w:rsidR="00805942" w:rsidRPr="007437CC" w14:paraId="1BF8245B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9CA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E8F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АРТ-ЕНЕРГО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494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460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3,19%</w:t>
            </w:r>
          </w:p>
        </w:tc>
      </w:tr>
      <w:tr w:rsidR="00805942" w:rsidRPr="007437CC" w14:paraId="220A3371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85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C3A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Господарський спосіб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735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6,22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FD9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4,34%</w:t>
            </w:r>
          </w:p>
        </w:tc>
      </w:tr>
      <w:tr w:rsidR="00805942" w:rsidRPr="007437CC" w14:paraId="443312F0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489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DC0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ЕКОТЕХНІК УКРАЇНА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7B9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4,55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674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3,17%</w:t>
            </w:r>
          </w:p>
        </w:tc>
      </w:tr>
      <w:tr w:rsidR="00805942" w:rsidRPr="007437CC" w14:paraId="304994F7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516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FDC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СОЛАР СМАРТ ГРУП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3E8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208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2,44%</w:t>
            </w:r>
          </w:p>
        </w:tc>
      </w:tr>
      <w:tr w:rsidR="00805942" w:rsidRPr="007437CC" w14:paraId="127FE39C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8AF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16C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ІНДІАН СОЛАР ІНЖИНІРІНГ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478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D63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2,33%</w:t>
            </w:r>
          </w:p>
        </w:tc>
      </w:tr>
      <w:tr w:rsidR="00805942" w:rsidRPr="007437CC" w14:paraId="15980E93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933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748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СОНЯЧНА ЕНЕРГІЯ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87E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793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2,19%</w:t>
            </w:r>
          </w:p>
        </w:tc>
      </w:tr>
      <w:tr w:rsidR="00805942" w:rsidRPr="007437CC" w14:paraId="2E7C19A7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E91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8FA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ЕКСТІМ ЛТД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4537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497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1,82%</w:t>
            </w:r>
          </w:p>
        </w:tc>
      </w:tr>
      <w:tr w:rsidR="00805942" w:rsidRPr="007437CC" w14:paraId="5DD52B00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DBF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9F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Санниватт.уа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3D3B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C1FF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1,66%</w:t>
            </w:r>
          </w:p>
        </w:tc>
      </w:tr>
      <w:tr w:rsidR="00805942" w:rsidRPr="007437CC" w14:paraId="56DCE6FB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974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AD4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КВАЗАР-12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184A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C23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1,49%</w:t>
            </w:r>
          </w:p>
        </w:tc>
      </w:tr>
      <w:tr w:rsidR="00805942" w:rsidRPr="007437CC" w14:paraId="140E77FC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1DD3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150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Атмосфера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4EB1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B44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1,38%</w:t>
            </w:r>
          </w:p>
        </w:tc>
      </w:tr>
      <w:tr w:rsidR="00805942" w:rsidRPr="007437CC" w14:paraId="17B54DE7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CBE0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153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Метрополія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75D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7BA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1,26%</w:t>
            </w:r>
          </w:p>
        </w:tc>
      </w:tr>
      <w:tr w:rsidR="00805942" w:rsidRPr="007437CC" w14:paraId="144D4192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5749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401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ЕДС-ІНЖИНІРИНГ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AC5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7A8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1,13%</w:t>
            </w:r>
          </w:p>
        </w:tc>
      </w:tr>
      <w:tr w:rsidR="00805942" w:rsidRPr="007437CC" w14:paraId="67866EB6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3E2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30C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РБУ-1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C91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2550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1,12%</w:t>
            </w:r>
          </w:p>
        </w:tc>
      </w:tr>
      <w:tr w:rsidR="00805942" w:rsidRPr="007437CC" w14:paraId="5D0862EA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37AD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AF7C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Рентехно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CE08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0CA2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1,08%</w:t>
            </w:r>
          </w:p>
        </w:tc>
      </w:tr>
      <w:tr w:rsidR="00805942" w:rsidRPr="007437CC" w14:paraId="21AD7921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9076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21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D67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Вінниця Спеценерго Монтаж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2D4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EB4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1,05%</w:t>
            </w:r>
          </w:p>
        </w:tc>
      </w:tr>
      <w:tr w:rsidR="00805942" w:rsidRPr="007437CC" w14:paraId="3EF91B3A" w14:textId="77777777" w:rsidTr="00AB445F">
        <w:trPr>
          <w:trHeight w:val="1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B045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1344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Інші підрядники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0D7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57,12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62EE" w14:textId="77777777" w:rsidR="00805942" w:rsidRPr="007437CC" w:rsidRDefault="00805942" w:rsidP="00805942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</w:pPr>
            <w:r w:rsidRPr="007437CC">
              <w:rPr>
                <w:rFonts w:ascii="Open Sans" w:eastAsia="Times New Roman" w:hAnsi="Open Sans" w:cs="Open Sans"/>
                <w:noProof/>
                <w:color w:val="000000"/>
                <w:sz w:val="16"/>
                <w:szCs w:val="16"/>
                <w:lang w:eastAsia="uk-UA"/>
              </w:rPr>
              <w:t>39,83%</w:t>
            </w:r>
          </w:p>
        </w:tc>
      </w:tr>
    </w:tbl>
    <w:p w14:paraId="608E1FAD" w14:textId="6BEBD443" w:rsidR="00805942" w:rsidRPr="007437CC" w:rsidRDefault="00805942" w:rsidP="00AB445F">
      <w:pPr>
        <w:spacing w:before="120" w:after="12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Серед наземних ФЕС частка KNESS складає 18,92%, серед дахових – 3,77%.</w:t>
      </w:r>
    </w:p>
    <w:p w14:paraId="513AF6B7" w14:textId="1050383D" w:rsidR="00805942" w:rsidRPr="007437CC" w:rsidRDefault="00805942">
      <w:pPr>
        <w:rPr>
          <w:noProof/>
        </w:rPr>
      </w:pPr>
      <w:r w:rsidRPr="007437CC">
        <w:rPr>
          <w:noProof/>
        </w:rPr>
        <w:drawing>
          <wp:inline distT="0" distB="0" distL="0" distR="0" wp14:anchorId="2E456F5F" wp14:editId="30C33239">
            <wp:extent cx="3343275" cy="1947242"/>
            <wp:effectExtent l="0" t="0" r="9525" b="15240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3BA8E8F7-7D8A-4107-B26A-F887ED32EC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437CC">
        <w:rPr>
          <w:noProof/>
        </w:rPr>
        <w:t xml:space="preserve"> </w:t>
      </w:r>
      <w:r w:rsidRPr="007437CC">
        <w:rPr>
          <w:noProof/>
        </w:rPr>
        <w:drawing>
          <wp:inline distT="0" distB="0" distL="0" distR="0" wp14:anchorId="5ADFDD6F" wp14:editId="1AFB0F52">
            <wp:extent cx="3286125" cy="1955552"/>
            <wp:effectExtent l="0" t="0" r="9525" b="6985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BF7D8786-5349-4C09-B588-304E697F7C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08A26CB" w14:textId="06F27066" w:rsidR="00E706B5" w:rsidRPr="007437CC" w:rsidRDefault="00E706B5" w:rsidP="00243AC2">
      <w:pPr>
        <w:spacing w:after="0"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lastRenderedPageBreak/>
        <w:t>У</w:t>
      </w:r>
      <w:r w:rsidR="008F1326" w:rsidRPr="007437CC">
        <w:rPr>
          <w:rFonts w:ascii="Open Sans" w:hAnsi="Open Sans" w:cs="Open Sans"/>
          <w:noProof/>
          <w:sz w:val="20"/>
          <w:szCs w:val="20"/>
        </w:rPr>
        <w:t xml:space="preserve"> розрізі побудованих в</w:t>
      </w:r>
      <w:r w:rsidRPr="007437CC">
        <w:rPr>
          <w:rFonts w:ascii="Open Sans" w:hAnsi="Open Sans" w:cs="Open Sans"/>
          <w:noProof/>
          <w:sz w:val="20"/>
          <w:szCs w:val="20"/>
        </w:rPr>
        <w:t xml:space="preserve"> 2020 році </w:t>
      </w:r>
      <w:r w:rsidR="008F1326" w:rsidRPr="007437CC">
        <w:rPr>
          <w:rFonts w:ascii="Open Sans" w:hAnsi="Open Sans" w:cs="Open Sans"/>
          <w:noProof/>
          <w:sz w:val="20"/>
          <w:szCs w:val="20"/>
        </w:rPr>
        <w:t xml:space="preserve">потужностей, </w:t>
      </w:r>
      <w:r w:rsidRPr="007437CC">
        <w:rPr>
          <w:rFonts w:ascii="Open Sans" w:hAnsi="Open Sans" w:cs="Open Sans"/>
          <w:noProof/>
          <w:sz w:val="20"/>
          <w:szCs w:val="20"/>
        </w:rPr>
        <w:t>частка KNESS становить 2,96%</w:t>
      </w:r>
      <w:r w:rsidR="008F1326" w:rsidRPr="007437CC">
        <w:rPr>
          <w:rFonts w:ascii="Open Sans" w:hAnsi="Open Sans" w:cs="Open Sans"/>
          <w:noProof/>
          <w:sz w:val="20"/>
          <w:szCs w:val="20"/>
        </w:rPr>
        <w:t>;</w:t>
      </w:r>
      <w:r w:rsidR="00243AC2" w:rsidRPr="007437CC">
        <w:rPr>
          <w:rFonts w:ascii="Open Sans" w:hAnsi="Open Sans" w:cs="Open Sans"/>
          <w:noProof/>
          <w:sz w:val="20"/>
          <w:szCs w:val="20"/>
        </w:rPr>
        <w:t xml:space="preserve"> </w:t>
      </w:r>
      <w:r w:rsidRPr="007437CC">
        <w:rPr>
          <w:rFonts w:ascii="Open Sans" w:hAnsi="Open Sans" w:cs="Open Sans"/>
          <w:noProof/>
          <w:sz w:val="20"/>
          <w:szCs w:val="20"/>
        </w:rPr>
        <w:t>від загальної потужності на ринку</w:t>
      </w:r>
      <w:r w:rsidR="008F1326" w:rsidRPr="007437CC">
        <w:rPr>
          <w:rFonts w:ascii="Open Sans" w:hAnsi="Open Sans" w:cs="Open Sans"/>
          <w:noProof/>
          <w:sz w:val="20"/>
          <w:szCs w:val="20"/>
        </w:rPr>
        <w:t xml:space="preserve"> – 18,57%.</w:t>
      </w:r>
    </w:p>
    <w:p w14:paraId="2D9142F1" w14:textId="5C369A9B" w:rsidR="00BD7D54" w:rsidRPr="007437CC" w:rsidRDefault="00FE312D">
      <w:pPr>
        <w:rPr>
          <w:noProof/>
        </w:rPr>
      </w:pPr>
      <w:r w:rsidRPr="007437CC">
        <w:rPr>
          <w:noProof/>
        </w:rPr>
        <w:drawing>
          <wp:inline distT="0" distB="0" distL="0" distR="0" wp14:anchorId="7A372123" wp14:editId="610C51D3">
            <wp:extent cx="3426460" cy="2173439"/>
            <wp:effectExtent l="0" t="0" r="2540" b="17780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71AEAB47-44E6-473E-A6A6-BF8D346CA5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AB445F" w:rsidRPr="007437CC">
        <w:rPr>
          <w:noProof/>
        </w:rPr>
        <w:drawing>
          <wp:inline distT="0" distB="0" distL="0" distR="0" wp14:anchorId="0781366E" wp14:editId="04E7D91C">
            <wp:extent cx="3403158" cy="2181225"/>
            <wp:effectExtent l="0" t="0" r="6985" b="9525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id="{0C07B89D-4120-484F-9E1E-EE5D878F0D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6E08588" w14:textId="35D623E5" w:rsidR="00FE312D" w:rsidRPr="007437CC" w:rsidRDefault="00BD7D54" w:rsidP="008F1326">
      <w:pPr>
        <w:jc w:val="center"/>
        <w:rPr>
          <w:rFonts w:ascii="Open Sans" w:hAnsi="Open Sans" w:cs="Open Sans"/>
          <w:b/>
          <w:bCs/>
          <w:noProof/>
        </w:rPr>
      </w:pPr>
      <w:r w:rsidRPr="007437CC">
        <w:rPr>
          <w:rFonts w:ascii="Open Sans" w:hAnsi="Open Sans" w:cs="Open Sans"/>
          <w:b/>
          <w:bCs/>
          <w:noProof/>
        </w:rPr>
        <w:t>Приватні домогосподарства – В2С</w:t>
      </w:r>
    </w:p>
    <w:p w14:paraId="76010C70" w14:textId="54450036" w:rsidR="008F1326" w:rsidRPr="007437CC" w:rsidRDefault="008F1326" w:rsidP="008F1326">
      <w:pPr>
        <w:spacing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Станом на кінець 2020 року в Україні налічується 29931 приватних домогосподарств, що встановили сонячні електростанції. Очікувана кількість домашніх ФЕС на кінець 2021 року – 38931 (+9 тис.од.).</w:t>
      </w:r>
    </w:p>
    <w:p w14:paraId="61B2F479" w14:textId="6C4AE645" w:rsidR="00BD7D54" w:rsidRPr="007437CC" w:rsidRDefault="00BD7D54">
      <w:pPr>
        <w:rPr>
          <w:noProof/>
        </w:rPr>
      </w:pPr>
      <w:r w:rsidRPr="007437CC">
        <w:rPr>
          <w:noProof/>
        </w:rPr>
        <w:drawing>
          <wp:inline distT="0" distB="0" distL="0" distR="0" wp14:anchorId="6A94BC27" wp14:editId="6DFF7F76">
            <wp:extent cx="6840220" cy="1796995"/>
            <wp:effectExtent l="0" t="0" r="17780" b="13335"/>
            <wp:docPr id="18" name="Диаграмма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A29D42F" w14:textId="254804E4" w:rsidR="00BD7D54" w:rsidRPr="007437CC" w:rsidRDefault="008F1326" w:rsidP="00243AC2">
      <w:pPr>
        <w:spacing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 xml:space="preserve">Приріст потужностей домашніх </w:t>
      </w:r>
      <w:r w:rsidR="00243AC2" w:rsidRPr="007437CC">
        <w:rPr>
          <w:rFonts w:ascii="Open Sans" w:hAnsi="Open Sans" w:cs="Open Sans"/>
          <w:noProof/>
          <w:sz w:val="20"/>
          <w:szCs w:val="20"/>
        </w:rPr>
        <w:t>Ф</w:t>
      </w:r>
      <w:r w:rsidRPr="007437CC">
        <w:rPr>
          <w:rFonts w:ascii="Open Sans" w:hAnsi="Open Sans" w:cs="Open Sans"/>
          <w:noProof/>
          <w:sz w:val="20"/>
          <w:szCs w:val="20"/>
        </w:rPr>
        <w:t>ЕС у 2020 році склав 225,1 МВт і наразі в Україні встановлено 778,58 МВт потужностей</w:t>
      </w:r>
      <w:r w:rsidR="00243AC2" w:rsidRPr="007437CC">
        <w:rPr>
          <w:rFonts w:ascii="Open Sans" w:hAnsi="Open Sans" w:cs="Open Sans"/>
          <w:noProof/>
          <w:sz w:val="20"/>
          <w:szCs w:val="20"/>
        </w:rPr>
        <w:t>. Очікуваний приріст потужностей в 2021 році - +260 МВт.</w:t>
      </w:r>
    </w:p>
    <w:p w14:paraId="19C6316A" w14:textId="67FA0666" w:rsidR="00BD7D54" w:rsidRPr="007437CC" w:rsidRDefault="00BD7D54">
      <w:pPr>
        <w:rPr>
          <w:noProof/>
        </w:rPr>
      </w:pPr>
      <w:r w:rsidRPr="007437CC">
        <w:rPr>
          <w:noProof/>
        </w:rPr>
        <w:drawing>
          <wp:inline distT="0" distB="0" distL="0" distR="0" wp14:anchorId="2F877402" wp14:editId="7990BDC7">
            <wp:extent cx="6821805" cy="1956021"/>
            <wp:effectExtent l="0" t="0" r="17145" b="6350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DD470A9" w14:textId="3DD635C3" w:rsidR="00243AC2" w:rsidRPr="007437CC" w:rsidRDefault="00243AC2" w:rsidP="00243AC2">
      <w:pPr>
        <w:spacing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Середня потужність домашніх ФЕС зростає кожного кварталу і на кінець 2020 року середня потужність домашніх ФЕС становить 26,01 кВт.</w:t>
      </w:r>
    </w:p>
    <w:p w14:paraId="75EF245D" w14:textId="47345270" w:rsidR="00BD7D54" w:rsidRPr="007437CC" w:rsidRDefault="00BD7D54">
      <w:pPr>
        <w:rPr>
          <w:noProof/>
        </w:rPr>
      </w:pPr>
      <w:r w:rsidRPr="007437CC">
        <w:rPr>
          <w:noProof/>
        </w:rPr>
        <w:drawing>
          <wp:inline distT="0" distB="0" distL="0" distR="0" wp14:anchorId="4A439DD8" wp14:editId="74ED5BF7">
            <wp:extent cx="6814185" cy="1653485"/>
            <wp:effectExtent l="0" t="0" r="5715" b="4445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AEED88B" w14:textId="38C19785" w:rsidR="00243AC2" w:rsidRPr="007437CC" w:rsidRDefault="00243AC2" w:rsidP="00243AC2">
      <w:pPr>
        <w:spacing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lastRenderedPageBreak/>
        <w:t>Найбільше потужностей домашніх ФЕС встановлено в Дніпропетровській, Тернопільській та Закарпатській областях. Найменше – в Луганській, місті Києві, Чернігівській, Запорізькій, Рівненській та Полтавській областях.</w:t>
      </w:r>
    </w:p>
    <w:p w14:paraId="24354C00" w14:textId="15E85D32" w:rsidR="00BD7D54" w:rsidRPr="007437CC" w:rsidRDefault="00BD7D54">
      <w:pPr>
        <w:rPr>
          <w:noProof/>
        </w:rPr>
      </w:pPr>
      <w:r w:rsidRPr="007437CC">
        <w:rPr>
          <w:noProof/>
        </w:rPr>
        <w:drawing>
          <wp:inline distT="0" distB="0" distL="0" distR="0" wp14:anchorId="22EC7D9A" wp14:editId="4EA42352">
            <wp:extent cx="6814185" cy="2679590"/>
            <wp:effectExtent l="0" t="0" r="5715" b="6985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E4C1385" w14:textId="2F7D615C" w:rsidR="00BD7D54" w:rsidRPr="007437CC" w:rsidRDefault="00487C0E" w:rsidP="00CC4A33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 xml:space="preserve">Найбільша кількість </w:t>
      </w:r>
      <w:r w:rsidR="00CC4A33" w:rsidRPr="007437CC">
        <w:rPr>
          <w:rFonts w:ascii="Open Sans" w:hAnsi="Open Sans" w:cs="Open Sans"/>
          <w:noProof/>
          <w:sz w:val="20"/>
          <w:szCs w:val="20"/>
        </w:rPr>
        <w:t>домашніх ФЕС встановлена у Дніпропетровській, Тернопільській та Київській областях.</w:t>
      </w:r>
    </w:p>
    <w:p w14:paraId="3DB54859" w14:textId="708028BA" w:rsidR="00CC4A33" w:rsidRPr="007437CC" w:rsidRDefault="00CC4A33" w:rsidP="00CC4A33">
      <w:pPr>
        <w:spacing w:line="240" w:lineRule="auto"/>
        <w:jc w:val="both"/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 xml:space="preserve">Найменша – </w:t>
      </w:r>
      <w:r w:rsidRPr="007437CC">
        <w:rPr>
          <w:rFonts w:ascii="Open Sans" w:hAnsi="Open Sans" w:cs="Open Sans"/>
          <w:noProof/>
          <w:sz w:val="20"/>
          <w:szCs w:val="20"/>
        </w:rPr>
        <w:t>в Луганській, місті Києві, Чернігівській, Запорізькій, Рівненській та Полтавській областях.</w:t>
      </w:r>
    </w:p>
    <w:p w14:paraId="49DA33C5" w14:textId="0A406870" w:rsidR="00BD7D54" w:rsidRPr="007437CC" w:rsidRDefault="00BD7D54">
      <w:pPr>
        <w:rPr>
          <w:noProof/>
        </w:rPr>
      </w:pPr>
      <w:r w:rsidRPr="007437CC">
        <w:rPr>
          <w:noProof/>
        </w:rPr>
        <w:drawing>
          <wp:inline distT="0" distB="0" distL="0" distR="0" wp14:anchorId="2DFB8671" wp14:editId="0C9CA399">
            <wp:extent cx="6830060" cy="2441050"/>
            <wp:effectExtent l="0" t="0" r="8890" b="16510"/>
            <wp:docPr id="22" name="Диаграмма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3F345A9" w14:textId="01C1677F" w:rsidR="00BD7D54" w:rsidRPr="007437CC" w:rsidRDefault="00CC4A33">
      <w:pPr>
        <w:rPr>
          <w:rFonts w:ascii="Open Sans" w:hAnsi="Open Sans" w:cs="Open Sans"/>
          <w:noProof/>
          <w:sz w:val="20"/>
          <w:szCs w:val="20"/>
        </w:rPr>
      </w:pPr>
      <w:r w:rsidRPr="007437CC">
        <w:rPr>
          <w:rFonts w:ascii="Open Sans" w:hAnsi="Open Sans" w:cs="Open Sans"/>
          <w:noProof/>
          <w:sz w:val="20"/>
          <w:szCs w:val="20"/>
        </w:rPr>
        <w:t>Середня потужність домашніх ФЕС найбільша в Хмельницькій, Кіровоградській та Чернівецькій областях.</w:t>
      </w:r>
    </w:p>
    <w:p w14:paraId="322A2204" w14:textId="5FDF7B6A" w:rsidR="00BD7D54" w:rsidRPr="007437CC" w:rsidRDefault="00BD7D54">
      <w:pPr>
        <w:rPr>
          <w:noProof/>
        </w:rPr>
      </w:pPr>
      <w:r w:rsidRPr="007437CC">
        <w:rPr>
          <w:noProof/>
        </w:rPr>
        <w:drawing>
          <wp:inline distT="0" distB="0" distL="0" distR="0" wp14:anchorId="3D985906" wp14:editId="5C453450">
            <wp:extent cx="6837680" cy="2918128"/>
            <wp:effectExtent l="0" t="0" r="1270" b="15875"/>
            <wp:docPr id="23" name="Диаграмма 23">
              <a:extLst xmlns:a="http://schemas.openxmlformats.org/drawingml/2006/main">
                <a:ext uri="{FF2B5EF4-FFF2-40B4-BE49-F238E27FC236}">
                  <a16:creationId xmlns:a16="http://schemas.microsoft.com/office/drawing/2014/main" id="{02423D49-4143-4A11-9DF5-FACE09339C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sectPr w:rsidR="00BD7D54" w:rsidRPr="007437CC" w:rsidSect="00B77D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8" type="#_x0000_t75" style="width:11.65pt;height:11.65pt" o:bullet="t">
        <v:imagedata r:id="rId1" o:title="mso82FB"/>
      </v:shape>
    </w:pict>
  </w:numPicBullet>
  <w:abstractNum w:abstractNumId="0" w15:restartNumberingAfterBreak="0">
    <w:nsid w:val="108160CA"/>
    <w:multiLevelType w:val="hybridMultilevel"/>
    <w:tmpl w:val="E3B4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4BCA"/>
    <w:multiLevelType w:val="hybridMultilevel"/>
    <w:tmpl w:val="7DAE1E4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1459A"/>
    <w:multiLevelType w:val="hybridMultilevel"/>
    <w:tmpl w:val="E4EA7D5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20B7C"/>
    <w:multiLevelType w:val="hybridMultilevel"/>
    <w:tmpl w:val="4956B9A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F4AD5"/>
    <w:multiLevelType w:val="hybridMultilevel"/>
    <w:tmpl w:val="00B447E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D4A52"/>
    <w:multiLevelType w:val="hybridMultilevel"/>
    <w:tmpl w:val="D7CC55F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74"/>
    <w:rsid w:val="00243AC2"/>
    <w:rsid w:val="00422268"/>
    <w:rsid w:val="00487C0E"/>
    <w:rsid w:val="00527C3D"/>
    <w:rsid w:val="00544F03"/>
    <w:rsid w:val="005D5987"/>
    <w:rsid w:val="006108A2"/>
    <w:rsid w:val="006B397B"/>
    <w:rsid w:val="007437CC"/>
    <w:rsid w:val="007C258C"/>
    <w:rsid w:val="007F1F0C"/>
    <w:rsid w:val="00805942"/>
    <w:rsid w:val="008878C1"/>
    <w:rsid w:val="008940B4"/>
    <w:rsid w:val="008F1326"/>
    <w:rsid w:val="008F1ECE"/>
    <w:rsid w:val="00912874"/>
    <w:rsid w:val="00A03D98"/>
    <w:rsid w:val="00AB445F"/>
    <w:rsid w:val="00B72C64"/>
    <w:rsid w:val="00B77D1D"/>
    <w:rsid w:val="00BB2877"/>
    <w:rsid w:val="00BD7D54"/>
    <w:rsid w:val="00BF0593"/>
    <w:rsid w:val="00CC4A33"/>
    <w:rsid w:val="00DE284E"/>
    <w:rsid w:val="00E706B5"/>
    <w:rsid w:val="00EF42D6"/>
    <w:rsid w:val="00F81802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CD15"/>
  <w15:chartTrackingRefBased/>
  <w15:docId w15:val="{4C26A53E-774D-43FF-A271-6EDAD243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hcherba_VA\Desktop\&#1079;&#1074;&#1110;&#1090;%202020%20&#1088;&#1110;&#1082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Розвиток сонячної енергетики України (2011 - 2020</a:t>
            </a:r>
            <a:r>
              <a:rPr lang="uk-UA" sz="1000" b="0" i="1" baseline="0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)</a:t>
            </a:r>
            <a:endParaRPr lang="uk-UA" sz="1000" b="0" i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endParaRPr>
          </a:p>
        </c:rich>
      </c:tx>
      <c:layout>
        <c:manualLayout>
          <c:xMode val="edge"/>
          <c:yMode val="edge"/>
          <c:x val="0.2978323418285328"/>
          <c:y val="4.35334142006126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2.0512820512820513E-2"/>
          <c:y val="0.1447383891828336"/>
          <c:w val="0.95897435897435901"/>
          <c:h val="0.561124766811555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'В2В. заг.картина'!$B$3</c:f>
              <c:strCache>
                <c:ptCount val="1"/>
                <c:pt idx="0">
                  <c:v>Почали працювати за "зеленим" тарифом, МВт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'В2В. заг.картина'!$C$2:$L$2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'В2В. заг.картина'!$C$3:$L$3</c:f>
              <c:numCache>
                <c:formatCode>0.00</c:formatCode>
                <c:ptCount val="10"/>
                <c:pt idx="0">
                  <c:v>3.4119999999999995</c:v>
                </c:pt>
                <c:pt idx="1">
                  <c:v>161.39700000000002</c:v>
                </c:pt>
                <c:pt idx="2">
                  <c:v>180.58099999999996</c:v>
                </c:pt>
                <c:pt idx="3">
                  <c:v>66.902000000000001</c:v>
                </c:pt>
                <c:pt idx="4">
                  <c:v>20.650000000000002</c:v>
                </c:pt>
                <c:pt idx="5">
                  <c:v>103.37200000000001</c:v>
                </c:pt>
                <c:pt idx="6">
                  <c:v>213.25000000000006</c:v>
                </c:pt>
                <c:pt idx="7">
                  <c:v>707.56399999999985</c:v>
                </c:pt>
                <c:pt idx="8">
                  <c:v>4541.7829999999985</c:v>
                </c:pt>
                <c:pt idx="9">
                  <c:v>281.15375999999998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A-410A-A25B-B286DC912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30876672"/>
        <c:axId val="230878208"/>
      </c:barChart>
      <c:lineChart>
        <c:grouping val="standard"/>
        <c:varyColors val="0"/>
        <c:ser>
          <c:idx val="1"/>
          <c:order val="1"/>
          <c:tx>
            <c:strRef>
              <c:f>'В2В. заг.картина'!$B$4</c:f>
              <c:strCache>
                <c:ptCount val="1"/>
                <c:pt idx="0">
                  <c:v>Динаміка розвитку, МВт</c:v>
                </c:pt>
              </c:strCache>
            </c:strRef>
          </c:tx>
          <c:spPr>
            <a:ln w="19050" cap="rnd" cmpd="sng" algn="ctr">
              <a:solidFill>
                <a:schemeClr val="accent5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5A-410A-A25B-B286DC9126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1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'В2В. заг.картина'!$C$4:$L$4</c:f>
              <c:numCache>
                <c:formatCode>0.00</c:formatCode>
                <c:ptCount val="10"/>
                <c:pt idx="0">
                  <c:v>3.4119999999999995</c:v>
                </c:pt>
                <c:pt idx="1">
                  <c:v>164.80900000000003</c:v>
                </c:pt>
                <c:pt idx="2">
                  <c:v>345.39</c:v>
                </c:pt>
                <c:pt idx="3">
                  <c:v>412.29199999999997</c:v>
                </c:pt>
                <c:pt idx="4">
                  <c:v>432.94199999999995</c:v>
                </c:pt>
                <c:pt idx="5">
                  <c:v>536.31399999999996</c:v>
                </c:pt>
                <c:pt idx="6">
                  <c:v>749.56400000000008</c:v>
                </c:pt>
                <c:pt idx="7">
                  <c:v>1457.1279999999999</c:v>
                </c:pt>
                <c:pt idx="8">
                  <c:v>5998.9109999999982</c:v>
                </c:pt>
                <c:pt idx="9">
                  <c:v>6280.0647599999984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AF5A-410A-A25B-B286DC912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876672"/>
        <c:axId val="230878208"/>
      </c:lineChart>
      <c:catAx>
        <c:axId val="23087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0878208"/>
        <c:crosses val="autoZero"/>
        <c:auto val="1"/>
        <c:lblAlgn val="ctr"/>
        <c:lblOffset val="100"/>
        <c:noMultiLvlLbl val="0"/>
      </c:catAx>
      <c:valAx>
        <c:axId val="230878208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2308766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80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Частка побудованих потужностей (наземні ФЕС),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36-4DDB-AA97-8F391D3B0991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36-4DDB-AA97-8F391D3B0991}"/>
              </c:ext>
            </c:extLst>
          </c:dPt>
          <c:dLbls>
            <c:dLbl>
              <c:idx val="0"/>
              <c:layout>
                <c:manualLayout>
                  <c:x val="7.2090988626421701E-2"/>
                  <c:y val="0.1117370602647271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36-4DDB-AA97-8F391D3B0991}"/>
                </c:ext>
              </c:extLst>
            </c:dLbl>
            <c:dLbl>
              <c:idx val="1"/>
              <c:layout>
                <c:manualLayout>
                  <c:x val="0.17899424965041763"/>
                  <c:y val="-0.1964975268502396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Open Sans" panose="020B0606030504020204" pitchFamily="34" charset="0"/>
                      <a:ea typeface="Open Sans" panose="020B0606030504020204" pitchFamily="34" charset="0"/>
                      <a:cs typeface="Open Sans" panose="020B0606030504020204" pitchFamily="34" charset="0"/>
                    </a:defRPr>
                  </a:pPr>
                  <a:endParaRPr lang="uk-UA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E36-4DDB-AA97-8F391D3B09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,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'Конкуренти та частка ринку'!$G$6:$G$7</c:f>
              <c:strCache>
                <c:ptCount val="2"/>
                <c:pt idx="0">
                  <c:v>KNESS</c:v>
                </c:pt>
                <c:pt idx="1">
                  <c:v>Конкуренти</c:v>
                </c:pt>
              </c:strCache>
            </c:strRef>
          </c:cat>
          <c:val>
            <c:numRef>
              <c:f>'Конкуренти та частка ринку'!$H$6:$H$7</c:f>
              <c:numCache>
                <c:formatCode>0.00%</c:formatCode>
                <c:ptCount val="2"/>
                <c:pt idx="0">
                  <c:v>0.18920000000000001</c:v>
                </c:pt>
                <c:pt idx="1">
                  <c:v>0.81079999999999997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36-4DDB-AA97-8F391D3B09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80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Частка побудованих потужностей (дахові ФЕС),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10-4B1C-9133-C93F0DF9C175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10-4B1C-9133-C93F0DF9C175}"/>
              </c:ext>
            </c:extLst>
          </c:dPt>
          <c:dLbls>
            <c:dLbl>
              <c:idx val="0"/>
              <c:layout>
                <c:manualLayout>
                  <c:x val="0.18592323785613754"/>
                  <c:y val="7.68743302994887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Open Sans" panose="020B0606030504020204" pitchFamily="34" charset="0"/>
                      <a:ea typeface="Open Sans" panose="020B0606030504020204" pitchFamily="34" charset="0"/>
                      <a:cs typeface="Open Sans" panose="020B0606030504020204" pitchFamily="34" charset="0"/>
                    </a:defRPr>
                  </a:pPr>
                  <a:endParaRPr lang="uk-UA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10-4B1C-9133-C93F0DF9C175}"/>
                </c:ext>
              </c:extLst>
            </c:dLbl>
            <c:dLbl>
              <c:idx val="1"/>
              <c:layout>
                <c:manualLayout>
                  <c:x val="4.0821636425881547E-2"/>
                  <c:y val="-0.2558622929522572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Open Sans" panose="020B0606030504020204" pitchFamily="34" charset="0"/>
                      <a:ea typeface="Open Sans" panose="020B0606030504020204" pitchFamily="34" charset="0"/>
                      <a:cs typeface="Open Sans" panose="020B0606030504020204" pitchFamily="34" charset="0"/>
                    </a:defRPr>
                  </a:pPr>
                  <a:endParaRPr lang="uk-UA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10-4B1C-9133-C93F0DF9C1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'Конкуренти та частка ринку'!$G$10:$G$11</c:f>
              <c:strCache>
                <c:ptCount val="2"/>
                <c:pt idx="0">
                  <c:v>KNESS</c:v>
                </c:pt>
                <c:pt idx="1">
                  <c:v>Конкуренти</c:v>
                </c:pt>
              </c:strCache>
            </c:strRef>
          </c:cat>
          <c:val>
            <c:numRef>
              <c:f>'Конкуренти та частка ринку'!$H$10:$H$11</c:f>
              <c:numCache>
                <c:formatCode>0.00%</c:formatCode>
                <c:ptCount val="2"/>
                <c:pt idx="0">
                  <c:v>3.7699999999999997E-2</c:v>
                </c:pt>
                <c:pt idx="1">
                  <c:v>0.96230000000000004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10-4B1C-9133-C93F0DF9C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1" u="none" strike="noStrike" kern="1200" spc="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uk-UA" sz="900" b="0" i="1">
                <a:solidFill>
                  <a:sysClr val="windowText" lastClr="000000"/>
                </a:solidFill>
              </a:rPr>
              <a:t>Частка ринку від загальної потужності на ринку,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spc="0" baseline="0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4.0770941438102296E-2"/>
          <c:y val="0.19000584453535943"/>
          <c:w val="0.91845811712379544"/>
          <c:h val="0.6871618107935222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'Конкуренти та частка ринку'!$C$55:$C$63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'Конкуренти та частка ринку'!$F$55:$F$63</c:f>
              <c:numCache>
                <c:formatCode>0.00%</c:formatCode>
                <c:ptCount val="9"/>
                <c:pt idx="0">
                  <c:v>5.0622235436171559E-2</c:v>
                </c:pt>
                <c:pt idx="1">
                  <c:v>6.0826891340224079E-2</c:v>
                </c:pt>
                <c:pt idx="2">
                  <c:v>7.0316668768736698E-2</c:v>
                </c:pt>
                <c:pt idx="3">
                  <c:v>7.5929339264843757E-2</c:v>
                </c:pt>
                <c:pt idx="4">
                  <c:v>0.16693205845829126</c:v>
                </c:pt>
                <c:pt idx="5">
                  <c:v>0.24416727590972898</c:v>
                </c:pt>
                <c:pt idx="6">
                  <c:v>0.24757262230909019</c:v>
                </c:pt>
                <c:pt idx="7">
                  <c:v>0.19302135198511355</c:v>
                </c:pt>
                <c:pt idx="8">
                  <c:v>0.1857046964592132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BF-4ADF-8CE4-8B3AE0A302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3374768"/>
        <c:axId val="443376736"/>
      </c:barChart>
      <c:catAx>
        <c:axId val="44337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443376736"/>
        <c:crosses val="autoZero"/>
        <c:auto val="1"/>
        <c:lblAlgn val="ctr"/>
        <c:lblOffset val="100"/>
        <c:noMultiLvlLbl val="0"/>
      </c:catAx>
      <c:valAx>
        <c:axId val="443376736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44337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Open Sans" panose="020B0606030504020204" pitchFamily="34" charset="0"/>
          <a:ea typeface="Open Sans" panose="020B0606030504020204" pitchFamily="34" charset="0"/>
          <a:cs typeface="Open Sans" panose="020B0606030504020204" pitchFamily="34" charset="0"/>
        </a:defRPr>
      </a:pPr>
      <a:endParaRPr lang="uk-UA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1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900" b="0" i="1" u="none" strike="noStrike" baseline="0">
                <a:solidFill>
                  <a:sysClr val="windowText" lastClr="000000"/>
                </a:solidFill>
                <a:effectLst/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Частка ринку по роках</a:t>
            </a:r>
            <a:r>
              <a:rPr lang="uk-UA" sz="900" b="0" i="1" u="none" strike="noStrike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, %</a:t>
            </a:r>
            <a:endParaRPr lang="uk-UA" sz="900" i="1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4.1052435155812653E-2"/>
          <c:y val="0.12375568774427215"/>
          <c:w val="0.91789512968837472"/>
          <c:h val="0.753876835264587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'Конкуренти та частка ринку'!$C$66:$C$74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'Конкуренти та частка ринку'!$F$66:$F$74</c:f>
              <c:numCache>
                <c:formatCode>0.00%</c:formatCode>
                <c:ptCount val="9"/>
                <c:pt idx="0">
                  <c:v>5.1692410639602962E-2</c:v>
                </c:pt>
                <c:pt idx="1">
                  <c:v>7.0140269463564844E-2</c:v>
                </c:pt>
                <c:pt idx="2">
                  <c:v>0.11930883979552181</c:v>
                </c:pt>
                <c:pt idx="3">
                  <c:v>0.18799031476997577</c:v>
                </c:pt>
                <c:pt idx="4">
                  <c:v>0.54806910962349564</c:v>
                </c:pt>
                <c:pt idx="5">
                  <c:v>0.43841031652989437</c:v>
                </c:pt>
                <c:pt idx="6">
                  <c:v>0.25118010526256285</c:v>
                </c:pt>
                <c:pt idx="7">
                  <c:v>0.17552049492457042</c:v>
                </c:pt>
                <c:pt idx="8">
                  <c:v>2.957997076048352E-2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D-417A-B0AF-680D15C76C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3369848"/>
        <c:axId val="443363944"/>
      </c:barChart>
      <c:catAx>
        <c:axId val="443369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443363944"/>
        <c:crosses val="autoZero"/>
        <c:auto val="1"/>
        <c:lblAlgn val="ctr"/>
        <c:lblOffset val="100"/>
        <c:noMultiLvlLbl val="0"/>
      </c:catAx>
      <c:valAx>
        <c:axId val="443363944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443369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0" i="1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Кількість приватних домогосподарств 2017 - 2020 роки</a:t>
            </a:r>
          </a:p>
        </c:rich>
      </c:tx>
      <c:layout>
        <c:manualLayout>
          <c:xMode val="edge"/>
          <c:yMode val="edge"/>
          <c:x val="0.20971723131712139"/>
          <c:y val="2.68024658268560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0" i="1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2.0423319717786857E-2"/>
          <c:y val="0.13870625662778366"/>
          <c:w val="0.95915336056442624"/>
          <c:h val="0.493805718611790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'К-сть, МВт, сер. пот.'!$B$3</c:f>
              <c:strCache>
                <c:ptCount val="1"/>
                <c:pt idx="0">
                  <c:v>Приріст СЕСд в періоді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'К-сть, МВт, сер. пот.'!$C$2:$R$2</c:f>
              <c:strCache>
                <c:ptCount val="16"/>
                <c:pt idx="0">
                  <c:v>1 кв. 2017</c:v>
                </c:pt>
                <c:pt idx="1">
                  <c:v>2 кв. 2017</c:v>
                </c:pt>
                <c:pt idx="2">
                  <c:v>3 кв. 2017</c:v>
                </c:pt>
                <c:pt idx="3">
                  <c:v>4 кв. 2017</c:v>
                </c:pt>
                <c:pt idx="4">
                  <c:v>1 кв. 2018</c:v>
                </c:pt>
                <c:pt idx="5">
                  <c:v>2 кв. 2018</c:v>
                </c:pt>
                <c:pt idx="6">
                  <c:v>3 кв. 2018</c:v>
                </c:pt>
                <c:pt idx="7">
                  <c:v>4 кв. 2018</c:v>
                </c:pt>
                <c:pt idx="8">
                  <c:v>1 кв. 2019</c:v>
                </c:pt>
                <c:pt idx="9">
                  <c:v>2 кв. 2019</c:v>
                </c:pt>
                <c:pt idx="10">
                  <c:v>3 кв. 2019</c:v>
                </c:pt>
                <c:pt idx="11">
                  <c:v>4 кв. 2019</c:v>
                </c:pt>
                <c:pt idx="12">
                  <c:v>1 кв. 2020</c:v>
                </c:pt>
                <c:pt idx="13">
                  <c:v>2 кв. 2020</c:v>
                </c:pt>
                <c:pt idx="14">
                  <c:v>3 кв. 2020</c:v>
                </c:pt>
                <c:pt idx="15">
                  <c:v>4 кв. 2020</c:v>
                </c:pt>
              </c:strCache>
            </c:strRef>
          </c:cat>
          <c:val>
            <c:numRef>
              <c:f>'К-сть, МВт, сер. пот.'!$C$3:$R$3</c:f>
              <c:numCache>
                <c:formatCode>General</c:formatCode>
                <c:ptCount val="16"/>
                <c:pt idx="0">
                  <c:v>200</c:v>
                </c:pt>
                <c:pt idx="1">
                  <c:v>326</c:v>
                </c:pt>
                <c:pt idx="2">
                  <c:v>688</c:v>
                </c:pt>
                <c:pt idx="3">
                  <c:v>687</c:v>
                </c:pt>
                <c:pt idx="4">
                  <c:v>543</c:v>
                </c:pt>
                <c:pt idx="5">
                  <c:v>1107</c:v>
                </c:pt>
                <c:pt idx="6">
                  <c:v>1371</c:v>
                </c:pt>
                <c:pt idx="7">
                  <c:v>1419</c:v>
                </c:pt>
                <c:pt idx="8">
                  <c:v>1393</c:v>
                </c:pt>
                <c:pt idx="9">
                  <c:v>3045</c:v>
                </c:pt>
                <c:pt idx="10">
                  <c:v>2902</c:v>
                </c:pt>
                <c:pt idx="11">
                  <c:v>7178</c:v>
                </c:pt>
                <c:pt idx="12">
                  <c:v>2171</c:v>
                </c:pt>
                <c:pt idx="13">
                  <c:v>1486</c:v>
                </c:pt>
                <c:pt idx="14">
                  <c:v>1998</c:v>
                </c:pt>
                <c:pt idx="15">
                  <c:v>2308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F3-486A-B8C0-3FD0ABC9E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1133952"/>
        <c:axId val="231135488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0" i="0" u="none" strike="noStrike" kern="1200" baseline="0">
                          <a:solidFill>
                            <a:schemeClr val="tx1"/>
                          </a:solidFill>
                          <a:latin typeface="Open Sans" panose="020B0606030504020204" pitchFamily="34" charset="0"/>
                          <a:ea typeface="Open Sans" panose="020B0606030504020204" pitchFamily="34" charset="0"/>
                          <a:cs typeface="Open Sans" panose="020B0606030504020204" pitchFamily="34" charset="0"/>
                        </a:defRPr>
                      </a:pPr>
                      <a:endParaRPr lang="uk-UA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'К-сть, МВт, сер. пот.'!$C$2:$R$2</c15:sqref>
                        </c15:formulaRef>
                      </c:ext>
                    </c:extLst>
                    <c:strCache>
                      <c:ptCount val="16"/>
                      <c:pt idx="0">
                        <c:v>1 кв. 2017</c:v>
                      </c:pt>
                      <c:pt idx="1">
                        <c:v>2 кв. 2017</c:v>
                      </c:pt>
                      <c:pt idx="2">
                        <c:v>3 кв. 2017</c:v>
                      </c:pt>
                      <c:pt idx="3">
                        <c:v>4 кв. 2017</c:v>
                      </c:pt>
                      <c:pt idx="4">
                        <c:v>1 кв. 2018</c:v>
                      </c:pt>
                      <c:pt idx="5">
                        <c:v>2 кв. 2018</c:v>
                      </c:pt>
                      <c:pt idx="6">
                        <c:v>3 кв. 2018</c:v>
                      </c:pt>
                      <c:pt idx="7">
                        <c:v>4 кв. 2018</c:v>
                      </c:pt>
                      <c:pt idx="8">
                        <c:v>1 кв. 2019</c:v>
                      </c:pt>
                      <c:pt idx="9">
                        <c:v>2 кв. 2019</c:v>
                      </c:pt>
                      <c:pt idx="10">
                        <c:v>3 кв. 2019</c:v>
                      </c:pt>
                      <c:pt idx="11">
                        <c:v>4 кв. 2019</c:v>
                      </c:pt>
                      <c:pt idx="12">
                        <c:v>1 кв. 2020</c:v>
                      </c:pt>
                      <c:pt idx="13">
                        <c:v>2 кв. 2020</c:v>
                      </c:pt>
                      <c:pt idx="14">
                        <c:v>3 кв. 2020</c:v>
                      </c:pt>
                      <c:pt idx="15">
                        <c:v>4 кв.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CBF3-486A-B8C0-3FD0ABC9E730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1"/>
          <c:order val="1"/>
          <c:tx>
            <c:strRef>
              <c:f>'К-сть, МВт, сер. пот.'!$B$4</c:f>
              <c:strCache>
                <c:ptCount val="1"/>
                <c:pt idx="0">
                  <c:v>Загальна кількість СЕСд</c:v>
                </c:pt>
              </c:strCache>
            </c:strRef>
          </c:tx>
          <c:spPr>
            <a:ln w="19050" cap="rnd" cmpd="sng" algn="ctr">
              <a:solidFill>
                <a:schemeClr val="accent4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F3-486A-B8C0-3FD0ABC9E730}"/>
                </c:ext>
              </c:extLst>
            </c:dLbl>
            <c:spPr>
              <a:noFill/>
              <a:ln>
                <a:solidFill>
                  <a:schemeClr val="accent2">
                    <a:lumMod val="75000"/>
                  </a:schemeClr>
                </a:solidFill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'К-сть, МВт, сер. пот.'!$C$2:$R$2</c:f>
              <c:strCache>
                <c:ptCount val="16"/>
                <c:pt idx="0">
                  <c:v>1 кв. 2017</c:v>
                </c:pt>
                <c:pt idx="1">
                  <c:v>2 кв. 2017</c:v>
                </c:pt>
                <c:pt idx="2">
                  <c:v>3 кв. 2017</c:v>
                </c:pt>
                <c:pt idx="3">
                  <c:v>4 кв. 2017</c:v>
                </c:pt>
                <c:pt idx="4">
                  <c:v>1 кв. 2018</c:v>
                </c:pt>
                <c:pt idx="5">
                  <c:v>2 кв. 2018</c:v>
                </c:pt>
                <c:pt idx="6">
                  <c:v>3 кв. 2018</c:v>
                </c:pt>
                <c:pt idx="7">
                  <c:v>4 кв. 2018</c:v>
                </c:pt>
                <c:pt idx="8">
                  <c:v>1 кв. 2019</c:v>
                </c:pt>
                <c:pt idx="9">
                  <c:v>2 кв. 2019</c:v>
                </c:pt>
                <c:pt idx="10">
                  <c:v>3 кв. 2019</c:v>
                </c:pt>
                <c:pt idx="11">
                  <c:v>4 кв. 2019</c:v>
                </c:pt>
                <c:pt idx="12">
                  <c:v>1 кв. 2020</c:v>
                </c:pt>
                <c:pt idx="13">
                  <c:v>2 кв. 2020</c:v>
                </c:pt>
                <c:pt idx="14">
                  <c:v>3 кв. 2020</c:v>
                </c:pt>
                <c:pt idx="15">
                  <c:v>4 кв. 2020</c:v>
                </c:pt>
              </c:strCache>
            </c:strRef>
          </c:cat>
          <c:val>
            <c:numRef>
              <c:f>'К-сть, МВт, сер. пот.'!$C$4:$R$4</c:f>
              <c:numCache>
                <c:formatCode>General</c:formatCode>
                <c:ptCount val="16"/>
                <c:pt idx="0">
                  <c:v>1309</c:v>
                </c:pt>
                <c:pt idx="1">
                  <c:v>1635</c:v>
                </c:pt>
                <c:pt idx="2">
                  <c:v>2323</c:v>
                </c:pt>
                <c:pt idx="3">
                  <c:v>3010</c:v>
                </c:pt>
                <c:pt idx="4">
                  <c:v>3553</c:v>
                </c:pt>
                <c:pt idx="5">
                  <c:v>4660</c:v>
                </c:pt>
                <c:pt idx="6">
                  <c:v>6031</c:v>
                </c:pt>
                <c:pt idx="7">
                  <c:v>7450</c:v>
                </c:pt>
                <c:pt idx="8">
                  <c:v>8843</c:v>
                </c:pt>
                <c:pt idx="9">
                  <c:v>11888</c:v>
                </c:pt>
                <c:pt idx="10">
                  <c:v>14790</c:v>
                </c:pt>
                <c:pt idx="11">
                  <c:v>21968</c:v>
                </c:pt>
                <c:pt idx="12">
                  <c:v>24139</c:v>
                </c:pt>
                <c:pt idx="13">
                  <c:v>25625</c:v>
                </c:pt>
                <c:pt idx="14">
                  <c:v>27623</c:v>
                </c:pt>
                <c:pt idx="15">
                  <c:v>29931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CBF3-486A-B8C0-3FD0ABC9E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133952"/>
        <c:axId val="231135488"/>
        <c:extLst>
          <c:ext xmlns:c15="http://schemas.microsoft.com/office/drawing/2012/chart" uri="{02D57815-91ED-43cb-92C2-25804820EDAC}">
            <c15:filteredLine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 cap="rnd" cmpd="sng" algn="ctr">
                    <a:solidFill>
                      <a:schemeClr val="accent2">
                        <a:lumMod val="60000"/>
                      </a:schemeClr>
                    </a:solidFill>
                    <a:prstDash val="solid"/>
                    <a:round/>
                  </a:ln>
                  <a:effectLst/>
                </c:spPr>
                <c:marker>
                  <c:symbol val="none"/>
                </c:marker>
                <c:dLbls>
                  <c:dLbl>
                    <c:idx val="19"/>
                    <c:dLblPos val="t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CBF3-486A-B8C0-3FD0ABC9E730}"/>
                      </c:ext>
                    </c:extLst>
                  </c:dLbl>
                  <c:spPr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2">
                            <a:lumMod val="40000"/>
                            <a:lumOff val="60000"/>
                          </a:schemeClr>
                        </a:gs>
                        <a:gs pos="83000">
                          <a:schemeClr val="accent2">
                            <a:lumMod val="60000"/>
                            <a:lumOff val="40000"/>
                          </a:schemeClr>
                        </a:gs>
                        <a:gs pos="100000">
                          <a:schemeClr val="accent2">
                            <a:lumMod val="75000"/>
                          </a:schemeClr>
                        </a:gs>
                      </a:gsLst>
                      <a:lin ang="5400000" scaled="1"/>
                    </a:gradFill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1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t"/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'К-сть, МВт, сер. пот.'!$C$2:$R$2</c15:sqref>
                        </c15:formulaRef>
                      </c:ext>
                    </c:extLst>
                    <c:strCache>
                      <c:ptCount val="16"/>
                      <c:pt idx="0">
                        <c:v>1 кв. 2017</c:v>
                      </c:pt>
                      <c:pt idx="1">
                        <c:v>2 кв. 2017</c:v>
                      </c:pt>
                      <c:pt idx="2">
                        <c:v>3 кв. 2017</c:v>
                      </c:pt>
                      <c:pt idx="3">
                        <c:v>4 кв. 2017</c:v>
                      </c:pt>
                      <c:pt idx="4">
                        <c:v>1 кв. 2018</c:v>
                      </c:pt>
                      <c:pt idx="5">
                        <c:v>2 кв. 2018</c:v>
                      </c:pt>
                      <c:pt idx="6">
                        <c:v>3 кв. 2018</c:v>
                      </c:pt>
                      <c:pt idx="7">
                        <c:v>4 кв. 2018</c:v>
                      </c:pt>
                      <c:pt idx="8">
                        <c:v>1 кв. 2019</c:v>
                      </c:pt>
                      <c:pt idx="9">
                        <c:v>2 кв. 2019</c:v>
                      </c:pt>
                      <c:pt idx="10">
                        <c:v>3 кв. 2019</c:v>
                      </c:pt>
                      <c:pt idx="11">
                        <c:v>4 кв. 2019</c:v>
                      </c:pt>
                      <c:pt idx="12">
                        <c:v>1 кв. 2020</c:v>
                      </c:pt>
                      <c:pt idx="13">
                        <c:v>2 кв. 2020</c:v>
                      </c:pt>
                      <c:pt idx="14">
                        <c:v>3 кв. 2020</c:v>
                      </c:pt>
                      <c:pt idx="15">
                        <c:v>4 кв.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5-CBF3-486A-B8C0-3FD0ABC9E730}"/>
                  </c:ext>
                </c:extLst>
              </c15:ser>
            </c15:filteredLineSeries>
          </c:ext>
        </c:extLst>
      </c:lineChart>
      <c:catAx>
        <c:axId val="2311339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1135488"/>
        <c:crosses val="autoZero"/>
        <c:auto val="1"/>
        <c:lblAlgn val="ctr"/>
        <c:lblOffset val="100"/>
        <c:noMultiLvlLbl val="0"/>
      </c:catAx>
      <c:valAx>
        <c:axId val="2311354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113395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Приріст потужностей ФЕСд 2017 - 2020 роки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2.0478451084427068E-2"/>
          <c:y val="0.1132826827351323"/>
          <c:w val="0.95904309783114583"/>
          <c:h val="0.58922681167342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'К-сть, МВт, сер. пот.'!$B$22</c:f>
              <c:strCache>
                <c:ptCount val="1"/>
                <c:pt idx="0">
                  <c:v>Приріст СЕСд в періоді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8F9-4137-8E73-F2D31762B09A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8F9-4137-8E73-F2D31762B09A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8F9-4137-8E73-F2D31762B09A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8F9-4137-8E73-F2D31762B09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'К-сть, МВт, сер. пот.'!$C$21:$R$21</c:f>
              <c:strCache>
                <c:ptCount val="16"/>
                <c:pt idx="0">
                  <c:v>1 кв. 2017</c:v>
                </c:pt>
                <c:pt idx="1">
                  <c:v>2 кв. 2017</c:v>
                </c:pt>
                <c:pt idx="2">
                  <c:v>3 кв. 2017</c:v>
                </c:pt>
                <c:pt idx="3">
                  <c:v>4 кв. 2017</c:v>
                </c:pt>
                <c:pt idx="4">
                  <c:v>1 кв. 2018</c:v>
                </c:pt>
                <c:pt idx="5">
                  <c:v>2 кв. 2018</c:v>
                </c:pt>
                <c:pt idx="6">
                  <c:v>3 кв. 2018</c:v>
                </c:pt>
                <c:pt idx="7">
                  <c:v>4 кв. 2018</c:v>
                </c:pt>
                <c:pt idx="8">
                  <c:v>1 кв. 2019</c:v>
                </c:pt>
                <c:pt idx="9">
                  <c:v>2 кв. 2019</c:v>
                </c:pt>
                <c:pt idx="10">
                  <c:v>3 кв. 2019</c:v>
                </c:pt>
                <c:pt idx="11">
                  <c:v>4 кв. 2019</c:v>
                </c:pt>
                <c:pt idx="12">
                  <c:v>1 кв. 2020</c:v>
                </c:pt>
                <c:pt idx="13">
                  <c:v>2 кв. 2020</c:v>
                </c:pt>
                <c:pt idx="14">
                  <c:v>3 кв. 2020</c:v>
                </c:pt>
                <c:pt idx="15">
                  <c:v>4 кв. 2020</c:v>
                </c:pt>
              </c:strCache>
            </c:strRef>
          </c:cat>
          <c:val>
            <c:numRef>
              <c:f>'К-сть, МВт, сер. пот.'!$C$22:$R$22</c:f>
              <c:numCache>
                <c:formatCode>0.00</c:formatCode>
                <c:ptCount val="16"/>
                <c:pt idx="0">
                  <c:v>3.4</c:v>
                </c:pt>
                <c:pt idx="1">
                  <c:v>4.8</c:v>
                </c:pt>
                <c:pt idx="2">
                  <c:v>12.2</c:v>
                </c:pt>
                <c:pt idx="3">
                  <c:v>13.9</c:v>
                </c:pt>
                <c:pt idx="4" formatCode="General">
                  <c:v>12</c:v>
                </c:pt>
                <c:pt idx="5" formatCode="General">
                  <c:v>26</c:v>
                </c:pt>
                <c:pt idx="6" formatCode="General">
                  <c:v>32</c:v>
                </c:pt>
                <c:pt idx="7" formatCode="General">
                  <c:v>36</c:v>
                </c:pt>
                <c:pt idx="8" formatCode="General">
                  <c:v>33</c:v>
                </c:pt>
                <c:pt idx="9">
                  <c:v>85.7</c:v>
                </c:pt>
                <c:pt idx="10">
                  <c:v>69.760000000000005</c:v>
                </c:pt>
                <c:pt idx="11">
                  <c:v>208.02</c:v>
                </c:pt>
                <c:pt idx="12">
                  <c:v>64.569999999999993</c:v>
                </c:pt>
                <c:pt idx="13">
                  <c:v>40.01</c:v>
                </c:pt>
                <c:pt idx="14">
                  <c:v>53.68</c:v>
                </c:pt>
                <c:pt idx="15">
                  <c:v>66.84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8F9-4137-8E73-F2D31762B0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0"/>
        <c:overlap val="100"/>
        <c:axId val="231924480"/>
        <c:axId val="231926016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19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3-A8F9-4137-8E73-F2D31762B09A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0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'К-сть, МВт, сер. пот.'!$C$21:$R$21</c15:sqref>
                        </c15:formulaRef>
                      </c:ext>
                    </c:extLst>
                    <c:strCache>
                      <c:ptCount val="16"/>
                      <c:pt idx="0">
                        <c:v>1 кв. 2017</c:v>
                      </c:pt>
                      <c:pt idx="1">
                        <c:v>2 кв. 2017</c:v>
                      </c:pt>
                      <c:pt idx="2">
                        <c:v>3 кв. 2017</c:v>
                      </c:pt>
                      <c:pt idx="3">
                        <c:v>4 кв. 2017</c:v>
                      </c:pt>
                      <c:pt idx="4">
                        <c:v>1 кв. 2018</c:v>
                      </c:pt>
                      <c:pt idx="5">
                        <c:v>2 кв. 2018</c:v>
                      </c:pt>
                      <c:pt idx="6">
                        <c:v>3 кв. 2018</c:v>
                      </c:pt>
                      <c:pt idx="7">
                        <c:v>4 кв. 2018</c:v>
                      </c:pt>
                      <c:pt idx="8">
                        <c:v>1 кв. 2019</c:v>
                      </c:pt>
                      <c:pt idx="9">
                        <c:v>2 кв. 2019</c:v>
                      </c:pt>
                      <c:pt idx="10">
                        <c:v>3 кв. 2019</c:v>
                      </c:pt>
                      <c:pt idx="11">
                        <c:v>4 кв. 2019</c:v>
                      </c:pt>
                      <c:pt idx="12">
                        <c:v>1 кв. 2020</c:v>
                      </c:pt>
                      <c:pt idx="13">
                        <c:v>2 кв. 2020</c:v>
                      </c:pt>
                      <c:pt idx="14">
                        <c:v>3 кв. 2020</c:v>
                      </c:pt>
                      <c:pt idx="15">
                        <c:v>4 кв.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4-A8F9-4137-8E73-F2D31762B09A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1"/>
          <c:order val="1"/>
          <c:tx>
            <c:strRef>
              <c:f>'К-сть, МВт, сер. пот.'!$B$23</c:f>
              <c:strCache>
                <c:ptCount val="1"/>
                <c:pt idx="0">
                  <c:v>Загальна кількість СЕСд</c:v>
                </c:pt>
              </c:strCache>
            </c:strRef>
          </c:tx>
          <c:spPr>
            <a:ln w="19050" cap="rnd" cmpd="sng" algn="ctr">
              <a:solidFill>
                <a:schemeClr val="accent4"/>
              </a:solidFill>
              <a:prstDash val="solid"/>
              <a:round/>
            </a:ln>
            <a:effectLst/>
          </c:spPr>
          <c:marker>
            <c:symbol val="none"/>
          </c:marker>
          <c:dPt>
            <c:idx val="16"/>
            <c:bubble3D val="0"/>
            <c:spPr>
              <a:ln w="19050" cap="rnd" cmpd="sng" algn="ctr">
                <a:solidFill>
                  <a:schemeClr val="accent4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A-A8F9-4137-8E73-F2D31762B09A}"/>
              </c:ext>
            </c:extLst>
          </c:dPt>
          <c:dPt>
            <c:idx val="17"/>
            <c:bubble3D val="0"/>
            <c:spPr>
              <a:ln w="19050" cap="rnd" cmpd="sng" algn="ctr">
                <a:solidFill>
                  <a:schemeClr val="accent4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A8F9-4137-8E73-F2D31762B09A}"/>
              </c:ext>
            </c:extLst>
          </c:dPt>
          <c:dPt>
            <c:idx val="18"/>
            <c:bubble3D val="0"/>
            <c:spPr>
              <a:ln w="19050" cap="rnd" cmpd="sng" algn="ctr">
                <a:solidFill>
                  <a:schemeClr val="accent4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A8F9-4137-8E73-F2D31762B09A}"/>
              </c:ext>
            </c:extLst>
          </c:dPt>
          <c:dPt>
            <c:idx val="19"/>
            <c:bubble3D val="0"/>
            <c:spPr>
              <a:ln w="19050" cap="rnd" cmpd="sng" algn="ctr">
                <a:solidFill>
                  <a:schemeClr val="accent4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0-A8F9-4137-8E73-F2D31762B09A}"/>
              </c:ext>
            </c:extLst>
          </c:dPt>
          <c:dLbls>
            <c:dLbl>
              <c:idx val="15"/>
              <c:spPr>
                <a:noFill/>
                <a:ln w="12700" cap="rnd">
                  <a:solidFill>
                    <a:schemeClr val="accent2">
                      <a:shade val="95000"/>
                      <a:satMod val="105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1" u="none" strike="noStrike" kern="1200" baseline="0">
                      <a:solidFill>
                        <a:schemeClr val="tx1"/>
                      </a:solidFill>
                      <a:latin typeface="Open Sans" panose="020B0606030504020204" pitchFamily="34" charset="0"/>
                      <a:ea typeface="Open Sans" panose="020B0606030504020204" pitchFamily="34" charset="0"/>
                      <a:cs typeface="Open Sans" panose="020B0606030504020204" pitchFamily="34" charset="0"/>
                    </a:defRPr>
                  </a:pPr>
                  <a:endParaRPr lang="uk-UA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8F9-4137-8E73-F2D31762B09A}"/>
                </c:ext>
              </c:extLst>
            </c:dLbl>
            <c:dLbl>
              <c:idx val="19"/>
              <c:spPr>
                <a:pattFill prst="pct50">
                  <a:fgClr>
                    <a:schemeClr val="accent1">
                      <a:lumMod val="40000"/>
                      <a:lumOff val="60000"/>
                    </a:schemeClr>
                  </a:fgClr>
                  <a:bgClr>
                    <a:schemeClr val="bg1"/>
                  </a:bgClr>
                </a:pattFill>
                <a:ln>
                  <a:noFill/>
                </a:ln>
                <a:effectLst/>
              </c:spPr>
              <c:txPr>
                <a:bodyPr rot="0" spcFirstLastPara="1" vertOverflow="ellipsis" vert="horz" wrap="square" anchor="t" anchorCtr="0"/>
                <a:lstStyle/>
                <a:p>
                  <a:pPr>
                    <a:defRPr sz="900" b="1" i="1" u="none" strike="noStrike" kern="1200" baseline="0">
                      <a:solidFill>
                        <a:schemeClr val="tx1"/>
                      </a:solidFill>
                      <a:latin typeface="Open Sans" panose="020B0606030504020204" pitchFamily="34" charset="0"/>
                      <a:ea typeface="Open Sans" panose="020B0606030504020204" pitchFamily="34" charset="0"/>
                      <a:cs typeface="Open Sans" panose="020B0606030504020204" pitchFamily="34" charset="0"/>
                    </a:defRPr>
                  </a:pPr>
                  <a:endParaRPr lang="uk-UA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8F9-4137-8E73-F2D31762B0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1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'К-сть, МВт, сер. пот.'!$C$21:$R$21</c:f>
              <c:strCache>
                <c:ptCount val="16"/>
                <c:pt idx="0">
                  <c:v>1 кв. 2017</c:v>
                </c:pt>
                <c:pt idx="1">
                  <c:v>2 кв. 2017</c:v>
                </c:pt>
                <c:pt idx="2">
                  <c:v>3 кв. 2017</c:v>
                </c:pt>
                <c:pt idx="3">
                  <c:v>4 кв. 2017</c:v>
                </c:pt>
                <c:pt idx="4">
                  <c:v>1 кв. 2018</c:v>
                </c:pt>
                <c:pt idx="5">
                  <c:v>2 кв. 2018</c:v>
                </c:pt>
                <c:pt idx="6">
                  <c:v>3 кв. 2018</c:v>
                </c:pt>
                <c:pt idx="7">
                  <c:v>4 кв. 2018</c:v>
                </c:pt>
                <c:pt idx="8">
                  <c:v>1 кв. 2019</c:v>
                </c:pt>
                <c:pt idx="9">
                  <c:v>2 кв. 2019</c:v>
                </c:pt>
                <c:pt idx="10">
                  <c:v>3 кв. 2019</c:v>
                </c:pt>
                <c:pt idx="11">
                  <c:v>4 кв. 2019</c:v>
                </c:pt>
                <c:pt idx="12">
                  <c:v>1 кв. 2020</c:v>
                </c:pt>
                <c:pt idx="13">
                  <c:v>2 кв. 2020</c:v>
                </c:pt>
                <c:pt idx="14">
                  <c:v>3 кв. 2020</c:v>
                </c:pt>
                <c:pt idx="15">
                  <c:v>4 кв. 2020</c:v>
                </c:pt>
              </c:strCache>
            </c:strRef>
          </c:cat>
          <c:val>
            <c:numRef>
              <c:f>'К-сть, МВт, сер. пот.'!$C$23:$R$23</c:f>
              <c:numCache>
                <c:formatCode>0.00</c:formatCode>
                <c:ptCount val="16"/>
                <c:pt idx="0">
                  <c:v>20.100000000000001</c:v>
                </c:pt>
                <c:pt idx="1">
                  <c:v>24.900000000000002</c:v>
                </c:pt>
                <c:pt idx="2">
                  <c:v>37.1</c:v>
                </c:pt>
                <c:pt idx="3" formatCode="0.0">
                  <c:v>51</c:v>
                </c:pt>
                <c:pt idx="4" formatCode="General">
                  <c:v>63</c:v>
                </c:pt>
                <c:pt idx="5" formatCode="General">
                  <c:v>89</c:v>
                </c:pt>
                <c:pt idx="6" formatCode="General">
                  <c:v>121</c:v>
                </c:pt>
                <c:pt idx="7" formatCode="General">
                  <c:v>157</c:v>
                </c:pt>
                <c:pt idx="8" formatCode="General">
                  <c:v>190</c:v>
                </c:pt>
                <c:pt idx="9">
                  <c:v>275.7</c:v>
                </c:pt>
                <c:pt idx="10">
                  <c:v>345.46</c:v>
                </c:pt>
                <c:pt idx="11">
                  <c:v>553.48</c:v>
                </c:pt>
                <c:pt idx="12">
                  <c:v>618.04999999999995</c:v>
                </c:pt>
                <c:pt idx="13">
                  <c:v>658.06</c:v>
                </c:pt>
                <c:pt idx="14">
                  <c:v>711.7399999999999</c:v>
                </c:pt>
                <c:pt idx="15">
                  <c:v>778.57999999999993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12-A8F9-4137-8E73-F2D31762B0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924480"/>
        <c:axId val="231926016"/>
        <c:extLst>
          <c:ext xmlns:c15="http://schemas.microsoft.com/office/drawing/2012/chart" uri="{02D57815-91ED-43cb-92C2-25804820EDAC}">
            <c15:filteredLine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19050" cap="rnd" cmpd="sng" algn="ctr">
                    <a:solidFill>
                      <a:schemeClr val="accent2">
                        <a:lumMod val="60000"/>
                      </a:schemeClr>
                    </a:solidFill>
                    <a:prstDash val="solid"/>
                    <a:round/>
                  </a:ln>
                  <a:effectLst>
                    <a:outerShdw blurRad="50800" dist="25400" dir="5400000" algn="ctr" rotWithShape="0">
                      <a:srgbClr val="000000">
                        <a:alpha val="43137"/>
                      </a:srgbClr>
                    </a:outerShdw>
                  </a:effectLst>
                </c:spPr>
                <c:marker>
                  <c:symbol val="none"/>
                </c:marker>
                <c:dLbls>
                  <c:dLbl>
                    <c:idx val="19"/>
                    <c:dLblPos val="t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15-A8F9-4137-8E73-F2D31762B09A}"/>
                      </c:ext>
                    </c:extLst>
                  </c:dLbl>
                  <c:spPr>
                    <a:gradFill>
                      <a:gsLst>
                        <a:gs pos="59052">
                          <a:schemeClr val="accent2">
                            <a:lumMod val="40000"/>
                            <a:lumOff val="60000"/>
                          </a:schemeClr>
                        </a:gs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2">
                            <a:lumMod val="40000"/>
                            <a:lumOff val="60000"/>
                          </a:schemeClr>
                        </a:gs>
                        <a:gs pos="83000">
                          <a:schemeClr val="accent2">
                            <a:lumMod val="60000"/>
                            <a:lumOff val="40000"/>
                          </a:schemeClr>
                        </a:gs>
                        <a:gs pos="100000">
                          <a:schemeClr val="accent2">
                            <a:lumMod val="75000"/>
                          </a:schemeClr>
                        </a:gs>
                      </a:gsLst>
                      <a:lin ang="5400000" scaled="1"/>
                    </a:gradFill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1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t"/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635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'К-сть, МВт, сер. пот.'!$C$21:$R$21</c15:sqref>
                        </c15:formulaRef>
                      </c:ext>
                    </c:extLst>
                    <c:strCache>
                      <c:ptCount val="16"/>
                      <c:pt idx="0">
                        <c:v>1 кв. 2017</c:v>
                      </c:pt>
                      <c:pt idx="1">
                        <c:v>2 кв. 2017</c:v>
                      </c:pt>
                      <c:pt idx="2">
                        <c:v>3 кв. 2017</c:v>
                      </c:pt>
                      <c:pt idx="3">
                        <c:v>4 кв. 2017</c:v>
                      </c:pt>
                      <c:pt idx="4">
                        <c:v>1 кв. 2018</c:v>
                      </c:pt>
                      <c:pt idx="5">
                        <c:v>2 кв. 2018</c:v>
                      </c:pt>
                      <c:pt idx="6">
                        <c:v>3 кв. 2018</c:v>
                      </c:pt>
                      <c:pt idx="7">
                        <c:v>4 кв. 2018</c:v>
                      </c:pt>
                      <c:pt idx="8">
                        <c:v>1 кв. 2019</c:v>
                      </c:pt>
                      <c:pt idx="9">
                        <c:v>2 кв. 2019</c:v>
                      </c:pt>
                      <c:pt idx="10">
                        <c:v>3 кв. 2019</c:v>
                      </c:pt>
                      <c:pt idx="11">
                        <c:v>4 кв. 2019</c:v>
                      </c:pt>
                      <c:pt idx="12">
                        <c:v>1 кв. 2020</c:v>
                      </c:pt>
                      <c:pt idx="13">
                        <c:v>2 кв. 2020</c:v>
                      </c:pt>
                      <c:pt idx="14">
                        <c:v>3 кв. 2020</c:v>
                      </c:pt>
                      <c:pt idx="15">
                        <c:v>4 кв.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'К-сть, МВт, сер. пот.'!#REF!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1"/>
                <c:extLst>
                  <c:ext xmlns:c16="http://schemas.microsoft.com/office/drawing/2014/chart" uri="{C3380CC4-5D6E-409C-BE32-E72D297353CC}">
                    <c16:uniqueId val="{00000016-A8F9-4137-8E73-F2D31762B09A}"/>
                  </c:ext>
                </c:extLst>
              </c15:ser>
            </c15:filteredLineSeries>
          </c:ext>
        </c:extLst>
      </c:lineChart>
      <c:catAx>
        <c:axId val="231924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1926016"/>
        <c:crosses val="autoZero"/>
        <c:auto val="1"/>
        <c:lblAlgn val="ctr"/>
        <c:lblOffset val="100"/>
        <c:noMultiLvlLbl val="0"/>
      </c:catAx>
      <c:valAx>
        <c:axId val="231926016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23192448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Середня потужність СЕСд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'К-сть, МВт, сер. пот.'!$B$40</c:f>
              <c:strCache>
                <c:ptCount val="1"/>
                <c:pt idx="0">
                  <c:v>Середня потужність СЕСд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'К-сть, МВт, сер. пот.'!$C$39:$R$39</c:f>
              <c:strCache>
                <c:ptCount val="16"/>
                <c:pt idx="0">
                  <c:v>1 кв. 2017</c:v>
                </c:pt>
                <c:pt idx="1">
                  <c:v>2 кв. 2017</c:v>
                </c:pt>
                <c:pt idx="2">
                  <c:v>3 кв. 2017</c:v>
                </c:pt>
                <c:pt idx="3">
                  <c:v>4 кв. 2017</c:v>
                </c:pt>
                <c:pt idx="4">
                  <c:v>1 кв. 2018</c:v>
                </c:pt>
                <c:pt idx="5">
                  <c:v>2 кв. 2018</c:v>
                </c:pt>
                <c:pt idx="6">
                  <c:v>3 кв. 2018</c:v>
                </c:pt>
                <c:pt idx="7">
                  <c:v>4 кв. 2018</c:v>
                </c:pt>
                <c:pt idx="8">
                  <c:v>1 кв. 2019</c:v>
                </c:pt>
                <c:pt idx="9">
                  <c:v>2 кв. 2019</c:v>
                </c:pt>
                <c:pt idx="10">
                  <c:v>3 кв. 2019</c:v>
                </c:pt>
                <c:pt idx="11">
                  <c:v>4 кв. 2019</c:v>
                </c:pt>
                <c:pt idx="12">
                  <c:v>1 кв. 2020</c:v>
                </c:pt>
                <c:pt idx="13">
                  <c:v>2 кв. 2020</c:v>
                </c:pt>
                <c:pt idx="14">
                  <c:v>3 кв. 2020</c:v>
                </c:pt>
                <c:pt idx="15">
                  <c:v>4 кв. 2020</c:v>
                </c:pt>
              </c:strCache>
            </c:strRef>
          </c:cat>
          <c:val>
            <c:numRef>
              <c:f>'К-сть, МВт, сер. пот.'!$C$40:$R$40</c:f>
              <c:numCache>
                <c:formatCode>General</c:formatCode>
                <c:ptCount val="16"/>
                <c:pt idx="0" formatCode="0.00">
                  <c:v>15.36</c:v>
                </c:pt>
                <c:pt idx="1">
                  <c:v>15.23</c:v>
                </c:pt>
                <c:pt idx="2">
                  <c:v>15.97</c:v>
                </c:pt>
                <c:pt idx="3">
                  <c:v>16.940000000000001</c:v>
                </c:pt>
                <c:pt idx="4">
                  <c:v>17.73</c:v>
                </c:pt>
                <c:pt idx="5">
                  <c:v>19.100000000000001</c:v>
                </c:pt>
                <c:pt idx="6">
                  <c:v>20.059999999999999</c:v>
                </c:pt>
                <c:pt idx="7">
                  <c:v>21.07</c:v>
                </c:pt>
                <c:pt idx="8">
                  <c:v>21.49</c:v>
                </c:pt>
                <c:pt idx="9">
                  <c:v>23.22</c:v>
                </c:pt>
                <c:pt idx="10">
                  <c:v>23.33</c:v>
                </c:pt>
                <c:pt idx="11">
                  <c:v>25.17</c:v>
                </c:pt>
                <c:pt idx="12">
                  <c:v>25.52</c:v>
                </c:pt>
                <c:pt idx="13">
                  <c:v>25.68</c:v>
                </c:pt>
                <c:pt idx="14">
                  <c:v>25.77</c:v>
                </c:pt>
                <c:pt idx="15">
                  <c:v>26.01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80-4E3D-B2EC-50179BA5D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31819904"/>
        <c:axId val="231821696"/>
      </c:barChart>
      <c:catAx>
        <c:axId val="2318199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1821696"/>
        <c:crosses val="autoZero"/>
        <c:auto val="1"/>
        <c:lblAlgn val="ctr"/>
        <c:lblOffset val="100"/>
        <c:noMultiLvlLbl val="0"/>
      </c:catAx>
      <c:valAx>
        <c:axId val="231821696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23181990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8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встановленої потужності СЕСд за областями</a:t>
            </a:r>
          </a:p>
        </c:rich>
      </c:tx>
      <c:layout>
        <c:manualLayout>
          <c:xMode val="edge"/>
          <c:yMode val="edge"/>
          <c:x val="0.25511590894582403"/>
          <c:y val="1.58182052320492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509510870612539"/>
          <c:y val="0.10334291831268531"/>
          <c:w val="0.82751195748108575"/>
          <c:h val="0.829488054607508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'СЕСд за областями'!$C$2</c:f>
              <c:strCache>
                <c:ptCount val="1"/>
                <c:pt idx="0">
                  <c:v>Встановлена потужність СЕСд, МВт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'СЕСд за областями'!$B$9:$B$27</c:f>
              <c:strCache>
                <c:ptCount val="19"/>
                <c:pt idx="0">
                  <c:v>Харківська</c:v>
                </c:pt>
                <c:pt idx="1">
                  <c:v>Донецька</c:v>
                </c:pt>
                <c:pt idx="2">
                  <c:v>Сумська</c:v>
                </c:pt>
                <c:pt idx="3">
                  <c:v>Черкаська</c:v>
                </c:pt>
                <c:pt idx="4">
                  <c:v>Житомирська</c:v>
                </c:pt>
                <c:pt idx="5">
                  <c:v>Миколаївська</c:v>
                </c:pt>
                <c:pt idx="6">
                  <c:v>Волинська</c:v>
                </c:pt>
                <c:pt idx="7">
                  <c:v>Львівська</c:v>
                </c:pt>
                <c:pt idx="8">
                  <c:v>Вінницька</c:v>
                </c:pt>
                <c:pt idx="9">
                  <c:v>Одеська</c:v>
                </c:pt>
                <c:pt idx="10">
                  <c:v>Чернівецька</c:v>
                </c:pt>
                <c:pt idx="11">
                  <c:v>Херсонська</c:v>
                </c:pt>
                <c:pt idx="12">
                  <c:v>Кіровоградська</c:v>
                </c:pt>
                <c:pt idx="13">
                  <c:v>Хмельницька</c:v>
                </c:pt>
                <c:pt idx="14">
                  <c:v>Київська</c:v>
                </c:pt>
                <c:pt idx="15">
                  <c:v>Івано-Франківська</c:v>
                </c:pt>
                <c:pt idx="16">
                  <c:v>Закарпатська</c:v>
                </c:pt>
                <c:pt idx="17">
                  <c:v>Тернопільська</c:v>
                </c:pt>
                <c:pt idx="18">
                  <c:v>Дніпропетровська</c:v>
                </c:pt>
              </c:strCache>
            </c:strRef>
          </c:cat>
          <c:val>
            <c:numRef>
              <c:f>'СЕСд за областями'!$C$9:$C$27</c:f>
              <c:numCache>
                <c:formatCode>General</c:formatCode>
                <c:ptCount val="19"/>
                <c:pt idx="0">
                  <c:v>15.7</c:v>
                </c:pt>
                <c:pt idx="1">
                  <c:v>16.170000000000002</c:v>
                </c:pt>
                <c:pt idx="2">
                  <c:v>16.579999999999998</c:v>
                </c:pt>
                <c:pt idx="3">
                  <c:v>19.93</c:v>
                </c:pt>
                <c:pt idx="4">
                  <c:v>20.079999999999998</c:v>
                </c:pt>
                <c:pt idx="5">
                  <c:v>20.14</c:v>
                </c:pt>
                <c:pt idx="6">
                  <c:v>20.71</c:v>
                </c:pt>
                <c:pt idx="7">
                  <c:v>25.96</c:v>
                </c:pt>
                <c:pt idx="8">
                  <c:v>26.51</c:v>
                </c:pt>
                <c:pt idx="9">
                  <c:v>30.12</c:v>
                </c:pt>
                <c:pt idx="10">
                  <c:v>34.86</c:v>
                </c:pt>
                <c:pt idx="11">
                  <c:v>43.18</c:v>
                </c:pt>
                <c:pt idx="12">
                  <c:v>43.69</c:v>
                </c:pt>
                <c:pt idx="13">
                  <c:v>44.09</c:v>
                </c:pt>
                <c:pt idx="14">
                  <c:v>50.36</c:v>
                </c:pt>
                <c:pt idx="15">
                  <c:v>58.43</c:v>
                </c:pt>
                <c:pt idx="16">
                  <c:v>59.84</c:v>
                </c:pt>
                <c:pt idx="17">
                  <c:v>70.77</c:v>
                </c:pt>
                <c:pt idx="18">
                  <c:v>114.46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C6-43ED-BD20-6B499CE6F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31859328"/>
        <c:axId val="231860864"/>
      </c:barChart>
      <c:catAx>
        <c:axId val="2318593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1860864"/>
        <c:crosses val="autoZero"/>
        <c:auto val="1"/>
        <c:lblAlgn val="ctr"/>
        <c:lblOffset val="100"/>
        <c:noMultiLvlLbl val="0"/>
      </c:catAx>
      <c:valAx>
        <c:axId val="2318608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3185932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uk-UA" sz="800" b="0" i="1"/>
              <a:t>Кількість встановлених СЕСд, од.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4335862349671891"/>
          <c:y val="0.10231629392971245"/>
          <c:w val="0.83618767624296131"/>
          <c:h val="0.8186658826193051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'СЕСд за областями'!$C$30</c:f>
              <c:strCache>
                <c:ptCount val="1"/>
                <c:pt idx="0">
                  <c:v>Кількість встановлених СЕСд, од.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'СЕСд за областями'!$B$37:$B$55</c:f>
              <c:strCache>
                <c:ptCount val="19"/>
                <c:pt idx="0">
                  <c:v>Сумська</c:v>
                </c:pt>
                <c:pt idx="1">
                  <c:v>Донецька</c:v>
                </c:pt>
                <c:pt idx="2">
                  <c:v>Харківська</c:v>
                </c:pt>
                <c:pt idx="3">
                  <c:v>Волинська</c:v>
                </c:pt>
                <c:pt idx="4">
                  <c:v>Житомирська</c:v>
                </c:pt>
                <c:pt idx="5">
                  <c:v>Миколаївська</c:v>
                </c:pt>
                <c:pt idx="6">
                  <c:v>Черкаська</c:v>
                </c:pt>
                <c:pt idx="7">
                  <c:v>Вінницька</c:v>
                </c:pt>
                <c:pt idx="8">
                  <c:v>Львівська</c:v>
                </c:pt>
                <c:pt idx="9">
                  <c:v>Чернівецька</c:v>
                </c:pt>
                <c:pt idx="10">
                  <c:v>Одеська</c:v>
                </c:pt>
                <c:pt idx="11">
                  <c:v>Хмельницька</c:v>
                </c:pt>
                <c:pt idx="12">
                  <c:v>Кіровоградська</c:v>
                </c:pt>
                <c:pt idx="13">
                  <c:v>Херсонська</c:v>
                </c:pt>
                <c:pt idx="14">
                  <c:v>Закарпатська</c:v>
                </c:pt>
                <c:pt idx="15">
                  <c:v>Івано-Франківська</c:v>
                </c:pt>
                <c:pt idx="16">
                  <c:v>Київська</c:v>
                </c:pt>
                <c:pt idx="17">
                  <c:v>Тернопільська</c:v>
                </c:pt>
                <c:pt idx="18">
                  <c:v>Дніпропетровська</c:v>
                </c:pt>
              </c:strCache>
            </c:strRef>
          </c:cat>
          <c:val>
            <c:numRef>
              <c:f>'СЕСд за областями'!$C$37:$C$55</c:f>
              <c:numCache>
                <c:formatCode>General</c:formatCode>
                <c:ptCount val="19"/>
                <c:pt idx="0">
                  <c:v>628</c:v>
                </c:pt>
                <c:pt idx="1">
                  <c:v>637</c:v>
                </c:pt>
                <c:pt idx="2">
                  <c:v>652</c:v>
                </c:pt>
                <c:pt idx="3">
                  <c:v>754</c:v>
                </c:pt>
                <c:pt idx="4">
                  <c:v>758</c:v>
                </c:pt>
                <c:pt idx="5">
                  <c:v>805</c:v>
                </c:pt>
                <c:pt idx="6">
                  <c:v>811</c:v>
                </c:pt>
                <c:pt idx="7">
                  <c:v>1094</c:v>
                </c:pt>
                <c:pt idx="8">
                  <c:v>1175</c:v>
                </c:pt>
                <c:pt idx="9">
                  <c:v>1231</c:v>
                </c:pt>
                <c:pt idx="10">
                  <c:v>1273</c:v>
                </c:pt>
                <c:pt idx="11">
                  <c:v>1508</c:v>
                </c:pt>
                <c:pt idx="12">
                  <c:v>1550</c:v>
                </c:pt>
                <c:pt idx="13">
                  <c:v>1693</c:v>
                </c:pt>
                <c:pt idx="14">
                  <c:v>2082</c:v>
                </c:pt>
                <c:pt idx="15">
                  <c:v>2149</c:v>
                </c:pt>
                <c:pt idx="16">
                  <c:v>2350</c:v>
                </c:pt>
                <c:pt idx="17">
                  <c:v>2512</c:v>
                </c:pt>
                <c:pt idx="18">
                  <c:v>4184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8A-428F-B80A-7289B9570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31973632"/>
        <c:axId val="231975168"/>
      </c:barChart>
      <c:catAx>
        <c:axId val="2319736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1975168"/>
        <c:crosses val="autoZero"/>
        <c:auto val="1"/>
        <c:lblAlgn val="ctr"/>
        <c:lblOffset val="100"/>
        <c:noMultiLvlLbl val="0"/>
      </c:catAx>
      <c:valAx>
        <c:axId val="2319751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319736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800" b="0" i="1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Середня потужність ФЕСд за областями (2018 - 2020), кВт</a:t>
            </a:r>
          </a:p>
        </c:rich>
      </c:tx>
      <c:layout>
        <c:manualLayout>
          <c:xMode val="edge"/>
          <c:yMode val="edge"/>
          <c:x val="0.23515973254086181"/>
          <c:y val="1.86601977980966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4319886277216834"/>
          <c:y val="6.9181946403385042E-2"/>
          <c:w val="0.83637023083853002"/>
          <c:h val="0.892031029619181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'СЕСд за областями'!$B$59:$B$83</c:f>
              <c:strCache>
                <c:ptCount val="25"/>
                <c:pt idx="0">
                  <c:v>м. Київ</c:v>
                </c:pt>
                <c:pt idx="1">
                  <c:v>Чернігівська</c:v>
                </c:pt>
                <c:pt idx="2">
                  <c:v>Запорізька</c:v>
                </c:pt>
                <c:pt idx="3">
                  <c:v>Київська</c:v>
                </c:pt>
                <c:pt idx="4">
                  <c:v>Львівська</c:v>
                </c:pt>
                <c:pt idx="5">
                  <c:v>Луганська</c:v>
                </c:pt>
                <c:pt idx="6">
                  <c:v>Харківська</c:v>
                </c:pt>
                <c:pt idx="7">
                  <c:v>Одеська</c:v>
                </c:pt>
                <c:pt idx="8">
                  <c:v>Вінницька</c:v>
                </c:pt>
                <c:pt idx="9">
                  <c:v>Полтавська</c:v>
                </c:pt>
                <c:pt idx="10">
                  <c:v>Черкаська</c:v>
                </c:pt>
                <c:pt idx="11">
                  <c:v>Миколаївська</c:v>
                </c:pt>
                <c:pt idx="12">
                  <c:v>Донецька</c:v>
                </c:pt>
                <c:pt idx="13">
                  <c:v>Рівненська</c:v>
                </c:pt>
                <c:pt idx="14">
                  <c:v>Херсонська</c:v>
                </c:pt>
                <c:pt idx="15">
                  <c:v>Сумська</c:v>
                </c:pt>
                <c:pt idx="16">
                  <c:v>Житомирська</c:v>
                </c:pt>
                <c:pt idx="17">
                  <c:v>Івано-Франківська</c:v>
                </c:pt>
                <c:pt idx="18">
                  <c:v>Дніпропетровська</c:v>
                </c:pt>
                <c:pt idx="19">
                  <c:v>Волинська</c:v>
                </c:pt>
                <c:pt idx="20">
                  <c:v>Закарпатська</c:v>
                </c:pt>
                <c:pt idx="21">
                  <c:v>Тернопільська</c:v>
                </c:pt>
                <c:pt idx="22">
                  <c:v>Чернівецька</c:v>
                </c:pt>
                <c:pt idx="23">
                  <c:v>Кіровоградська</c:v>
                </c:pt>
                <c:pt idx="24">
                  <c:v>Хмельницька</c:v>
                </c:pt>
              </c:strCache>
            </c:strRef>
          </c:cat>
          <c:val>
            <c:numRef>
              <c:f>'СЕСд за областями'!$C$59:$C$83</c:f>
              <c:numCache>
                <c:formatCode>0.00</c:formatCode>
                <c:ptCount val="25"/>
                <c:pt idx="0">
                  <c:v>15.552597088614037</c:v>
                </c:pt>
                <c:pt idx="1">
                  <c:v>18.645861950549449</c:v>
                </c:pt>
                <c:pt idx="2">
                  <c:v>19.245600105968407</c:v>
                </c:pt>
                <c:pt idx="3">
                  <c:v>19.295091965510313</c:v>
                </c:pt>
                <c:pt idx="4">
                  <c:v>20.134192775365666</c:v>
                </c:pt>
                <c:pt idx="5">
                  <c:v>20.531309297912713</c:v>
                </c:pt>
                <c:pt idx="6">
                  <c:v>21.474099651762554</c:v>
                </c:pt>
                <c:pt idx="7">
                  <c:v>21.745543780284109</c:v>
                </c:pt>
                <c:pt idx="8">
                  <c:v>21.969331118591754</c:v>
                </c:pt>
                <c:pt idx="9">
                  <c:v>22.067079412655904</c:v>
                </c:pt>
                <c:pt idx="10">
                  <c:v>22.493598172292195</c:v>
                </c:pt>
                <c:pt idx="11">
                  <c:v>22.906350409083846</c:v>
                </c:pt>
                <c:pt idx="12">
                  <c:v>23.048058974664482</c:v>
                </c:pt>
                <c:pt idx="13">
                  <c:v>23.208844361124559</c:v>
                </c:pt>
                <c:pt idx="14">
                  <c:v>23.34800500057969</c:v>
                </c:pt>
                <c:pt idx="15">
                  <c:v>23.974242948048474</c:v>
                </c:pt>
                <c:pt idx="16">
                  <c:v>24.559926021512549</c:v>
                </c:pt>
                <c:pt idx="17">
                  <c:v>24.920902438404738</c:v>
                </c:pt>
                <c:pt idx="18">
                  <c:v>25.2256494558934</c:v>
                </c:pt>
                <c:pt idx="19">
                  <c:v>25.248617138028806</c:v>
                </c:pt>
                <c:pt idx="20">
                  <c:v>27.008925447134587</c:v>
                </c:pt>
                <c:pt idx="21">
                  <c:v>27.192652262417479</c:v>
                </c:pt>
                <c:pt idx="22">
                  <c:v>27.544369981766902</c:v>
                </c:pt>
                <c:pt idx="23">
                  <c:v>27.580385401802562</c:v>
                </c:pt>
                <c:pt idx="24">
                  <c:v>28.39980071202331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57-4B81-8563-B4DAE6CDB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5386520"/>
        <c:axId val="395391112"/>
      </c:barChart>
      <c:catAx>
        <c:axId val="395386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395391112"/>
        <c:crosses val="autoZero"/>
        <c:auto val="1"/>
        <c:lblAlgn val="ctr"/>
        <c:lblOffset val="100"/>
        <c:noMultiLvlLbl val="0"/>
      </c:catAx>
      <c:valAx>
        <c:axId val="395391112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395386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потужносей ФЕС за областями (2011-2020)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364331904695866"/>
          <c:y val="9.2849668643181005E-2"/>
          <c:w val="0.84306545830499169"/>
          <c:h val="0.794019647962560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'В2В. заг.картина'!$C$21</c:f>
              <c:strCache>
                <c:ptCount val="1"/>
                <c:pt idx="0">
                  <c:v>Потужність ФЕС, МВт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'В2В. заг.картина'!$B$22:$B$44</c:f>
              <c:strCache>
                <c:ptCount val="23"/>
                <c:pt idx="0">
                  <c:v>Луганськ</c:v>
                </c:pt>
                <c:pt idx="1">
                  <c:v>Волинь</c:v>
                </c:pt>
                <c:pt idx="2">
                  <c:v>Рівне</c:v>
                </c:pt>
                <c:pt idx="3">
                  <c:v>Суми</c:v>
                </c:pt>
                <c:pt idx="4">
                  <c:v>Чернігів</c:v>
                </c:pt>
                <c:pt idx="5">
                  <c:v>Харків</c:v>
                </c:pt>
                <c:pt idx="6">
                  <c:v>Полтава</c:v>
                </c:pt>
                <c:pt idx="7">
                  <c:v>Чернівці</c:v>
                </c:pt>
                <c:pt idx="8">
                  <c:v>Тернопіль</c:v>
                </c:pt>
                <c:pt idx="9">
                  <c:v>Черкаси</c:v>
                </c:pt>
                <c:pt idx="10">
                  <c:v>Житомир</c:v>
                </c:pt>
                <c:pt idx="11">
                  <c:v>Закарпаття</c:v>
                </c:pt>
                <c:pt idx="12">
                  <c:v>Івано-Франківськ</c:v>
                </c:pt>
                <c:pt idx="13">
                  <c:v>Київ</c:v>
                </c:pt>
                <c:pt idx="14">
                  <c:v>Кіровоград</c:v>
                </c:pt>
                <c:pt idx="15">
                  <c:v>Львів</c:v>
                </c:pt>
                <c:pt idx="16">
                  <c:v>Вінниця</c:v>
                </c:pt>
                <c:pt idx="17">
                  <c:v>Запоріжжя</c:v>
                </c:pt>
                <c:pt idx="18">
                  <c:v>Хмельницький</c:v>
                </c:pt>
                <c:pt idx="19">
                  <c:v>Херсон</c:v>
                </c:pt>
                <c:pt idx="20">
                  <c:v>Одеса</c:v>
                </c:pt>
                <c:pt idx="21">
                  <c:v>Миколаїв</c:v>
                </c:pt>
                <c:pt idx="22">
                  <c:v>Дніпро</c:v>
                </c:pt>
              </c:strCache>
            </c:strRef>
          </c:cat>
          <c:val>
            <c:numRef>
              <c:f>'В2В. заг.картина'!$C$22:$C$44</c:f>
              <c:numCache>
                <c:formatCode>0.00</c:formatCode>
                <c:ptCount val="23"/>
                <c:pt idx="0">
                  <c:v>1.8280000000000001</c:v>
                </c:pt>
                <c:pt idx="1">
                  <c:v>3.5030000000000001</c:v>
                </c:pt>
                <c:pt idx="2">
                  <c:v>4.355599999999999</c:v>
                </c:pt>
                <c:pt idx="3">
                  <c:v>10.881</c:v>
                </c:pt>
                <c:pt idx="4">
                  <c:v>21.764000000000003</c:v>
                </c:pt>
                <c:pt idx="5">
                  <c:v>23.887</c:v>
                </c:pt>
                <c:pt idx="6">
                  <c:v>34.350999999999999</c:v>
                </c:pt>
                <c:pt idx="7">
                  <c:v>80.289570000000012</c:v>
                </c:pt>
                <c:pt idx="8">
                  <c:v>84.92989</c:v>
                </c:pt>
                <c:pt idx="9">
                  <c:v>122.61199999999999</c:v>
                </c:pt>
                <c:pt idx="10">
                  <c:v>193.01052000000001</c:v>
                </c:pt>
                <c:pt idx="11">
                  <c:v>253.18081000000004</c:v>
                </c:pt>
                <c:pt idx="12">
                  <c:v>281.63135499999987</c:v>
                </c:pt>
                <c:pt idx="13">
                  <c:v>318.9008</c:v>
                </c:pt>
                <c:pt idx="14">
                  <c:v>337.238</c:v>
                </c:pt>
                <c:pt idx="15">
                  <c:v>342.00700000000012</c:v>
                </c:pt>
                <c:pt idx="16">
                  <c:v>358.51452</c:v>
                </c:pt>
                <c:pt idx="17">
                  <c:v>358.88206500000013</c:v>
                </c:pt>
                <c:pt idx="18">
                  <c:v>388.67500000000001</c:v>
                </c:pt>
                <c:pt idx="19">
                  <c:v>499.91034999999999</c:v>
                </c:pt>
                <c:pt idx="20">
                  <c:v>517.36400000000003</c:v>
                </c:pt>
                <c:pt idx="21">
                  <c:v>907.33628000000033</c:v>
                </c:pt>
                <c:pt idx="22">
                  <c:v>1135.0130000000001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28-4934-A916-05C84D090A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32335232"/>
        <c:axId val="232336768"/>
      </c:barChart>
      <c:catAx>
        <c:axId val="2323352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2336768"/>
        <c:crosses val="autoZero"/>
        <c:auto val="1"/>
        <c:lblAlgn val="ctr"/>
        <c:lblOffset val="100"/>
        <c:noMultiLvlLbl val="0"/>
      </c:catAx>
      <c:valAx>
        <c:axId val="232336768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2323352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ФЕС,</a:t>
            </a:r>
            <a:r>
              <a:rPr lang="uk-UA" sz="1000" b="0" i="1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 що побудовані у 2020 році за областями</a:t>
            </a:r>
            <a:endParaRPr lang="uk-UA" sz="1000" b="0" i="1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580058823228675"/>
          <c:y val="6.4752475247524741E-2"/>
          <c:w val="0.84379314147738771"/>
          <c:h val="0.8744073698708452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'В2В. заг.картина'!$C$47</c:f>
              <c:strCache>
                <c:ptCount val="1"/>
                <c:pt idx="0">
                  <c:v>Потужність ФЕС, МВт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'В2В. заг.картина'!$B$48:$B$68</c:f>
              <c:strCache>
                <c:ptCount val="21"/>
                <c:pt idx="0">
                  <c:v>Черкаси</c:v>
                </c:pt>
                <c:pt idx="1">
                  <c:v>Суми</c:v>
                </c:pt>
                <c:pt idx="2">
                  <c:v>Харків</c:v>
                </c:pt>
                <c:pt idx="3">
                  <c:v>Житомир</c:v>
                </c:pt>
                <c:pt idx="4">
                  <c:v>Тернопіль</c:v>
                </c:pt>
                <c:pt idx="5">
                  <c:v>Чернівці</c:v>
                </c:pt>
                <c:pt idx="6">
                  <c:v>Чернігів</c:v>
                </c:pt>
                <c:pt idx="7">
                  <c:v>Закарпаття</c:v>
                </c:pt>
                <c:pt idx="8">
                  <c:v>Полтава</c:v>
                </c:pt>
                <c:pt idx="9">
                  <c:v>Рівне</c:v>
                </c:pt>
                <c:pt idx="10">
                  <c:v>Вінниця</c:v>
                </c:pt>
                <c:pt idx="11">
                  <c:v>Львів</c:v>
                </c:pt>
                <c:pt idx="12">
                  <c:v>Кіровоград</c:v>
                </c:pt>
                <c:pt idx="13">
                  <c:v>Херсон</c:v>
                </c:pt>
                <c:pt idx="14">
                  <c:v>Одеса</c:v>
                </c:pt>
                <c:pt idx="15">
                  <c:v>Івано-Франківськ</c:v>
                </c:pt>
                <c:pt idx="16">
                  <c:v>Дніпро</c:v>
                </c:pt>
                <c:pt idx="17">
                  <c:v>Київ</c:v>
                </c:pt>
                <c:pt idx="18">
                  <c:v>Хмельницький</c:v>
                </c:pt>
                <c:pt idx="19">
                  <c:v>Миколаїв</c:v>
                </c:pt>
                <c:pt idx="20">
                  <c:v>Запоріжжя</c:v>
                </c:pt>
              </c:strCache>
            </c:strRef>
          </c:cat>
          <c:val>
            <c:numRef>
              <c:f>'В2В. заг.картина'!$C$48:$C$68</c:f>
              <c:numCache>
                <c:formatCode>0.00</c:formatCode>
                <c:ptCount val="21"/>
                <c:pt idx="0">
                  <c:v>0.16600000000000001</c:v>
                </c:pt>
                <c:pt idx="1">
                  <c:v>0.18</c:v>
                </c:pt>
                <c:pt idx="2">
                  <c:v>0.66599999999999993</c:v>
                </c:pt>
                <c:pt idx="3">
                  <c:v>0.79752000000000001</c:v>
                </c:pt>
                <c:pt idx="4">
                  <c:v>0.82289000000000001</c:v>
                </c:pt>
                <c:pt idx="5">
                  <c:v>0.99656999999999996</c:v>
                </c:pt>
                <c:pt idx="6">
                  <c:v>0.999</c:v>
                </c:pt>
                <c:pt idx="7">
                  <c:v>1.9898100000000001</c:v>
                </c:pt>
                <c:pt idx="8">
                  <c:v>2.032</c:v>
                </c:pt>
                <c:pt idx="9">
                  <c:v>2.5085999999999999</c:v>
                </c:pt>
                <c:pt idx="10">
                  <c:v>7.27752</c:v>
                </c:pt>
                <c:pt idx="11">
                  <c:v>7.6709999999999994</c:v>
                </c:pt>
                <c:pt idx="12">
                  <c:v>7.7189999999999994</c:v>
                </c:pt>
                <c:pt idx="13">
                  <c:v>8.3603500000000004</c:v>
                </c:pt>
                <c:pt idx="14">
                  <c:v>12.936</c:v>
                </c:pt>
                <c:pt idx="15">
                  <c:v>16.537355000000002</c:v>
                </c:pt>
                <c:pt idx="16">
                  <c:v>24.709</c:v>
                </c:pt>
                <c:pt idx="17">
                  <c:v>24.784799999999997</c:v>
                </c:pt>
                <c:pt idx="18">
                  <c:v>42.299000000000007</c:v>
                </c:pt>
                <c:pt idx="19">
                  <c:v>52.245279999999994</c:v>
                </c:pt>
                <c:pt idx="20">
                  <c:v>65.456064999999995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D-4AE8-A2FB-EC2083AB4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511139536"/>
        <c:axId val="511139864"/>
        <c:axId val="0"/>
      </c:bar3DChart>
      <c:catAx>
        <c:axId val="511139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511139864"/>
        <c:crosses val="autoZero"/>
        <c:auto val="1"/>
        <c:lblAlgn val="ctr"/>
        <c:lblOffset val="100"/>
        <c:noMultiLvlLbl val="0"/>
      </c:catAx>
      <c:valAx>
        <c:axId val="51113986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51113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Розвиток будівництва дахових ФЕС 2011 - 2020 роки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2.0453700260319823E-2"/>
          <c:y val="0.11783783783783783"/>
          <c:w val="0.95909259947936032"/>
          <c:h val="0.602965642808162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Дахові!$B$3</c:f>
              <c:strCache>
                <c:ptCount val="1"/>
                <c:pt idx="0">
                  <c:v>Потужність, МВт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Дахові!$C$2:$L$2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Дахові!$C$3:$L$3</c:f>
              <c:numCache>
                <c:formatCode>0.00</c:formatCode>
                <c:ptCount val="10"/>
                <c:pt idx="0">
                  <c:v>3.5000000000000003E-2</c:v>
                </c:pt>
                <c:pt idx="1">
                  <c:v>9.8000000000000004E-2</c:v>
                </c:pt>
                <c:pt idx="2">
                  <c:v>0.96899999999999997</c:v>
                </c:pt>
                <c:pt idx="3">
                  <c:v>0.53300000000000003</c:v>
                </c:pt>
                <c:pt idx="4">
                  <c:v>0.27800000000000002</c:v>
                </c:pt>
                <c:pt idx="5">
                  <c:v>2.7869999999999999</c:v>
                </c:pt>
                <c:pt idx="6">
                  <c:v>5.2359999999999998</c:v>
                </c:pt>
                <c:pt idx="7">
                  <c:v>15.412000000000001</c:v>
                </c:pt>
                <c:pt idx="8">
                  <c:v>111.066</c:v>
                </c:pt>
                <c:pt idx="9">
                  <c:v>6.976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34-4A89-A385-DDFC071D8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35311872"/>
        <c:axId val="235319680"/>
      </c:barChart>
      <c:lineChart>
        <c:grouping val="stacked"/>
        <c:varyColors val="0"/>
        <c:ser>
          <c:idx val="1"/>
          <c:order val="1"/>
          <c:tx>
            <c:strRef>
              <c:f>Дахові!$B$4</c:f>
              <c:strCache>
                <c:ptCount val="1"/>
                <c:pt idx="0">
                  <c:v>Динаміка розвитку дахових ФЕС, МВт</c:v>
                </c:pt>
              </c:strCache>
            </c:strRef>
          </c:tx>
          <c:spPr>
            <a:ln w="19050" cap="rnd" cmpd="sng" algn="ctr">
              <a:solidFill>
                <a:schemeClr val="accent5"/>
              </a:solidFill>
              <a:prstDash val="solid"/>
              <a:round/>
            </a:ln>
            <a:effectLst/>
          </c:spPr>
          <c:marker>
            <c:symbol val="none"/>
          </c:marker>
          <c:dLbls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34-4A89-A385-DDFC071D82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1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Дахові!$C$4:$L$4</c:f>
              <c:numCache>
                <c:formatCode>0.00</c:formatCode>
                <c:ptCount val="10"/>
                <c:pt idx="0">
                  <c:v>3.5000000000000003E-2</c:v>
                </c:pt>
                <c:pt idx="1">
                  <c:v>0.13300000000000001</c:v>
                </c:pt>
                <c:pt idx="2">
                  <c:v>1.1019999999999999</c:v>
                </c:pt>
                <c:pt idx="3">
                  <c:v>1.6349999999999998</c:v>
                </c:pt>
                <c:pt idx="4">
                  <c:v>1.9129999999999998</c:v>
                </c:pt>
                <c:pt idx="5">
                  <c:v>4.6999999999999993</c:v>
                </c:pt>
                <c:pt idx="6">
                  <c:v>9.9359999999999999</c:v>
                </c:pt>
                <c:pt idx="7">
                  <c:v>25.347999999999999</c:v>
                </c:pt>
                <c:pt idx="8">
                  <c:v>136.41399999999999</c:v>
                </c:pt>
                <c:pt idx="9">
                  <c:v>143.38999999999999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B234-4A89-A385-DDFC071D8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311872"/>
        <c:axId val="235319680"/>
      </c:lineChart>
      <c:catAx>
        <c:axId val="23531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5319680"/>
        <c:crosses val="autoZero"/>
        <c:auto val="1"/>
        <c:lblAlgn val="ctr"/>
        <c:lblOffset val="100"/>
        <c:noMultiLvlLbl val="0"/>
      </c:catAx>
      <c:valAx>
        <c:axId val="235319680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23531187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1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000" b="0" i="1"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потужностей дахових ФЕС 2011 - 2020 за областями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1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3675192805270722"/>
          <c:y val="0.10282962071041539"/>
          <c:w val="0.84269884721349864"/>
          <c:h val="0.8231805461403417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Дахові!$C$20</c:f>
              <c:strCache>
                <c:ptCount val="1"/>
                <c:pt idx="0">
                  <c:v>Потужність, МВт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Дахові!$B$25:$B$43</c:f>
              <c:strCache>
                <c:ptCount val="19"/>
                <c:pt idx="0">
                  <c:v>Луганськ</c:v>
                </c:pt>
                <c:pt idx="1">
                  <c:v>Миколаїв</c:v>
                </c:pt>
                <c:pt idx="2">
                  <c:v>Рівне</c:v>
                </c:pt>
                <c:pt idx="3">
                  <c:v>Волинь</c:v>
                </c:pt>
                <c:pt idx="4">
                  <c:v>Чернівці</c:v>
                </c:pt>
                <c:pt idx="5">
                  <c:v>Харків</c:v>
                </c:pt>
                <c:pt idx="6">
                  <c:v>Хмельницький</c:v>
                </c:pt>
                <c:pt idx="7">
                  <c:v>Одеса</c:v>
                </c:pt>
                <c:pt idx="8">
                  <c:v>Черкаси</c:v>
                </c:pt>
                <c:pt idx="9">
                  <c:v>Закарпаття</c:v>
                </c:pt>
                <c:pt idx="10">
                  <c:v>Кіровоград</c:v>
                </c:pt>
                <c:pt idx="11">
                  <c:v>Запоріжжя</c:v>
                </c:pt>
                <c:pt idx="12">
                  <c:v>Херсон</c:v>
                </c:pt>
                <c:pt idx="13">
                  <c:v>Тернопіль</c:v>
                </c:pt>
                <c:pt idx="14">
                  <c:v>Вінниця</c:v>
                </c:pt>
                <c:pt idx="15">
                  <c:v>Дніпро</c:v>
                </c:pt>
                <c:pt idx="16">
                  <c:v>Львів</c:v>
                </c:pt>
                <c:pt idx="17">
                  <c:v>Івано-Франківськ</c:v>
                </c:pt>
                <c:pt idx="18">
                  <c:v>Київ</c:v>
                </c:pt>
              </c:strCache>
            </c:strRef>
          </c:cat>
          <c:val>
            <c:numRef>
              <c:f>Дахові!$C$25:$C$43</c:f>
              <c:numCache>
                <c:formatCode>0.00</c:formatCode>
                <c:ptCount val="19"/>
                <c:pt idx="0">
                  <c:v>1.798</c:v>
                </c:pt>
                <c:pt idx="1">
                  <c:v>1.877</c:v>
                </c:pt>
                <c:pt idx="2">
                  <c:v>1.9556</c:v>
                </c:pt>
                <c:pt idx="3">
                  <c:v>1.97</c:v>
                </c:pt>
                <c:pt idx="4">
                  <c:v>2.1819999999999999</c:v>
                </c:pt>
                <c:pt idx="5">
                  <c:v>3.1960000000000002</c:v>
                </c:pt>
                <c:pt idx="6">
                  <c:v>4.7680000000000007</c:v>
                </c:pt>
                <c:pt idx="7">
                  <c:v>5.2089999999999996</c:v>
                </c:pt>
                <c:pt idx="8">
                  <c:v>5.495000000000001</c:v>
                </c:pt>
                <c:pt idx="9">
                  <c:v>5.593</c:v>
                </c:pt>
                <c:pt idx="10">
                  <c:v>6.2540000000000004</c:v>
                </c:pt>
                <c:pt idx="11">
                  <c:v>6.4650649999999992</c:v>
                </c:pt>
                <c:pt idx="12">
                  <c:v>8.5189999999999984</c:v>
                </c:pt>
                <c:pt idx="13">
                  <c:v>8.7288899999999998</c:v>
                </c:pt>
                <c:pt idx="14">
                  <c:v>9.104000000000001</c:v>
                </c:pt>
                <c:pt idx="15">
                  <c:v>10.793000000000003</c:v>
                </c:pt>
                <c:pt idx="16">
                  <c:v>14.258999999999997</c:v>
                </c:pt>
                <c:pt idx="17">
                  <c:v>15.211915000000001</c:v>
                </c:pt>
                <c:pt idx="18">
                  <c:v>27.643679999999989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93-4DDD-A954-18F802E0A1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27490304"/>
        <c:axId val="155460352"/>
      </c:barChart>
      <c:catAx>
        <c:axId val="12749030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155460352"/>
        <c:crosses val="autoZero"/>
        <c:auto val="1"/>
        <c:lblAlgn val="ctr"/>
        <c:lblOffset val="100"/>
        <c:noMultiLvlLbl val="0"/>
      </c:catAx>
      <c:valAx>
        <c:axId val="155460352"/>
        <c:scaling>
          <c:orientation val="minMax"/>
        </c:scaling>
        <c:delete val="1"/>
        <c:axPos val="b"/>
        <c:numFmt formatCode="0.00" sourceLinked="1"/>
        <c:majorTickMark val="none"/>
        <c:minorTickMark val="none"/>
        <c:tickLblPos val="nextTo"/>
        <c:crossAx val="12749030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1" u="none" strike="noStrike" kern="1200" cap="none" spc="5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uk-UA" sz="1000" i="1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дахових ФЕС, що побудовані у 2020 році за областями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cap="none" spc="50" baseline="0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628079371955076"/>
          <c:y val="0.10590652285567538"/>
          <c:w val="0.84324075519602215"/>
          <c:h val="0.79427546518164438"/>
        </c:manualLayout>
      </c:layout>
      <c:bar3DChart>
        <c:barDir val="bar"/>
        <c:grouping val="clustered"/>
        <c:varyColors val="0"/>
        <c:ser>
          <c:idx val="2"/>
          <c:order val="0"/>
          <c:tx>
            <c:strRef>
              <c:f>Дахові!$C$46</c:f>
              <c:strCache>
                <c:ptCount val="1"/>
                <c:pt idx="0">
                  <c:v>Проекти 2020 року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Дахові!$B$47:$B$57</c:f>
              <c:strCache>
                <c:ptCount val="11"/>
                <c:pt idx="0">
                  <c:v>Вінниця</c:v>
                </c:pt>
                <c:pt idx="1">
                  <c:v>Львів</c:v>
                </c:pt>
                <c:pt idx="2">
                  <c:v>Черкаси</c:v>
                </c:pt>
                <c:pt idx="3">
                  <c:v>Запоріжжя</c:v>
                </c:pt>
                <c:pt idx="4">
                  <c:v>Дніпро</c:v>
                </c:pt>
                <c:pt idx="5">
                  <c:v>Харків</c:v>
                </c:pt>
                <c:pt idx="6">
                  <c:v>Тернопіль</c:v>
                </c:pt>
                <c:pt idx="7">
                  <c:v>Рівне</c:v>
                </c:pt>
                <c:pt idx="8">
                  <c:v>Одеса</c:v>
                </c:pt>
                <c:pt idx="9">
                  <c:v>Івано-Франківськ</c:v>
                </c:pt>
                <c:pt idx="10">
                  <c:v>Київ</c:v>
                </c:pt>
              </c:strCache>
            </c:strRef>
          </c:cat>
          <c:val>
            <c:numRef>
              <c:f>Дахові!$C$47:$C$57</c:f>
              <c:numCache>
                <c:formatCode>0.00</c:formatCode>
                <c:ptCount val="11"/>
                <c:pt idx="0">
                  <c:v>5.8000000000000003E-2</c:v>
                </c:pt>
                <c:pt idx="1">
                  <c:v>0.11899999999999999</c:v>
                </c:pt>
                <c:pt idx="2">
                  <c:v>0.16600000000000001</c:v>
                </c:pt>
                <c:pt idx="3">
                  <c:v>0.268065</c:v>
                </c:pt>
                <c:pt idx="4">
                  <c:v>0.66</c:v>
                </c:pt>
                <c:pt idx="5">
                  <c:v>0.66599999999999993</c:v>
                </c:pt>
                <c:pt idx="6">
                  <c:v>0.67500000000000004</c:v>
                </c:pt>
                <c:pt idx="7">
                  <c:v>0.71199999999999997</c:v>
                </c:pt>
                <c:pt idx="8">
                  <c:v>1.0409999999999999</c:v>
                </c:pt>
                <c:pt idx="9">
                  <c:v>1.2709999999999999</c:v>
                </c:pt>
                <c:pt idx="10">
                  <c:v>1.341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5F-48B9-A60A-9F3F2AFF8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237330432"/>
        <c:axId val="237331968"/>
        <c:axId val="0"/>
      </c:bar3DChart>
      <c:catAx>
        <c:axId val="2373304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endParaRPr lang="uk-UA"/>
          </a:p>
        </c:txPr>
        <c:crossAx val="237331968"/>
        <c:crosses val="autoZero"/>
        <c:auto val="1"/>
        <c:lblAlgn val="ctr"/>
        <c:lblOffset val="100"/>
        <c:noMultiLvlLbl val="0"/>
      </c:catAx>
      <c:valAx>
        <c:axId val="23733196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crossAx val="237330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1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800" b="1" i="1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видів будівель, на яких побудовано ФЕС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1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6798322461703011E-2"/>
          <c:y val="0.25269638953993628"/>
          <c:w val="0.79635867232413637"/>
          <c:h val="0.6992673741869223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8C6-47FF-BDF8-DFD811BCA49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8C6-47FF-BDF8-DFD811BCA49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8C6-47FF-BDF8-DFD811BCA49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38C6-47FF-BDF8-DFD811BCA49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38C6-47FF-BDF8-DFD811BCA49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38C6-47FF-BDF8-DFD811BCA49C}"/>
              </c:ext>
            </c:extLst>
          </c:dPt>
          <c:dLbls>
            <c:dLbl>
              <c:idx val="0"/>
              <c:layout>
                <c:manualLayout>
                  <c:x val="-4.4330356828720809E-2"/>
                  <c:y val="-3.465234069821539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C6-47FF-BDF8-DFD811BCA49C}"/>
                </c:ext>
              </c:extLst>
            </c:dLbl>
            <c:dLbl>
              <c:idx val="2"/>
              <c:layout>
                <c:manualLayout>
                  <c:x val="1.1789632194099063E-2"/>
                  <c:y val="-2.456903589392463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8C6-47FF-BDF8-DFD811BCA49C}"/>
                </c:ext>
              </c:extLst>
            </c:dLbl>
            <c:dLbl>
              <c:idx val="3"/>
              <c:layout>
                <c:manualLayout>
                  <c:x val="-1.2868632707774799E-3"/>
                  <c:y val="-5.388986911753091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8C6-47FF-BDF8-DFD811BCA49C}"/>
                </c:ext>
              </c:extLst>
            </c:dLbl>
            <c:dLbl>
              <c:idx val="4"/>
              <c:layout>
                <c:manualLayout>
                  <c:x val="-0.21295265035570279"/>
                  <c:y val="-0.2073473257314407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8C6-47FF-BDF8-DFD811BCA49C}"/>
                </c:ext>
              </c:extLst>
            </c:dLbl>
            <c:dLbl>
              <c:idx val="5"/>
              <c:layout>
                <c:manualLayout>
                  <c:x val="0.22387846291331545"/>
                  <c:y val="-0.115209578735768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8C6-47FF-BDF8-DFD811BCA4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, </c:separator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Дахові!$B$73:$B$78</c:f>
              <c:strCache>
                <c:ptCount val="6"/>
                <c:pt idx="0">
                  <c:v>Житловий будинок</c:v>
                </c:pt>
                <c:pt idx="1">
                  <c:v>Офіс</c:v>
                </c:pt>
                <c:pt idx="2">
                  <c:v>Навіс</c:v>
                </c:pt>
                <c:pt idx="3">
                  <c:v>Виробничі потужності</c:v>
                </c:pt>
                <c:pt idx="4">
                  <c:v>Не вдалось визначити</c:v>
                </c:pt>
                <c:pt idx="5">
                  <c:v>Склад</c:v>
                </c:pt>
              </c:strCache>
            </c:strRef>
          </c:cat>
          <c:val>
            <c:numRef>
              <c:f>Дахові!$E$73:$E$78</c:f>
              <c:numCache>
                <c:formatCode>0.00%</c:formatCode>
                <c:ptCount val="6"/>
                <c:pt idx="0">
                  <c:v>3.0477341389728099E-2</c:v>
                </c:pt>
                <c:pt idx="1">
                  <c:v>6.0785498489425993E-2</c:v>
                </c:pt>
                <c:pt idx="2">
                  <c:v>6.5812688821752272E-2</c:v>
                </c:pt>
                <c:pt idx="3">
                  <c:v>0.12918429003021151</c:v>
                </c:pt>
                <c:pt idx="4">
                  <c:v>0.18158308157099701</c:v>
                </c:pt>
                <c:pt idx="5">
                  <c:v>0.53215709969788516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8C6-47FF-BDF8-DFD811BCA49C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1" u="none" strike="noStrike" kern="1200" spc="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uk-UA" sz="800" b="1" i="1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Розподіл ФЕСд за матеріалом покриття даху</a:t>
            </a:r>
          </a:p>
        </c:rich>
      </c:tx>
      <c:layout>
        <c:manualLayout>
          <c:xMode val="edge"/>
          <c:yMode val="edge"/>
          <c:x val="0.14801534423581666"/>
          <c:y val="1.8827296587926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1" u="none" strike="noStrike" kern="1200" spc="0" baseline="0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47320367005406"/>
          <c:y val="0.26095153105861768"/>
          <c:w val="0.79142966103596024"/>
          <c:h val="0.69985266841644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63A-4D90-8619-4EB7F3F9CF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63A-4D90-8619-4EB7F3F9CF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63A-4D90-8619-4EB7F3F9CFE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63A-4D90-8619-4EB7F3F9CFE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63A-4D90-8619-4EB7F3F9CFE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63A-4D90-8619-4EB7F3F9CFE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63A-4D90-8619-4EB7F3F9CFEF}"/>
              </c:ext>
            </c:extLst>
          </c:dPt>
          <c:dLbls>
            <c:dLbl>
              <c:idx val="0"/>
              <c:layout>
                <c:manualLayout>
                  <c:x val="-0.20701916533937531"/>
                  <c:y val="-2.602204724409446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3A-4D90-8619-4EB7F3F9CFEF}"/>
                </c:ext>
              </c:extLst>
            </c:dLbl>
            <c:dLbl>
              <c:idx val="1"/>
              <c:layout>
                <c:manualLayout>
                  <c:x val="-2.3719257315057839E-3"/>
                  <c:y val="-4.847244094488190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3A-4D90-8619-4EB7F3F9CFEF}"/>
                </c:ext>
              </c:extLst>
            </c:dLbl>
            <c:dLbl>
              <c:idx val="2"/>
              <c:layout>
                <c:manualLayout>
                  <c:x val="0.15864773313592212"/>
                  <c:y val="-1.19905511811023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63A-4D90-8619-4EB7F3F9CFEF}"/>
                </c:ext>
              </c:extLst>
            </c:dLbl>
            <c:dLbl>
              <c:idx val="3"/>
              <c:layout>
                <c:manualLayout>
                  <c:x val="0.23891334096058492"/>
                  <c:y val="4.48783902012248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63A-4D90-8619-4EB7F3F9CFEF}"/>
                </c:ext>
              </c:extLst>
            </c:dLbl>
            <c:dLbl>
              <c:idx val="4"/>
              <c:layout>
                <c:manualLayout>
                  <c:x val="-0.19372232317114213"/>
                  <c:y val="9.32258967629046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63A-4D90-8619-4EB7F3F9CFEF}"/>
                </c:ext>
              </c:extLst>
            </c:dLbl>
            <c:dLbl>
              <c:idx val="5"/>
              <c:layout>
                <c:manualLayout>
                  <c:x val="0.24111178410391004"/>
                  <c:y val="-0.212064391951006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63A-4D90-8619-4EB7F3F9CF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,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Дахові!$B$64:$B$69</c:f>
              <c:strCache>
                <c:ptCount val="6"/>
                <c:pt idx="0">
                  <c:v>Фасад</c:v>
                </c:pt>
                <c:pt idx="1">
                  <c:v>Шифер</c:v>
                </c:pt>
                <c:pt idx="2">
                  <c:v>Не вдалось визначити</c:v>
                </c:pt>
                <c:pt idx="3">
                  <c:v>Черепиця</c:v>
                </c:pt>
                <c:pt idx="4">
                  <c:v>Бетон</c:v>
                </c:pt>
                <c:pt idx="5">
                  <c:v>Проф.настил</c:v>
                </c:pt>
              </c:strCache>
            </c:strRef>
          </c:cat>
          <c:val>
            <c:numRef>
              <c:f>Дахові!$E$64:$E$69</c:f>
              <c:numCache>
                <c:formatCode>0.00%</c:formatCode>
                <c:ptCount val="6"/>
                <c:pt idx="0">
                  <c:v>1.2084592145015106E-3</c:v>
                </c:pt>
                <c:pt idx="1">
                  <c:v>4.4229607250755284E-3</c:v>
                </c:pt>
                <c:pt idx="2">
                  <c:v>1.3413897280966768E-2</c:v>
                </c:pt>
                <c:pt idx="3">
                  <c:v>2.4845921450151059E-2</c:v>
                </c:pt>
                <c:pt idx="4">
                  <c:v>0.286404833836858</c:v>
                </c:pt>
                <c:pt idx="5">
                  <c:v>0.66970392749244712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63A-4D90-8619-4EB7F3F9C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cap="none" spc="20" baseline="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defRPr>
            </a:pPr>
            <a:r>
              <a:rPr lang="uk-UA" sz="1000">
                <a:solidFill>
                  <a:sysClr val="windowText" lastClr="000000"/>
                </a:solidFill>
                <a:latin typeface="Open Sans" panose="020B0606030504020204" pitchFamily="34" charset="0"/>
                <a:ea typeface="Open Sans" panose="020B0606030504020204" pitchFamily="34" charset="0"/>
                <a:cs typeface="Open Sans" panose="020B0606030504020204" pitchFamily="34" charset="0"/>
              </a:rPr>
              <a:t>Види діяльності кінцевих бенефіціарів дахових ФЕС 2020 року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20" baseline="0">
              <a:solidFill>
                <a:sysClr val="windowText" lastClr="000000"/>
              </a:solidFill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defRPr>
          </a:pPr>
          <a:endParaRPr lang="uk-UA"/>
        </a:p>
      </c:txPr>
    </c:title>
    <c:autoTitleDeleted val="0"/>
    <c:plotArea>
      <c:layout/>
      <c:ofPieChart>
        <c:ofPieType val="bar"/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8CE-40A3-8153-CA6698C69AC5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8CE-40A3-8153-CA6698C69AC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8CE-40A3-8153-CA6698C69AC5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8CE-40A3-8153-CA6698C69AC5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8CE-40A3-8153-CA6698C69AC5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C8CE-40A3-8153-CA6698C69AC5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C8CE-40A3-8153-CA6698C69AC5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C8CE-40A3-8153-CA6698C69AC5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C8CE-40A3-8153-CA6698C69AC5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C8CE-40A3-8153-CA6698C69AC5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5-C8CE-40A3-8153-CA6698C69AC5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lumMod val="6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7-C8CE-40A3-8153-CA6698C69AC5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80000"/>
                      <a:lumOff val="2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80000"/>
                      <a:lumOff val="2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lumMod val="80000"/>
                    <a:lumOff val="2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9-C8CE-40A3-8153-CA6698C69AC5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80000"/>
                      <a:lumOff val="2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lumMod val="80000"/>
                    <a:lumOff val="2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B-C8CE-40A3-8153-CA6698C69AC5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80000"/>
                      <a:lumOff val="2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80000"/>
                      <a:lumOff val="2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lumMod val="80000"/>
                    <a:lumOff val="2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D-C8CE-40A3-8153-CA6698C69AC5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80000"/>
                      <a:lumOff val="2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lumMod val="80000"/>
                    <a:lumOff val="2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F-C8CE-40A3-8153-CA6698C69AC5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80000"/>
                      <a:lumOff val="2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lumMod val="80000"/>
                    <a:lumOff val="2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1-C8CE-40A3-8153-CA6698C69AC5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80000"/>
                      <a:lumOff val="2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lumMod val="80000"/>
                    <a:lumOff val="20000"/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3-C8CE-40A3-8153-CA6698C69AC5}"/>
              </c:ext>
            </c:extLst>
          </c:dPt>
          <c:dLbls>
            <c:dLbl>
              <c:idx val="0"/>
              <c:layout>
                <c:manualLayout>
                  <c:x val="-0.12031323830598208"/>
                  <c:y val="-0.183392687424863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CE-40A3-8153-CA6698C69AC5}"/>
                </c:ext>
              </c:extLst>
            </c:dLbl>
            <c:dLbl>
              <c:idx val="1"/>
              <c:layout>
                <c:manualLayout>
                  <c:x val="0.13981900621908711"/>
                  <c:y val="-0.165663248928416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CE-40A3-8153-CA6698C69AC5}"/>
                </c:ext>
              </c:extLst>
            </c:dLbl>
            <c:dLbl>
              <c:idx val="2"/>
              <c:layout>
                <c:manualLayout>
                  <c:x val="0.1480694620733036"/>
                  <c:y val="0.106158097144331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8CE-40A3-8153-CA6698C69AC5}"/>
                </c:ext>
              </c:extLst>
            </c:dLbl>
            <c:dLbl>
              <c:idx val="4"/>
              <c:layout>
                <c:manualLayout>
                  <c:x val="-0.18624462241791817"/>
                  <c:y val="-3.26839001239952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CE-40A3-8153-CA6698C69AC5}"/>
                </c:ext>
              </c:extLst>
            </c:dLbl>
            <c:dLbl>
              <c:idx val="5"/>
              <c:layout>
                <c:manualLayout>
                  <c:x val="-9.5177118552049744E-3"/>
                  <c:y val="-8.9284666754785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8CE-40A3-8153-CA6698C69AC5}"/>
                </c:ext>
              </c:extLst>
            </c:dLbl>
            <c:dLbl>
              <c:idx val="6"/>
              <c:layout>
                <c:manualLayout>
                  <c:x val="-7.5211639914482872E-3"/>
                  <c:y val="-6.96853540789415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8CE-40A3-8153-CA6698C69AC5}"/>
                </c:ext>
              </c:extLst>
            </c:dLbl>
            <c:dLbl>
              <c:idx val="7"/>
              <c:layout>
                <c:manualLayout>
                  <c:x val="-1.4659223231904127E-3"/>
                  <c:y val="-0.1099763968352876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8CE-40A3-8153-CA6698C69AC5}"/>
                </c:ext>
              </c:extLst>
            </c:dLbl>
            <c:dLbl>
              <c:idx val="8"/>
              <c:layout>
                <c:manualLayout>
                  <c:x val="6.365619418827996E-2"/>
                  <c:y val="0.4544808877307601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8CE-40A3-8153-CA6698C69AC5}"/>
                </c:ext>
              </c:extLst>
            </c:dLbl>
            <c:dLbl>
              <c:idx val="9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8CE-40A3-8153-CA6698C69AC5}"/>
                </c:ext>
              </c:extLst>
            </c:dLbl>
            <c:dLbl>
              <c:idx val="10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8CE-40A3-8153-CA6698C69AC5}"/>
                </c:ext>
              </c:extLst>
            </c:dLbl>
            <c:dLbl>
              <c:idx val="11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8CE-40A3-8153-CA6698C69AC5}"/>
                </c:ext>
              </c:extLst>
            </c:dLbl>
            <c:dLbl>
              <c:idx val="12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8CE-40A3-8153-CA6698C69AC5}"/>
                </c:ext>
              </c:extLst>
            </c:dLbl>
            <c:dLbl>
              <c:idx val="13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C8CE-40A3-8153-CA6698C69AC5}"/>
                </c:ext>
              </c:extLst>
            </c:dLbl>
            <c:dLbl>
              <c:idx val="14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C8CE-40A3-8153-CA6698C69AC5}"/>
                </c:ext>
              </c:extLst>
            </c:dLbl>
            <c:dLbl>
              <c:idx val="15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C8CE-40A3-8153-CA6698C69AC5}"/>
                </c:ext>
              </c:extLst>
            </c:dLbl>
            <c:dLbl>
              <c:idx val="16"/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C8CE-40A3-8153-CA6698C69AC5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1335B586-9D3C-45EC-B156-DCF7D9ACF2E4}" type="CELLREF">
                      <a:rPr lang="uk-UA"/>
                      <a:pPr/>
                      <a:t>[ССЫЛКА НА ЯЧЕЙКУ]</a:t>
                    </a:fld>
                    <a:r>
                      <a:rPr lang="uk-UA" baseline="0"/>
                      <a:t> </a:t>
                    </a:r>
                    <a:fld id="{6DE697B6-78F6-4953-9062-5B31A6A70D37}" type="VALUE">
                      <a:rPr lang="uk-UA" baseline="0"/>
                      <a:pPr/>
                      <a:t>[ЗНАЧЕНИЕ]</a:t>
                    </a:fld>
                    <a:endParaRPr lang="uk-UA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>
                    <c15:dlblFTEntry>
                      <c15:txfldGUID>{1335B586-9D3C-45EC-B156-DCF7D9ACF2E4}</c15:txfldGUID>
                      <c15:f>'[звіт 2020 рік.xlsx]Дахові'!$B$121</c15:f>
                      <c15:dlblFieldTableCache>
                        <c:ptCount val="1"/>
                        <c:pt idx="0">
                          <c:v>Інші види діяльності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23-C8CE-40A3-8153-CA6698C69A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Open Sans" panose="020B0606030504020204" pitchFamily="34" charset="0"/>
                    <a:ea typeface="Open Sans" panose="020B0606030504020204" pitchFamily="34" charset="0"/>
                    <a:cs typeface="Open Sans" panose="020B0606030504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Дахові!$E$87:$E$103</c:f>
              <c:strCache>
                <c:ptCount val="17"/>
                <c:pt idx="0">
                  <c:v>Торгівля</c:v>
                </c:pt>
                <c:pt idx="1">
                  <c:v>Сільське господарство</c:v>
                </c:pt>
                <c:pt idx="2">
                  <c:v>Інформація відсутня</c:v>
                </c:pt>
                <c:pt idx="3">
                  <c:v>Виробництво</c:v>
                </c:pt>
                <c:pt idx="4">
                  <c:v>Надання в оренду майна</c:v>
                </c:pt>
                <c:pt idx="5">
                  <c:v>Будівництво/монтаж комунікацій</c:v>
                </c:pt>
                <c:pt idx="6">
                  <c:v>Будівництво житлових та нежитлових приміщень</c:v>
                </c:pt>
                <c:pt idx="7">
                  <c:v>ВДЕ</c:v>
                </c:pt>
                <c:pt idx="8">
                  <c:v>Обслуговування транспорту та ремонт технічного устаткування</c:v>
                </c:pt>
                <c:pt idx="9">
                  <c:v>Туристичний бізнес</c:v>
                </c:pt>
                <c:pt idx="10">
                  <c:v>Охоронна діяльність</c:v>
                </c:pt>
                <c:pt idx="11">
                  <c:v>Діяльність фітнес-центрів</c:v>
                </c:pt>
                <c:pt idx="12">
                  <c:v>Збирання безпечних відходів</c:v>
                </c:pt>
                <c:pt idx="13">
                  <c:v>Обслуговування об'єктів</c:v>
                </c:pt>
                <c:pt idx="14">
                  <c:v>Мисливство</c:v>
                </c:pt>
                <c:pt idx="15">
                  <c:v>Добування каменю</c:v>
                </c:pt>
                <c:pt idx="16">
                  <c:v>Складське господарство</c:v>
                </c:pt>
              </c:strCache>
            </c:strRef>
          </c:cat>
          <c:val>
            <c:numRef>
              <c:f>Дахові!$G$87:$G$103</c:f>
              <c:numCache>
                <c:formatCode>0.00%</c:formatCode>
                <c:ptCount val="17"/>
                <c:pt idx="0">
                  <c:v>0.23880597014925373</c:v>
                </c:pt>
                <c:pt idx="1">
                  <c:v>0.21641791044776118</c:v>
                </c:pt>
                <c:pt idx="2">
                  <c:v>0.18656716417910449</c:v>
                </c:pt>
                <c:pt idx="3">
                  <c:v>0.1044776119402985</c:v>
                </c:pt>
                <c:pt idx="4">
                  <c:v>5.2238805970149252E-2</c:v>
                </c:pt>
                <c:pt idx="5">
                  <c:v>4.4776119402985072E-2</c:v>
                </c:pt>
                <c:pt idx="6">
                  <c:v>3.7313432835820892E-2</c:v>
                </c:pt>
                <c:pt idx="7">
                  <c:v>3.7313432835820892E-2</c:v>
                </c:pt>
                <c:pt idx="8">
                  <c:v>2.2388059701492536E-2</c:v>
                </c:pt>
                <c:pt idx="9">
                  <c:v>7.462686567164179E-3</c:v>
                </c:pt>
                <c:pt idx="10">
                  <c:v>7.462686567164179E-3</c:v>
                </c:pt>
                <c:pt idx="11">
                  <c:v>7.462686567164179E-3</c:v>
                </c:pt>
                <c:pt idx="12">
                  <c:v>7.462686567164179E-3</c:v>
                </c:pt>
                <c:pt idx="13">
                  <c:v>7.462686567164179E-3</c:v>
                </c:pt>
                <c:pt idx="14">
                  <c:v>7.462686567164179E-3</c:v>
                </c:pt>
                <c:pt idx="15">
                  <c:v>7.462686567164179E-3</c:v>
                </c:pt>
                <c:pt idx="16">
                  <c:v>7.462686567164179E-3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C8CE-40A3-8153-CA6698C69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plitType val="pos"/>
        <c:splitPos val="8"/>
        <c:secondPieSize val="75"/>
        <c:serLines>
          <c:spPr>
            <a:ln w="9525">
              <a:solidFill>
                <a:schemeClr val="tx1">
                  <a:lumMod val="35000"/>
                  <a:lumOff val="65000"/>
                </a:schemeClr>
              </a:solidFill>
              <a:prstDash val="dash"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7</Pages>
  <Words>3877</Words>
  <Characters>2211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Shcherba_VA</dc:creator>
  <cp:keywords/>
  <dc:description/>
  <cp:lastModifiedBy>Shcherba_VA</cp:lastModifiedBy>
  <cp:revision>2</cp:revision>
  <dcterms:created xsi:type="dcterms:W3CDTF">2021-02-23T09:08:00Z</dcterms:created>
  <dcterms:modified xsi:type="dcterms:W3CDTF">2021-02-23T15:45:00Z</dcterms:modified>
</cp:coreProperties>
</file>