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32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color w:val="434343"/>
          <w:sz w:val="28"/>
          <w:szCs w:val="28"/>
          <w:rtl w:val="0"/>
        </w:rPr>
        <w:t xml:space="preserve">Производство брендовых сумок в Гуанчжоу "Еlite brand bag" и продажа оптом по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434343"/>
          <w:rtl w:val="0"/>
        </w:rPr>
        <w:t xml:space="preserve">Проблема: 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Компания не работала на рынке РФ. Основной целью было собрать первые заявки на оптовые заказы — мин. заказ $1 000. Необходимо было при ограниченном бюджете завоевать доверие заказчиков. Сначала по Москве и МО, а потом и по РФ, если гипотеза подтвердится.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434343"/>
          <w:rtl w:val="0"/>
        </w:rPr>
        <w:t xml:space="preserve">Задача: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Протестировать рынок предмет интереса к брендовым сумкам из Китая. Получить 100 заявок на получение прайс-листа, чтобы начать полноценную работу на рынке РФ.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434343"/>
          <w:rtl w:val="0"/>
        </w:rPr>
        <w:t xml:space="preserve">Решение: 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На основе полученных данных составили </w:t>
      </w:r>
      <w:hyperlink r:id="rId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макет</w:t>
        </w:r>
      </w:hyperlink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 (←ссылка кликабельна).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Проанализировали поведение ЦА и её интересы, наш ассортимент и составили семантическое ядро для контекстной рекламы. Провели аудит рынка, прозвонили конкурентов (составили сводную таблицу по конкурентах — что предлагают, их плюсы-минусы, где мы можем выделиться, в какую точку бить). Пообщались с нашей целевой аудиторией — владельцами бутиков, розничных магазинов, на предмет того, что важно для них при выборе поставщика сумок. </w:t>
      </w:r>
      <w:r w:rsidDel="00000000" w:rsidR="00000000" w:rsidRPr="00000000">
        <w:drawing>
          <wp:inline distB="114300" distT="114300" distL="114300" distR="114300">
            <wp:extent cx="4446810" cy="3033713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6810" cy="3033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Сделали 6 вариаций дизайна сайта и на данных аналитики приняли решение оставить наиболее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удачный вариант </w:t>
        </w:r>
      </w:hyperlink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(с которого было больше всего оплаченных заявок).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434343"/>
          <w:rtl w:val="0"/>
        </w:rPr>
        <w:t xml:space="preserve">Результат: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Итого мы получили первые 100 заявок. Цена цели 153,51 руб. При минимальном чеке заказа $1 000. Реклама с лихвой окупилась (клиент просил не озвучивать ROI и маржинальность).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434343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6115050" cy="823913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После первых 100 заявок мы подключили еще несколько источников трафика и увеличили кол-во заявок еще вдвое.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731200" cy="25019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Сайт из-за хороших показателей поведенческих факторов поднялся в органической выдаче и мы стали получать бесплатные заявки. Вот оно, грамотное SEO. </w:t>
      </w:r>
      <w:r w:rsidDel="00000000" w:rsidR="00000000" w:rsidRPr="00000000">
        <w:drawing>
          <wp:inline distB="114300" distT="114300" distL="114300" distR="114300">
            <wp:extent cx="5524500" cy="3086100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 b="0" l="17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Скриншот с примерами запросов, по которых были заявки на получение оптового каталога.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В итоге мы 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продолжаем сотрудничество</w:t>
        </w:r>
      </w:hyperlink>
      <w:r w:rsidDel="00000000" w:rsidR="00000000" w:rsidRPr="00000000">
        <w:rPr>
          <w:rFonts w:ascii="Georgia" w:cs="Georgia" w:eastAsia="Georgia" w:hAnsi="Georgia"/>
          <w:color w:val="434343"/>
          <w:rtl w:val="0"/>
        </w:rPr>
        <w:t xml:space="preserve"> (можно просмотреть наши следующие этапы работ) с этой фабрикой.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document/d/10KtllXgFRF23IdJZB6T4gO3ARcaw3AwWweEScSn7020/edit?usp=sharing" TargetMode="External"/><Relationship Id="rId10" Type="http://schemas.openxmlformats.org/officeDocument/2006/relationships/image" Target="media/image04.png"/><Relationship Id="rId9" Type="http://schemas.openxmlformats.org/officeDocument/2006/relationships/image" Target="media/image07.png"/><Relationship Id="rId5" Type="http://schemas.openxmlformats.org/officeDocument/2006/relationships/hyperlink" Target="https://moqups.com/oleg.trofimchuck@gmail.com/YGF2RCJo" TargetMode="External"/><Relationship Id="rId6" Type="http://schemas.openxmlformats.org/officeDocument/2006/relationships/image" Target="media/image06.png"/><Relationship Id="rId7" Type="http://schemas.openxmlformats.org/officeDocument/2006/relationships/hyperlink" Target="http://elitebrandbag.ru" TargetMode="External"/><Relationship Id="rId8" Type="http://schemas.openxmlformats.org/officeDocument/2006/relationships/image" Target="media/image05.png"/></Relationships>
</file>