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b/>
          <w:b/>
          <w:sz w:val="36"/>
          <w:szCs w:val="36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  <w:t>Поняття режиму, його види та шляхи забезпечення. Зонування місць роботи. Порядок поводження з машинними носіями інформації з обмеженим доступом. Типові помилки при реєстрації документів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cs="Times New Roman" w:ascii="Times New Roman" w:hAnsi="Times New Roman"/>
          <w:sz w:val="32"/>
          <w:szCs w:val="32"/>
          <w:lang w:val="uk-UA"/>
        </w:rPr>
        <w:t xml:space="preserve">                                                        </w:t>
      </w:r>
      <w:r>
        <w:rPr>
          <w:rFonts w:cs="Times New Roman" w:ascii="Times New Roman" w:hAnsi="Times New Roman"/>
          <w:sz w:val="32"/>
          <w:szCs w:val="32"/>
          <w:lang w:val="uk-UA"/>
        </w:rPr>
        <w:t xml:space="preserve">Виконала: </w:t>
      </w:r>
    </w:p>
    <w:p>
      <w:pPr>
        <w:pStyle w:val="Normal"/>
        <w:numPr>
          <w:ilvl w:val="0"/>
          <w:numId w:val="0"/>
        </w:numPr>
        <w:spacing w:before="0" w:after="0"/>
        <w:outlineLvl w:val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cs="Times New Roman" w:ascii="Times New Roman" w:hAnsi="Times New Roman"/>
          <w:sz w:val="32"/>
          <w:szCs w:val="32"/>
          <w:lang w:val="uk-UA"/>
        </w:rPr>
        <w:t xml:space="preserve">                                                        </w:t>
      </w:r>
      <w:r>
        <w:rPr>
          <w:rFonts w:cs="Times New Roman" w:ascii="Times New Roman" w:hAnsi="Times New Roman"/>
          <w:sz w:val="32"/>
          <w:szCs w:val="32"/>
          <w:lang w:val="uk-UA"/>
        </w:rPr>
        <w:t xml:space="preserve">Миколаєнко Анастасія Геннадіївна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32"/>
          <w:szCs w:val="32"/>
          <w:lang w:val="uk-UA"/>
        </w:rPr>
      </w:pPr>
      <w:r>
        <w:rPr>
          <w:rFonts w:cs="Times New Roman" w:ascii="Times New Roman" w:hAnsi="Times New Roman"/>
          <w:b/>
          <w:sz w:val="32"/>
          <w:szCs w:val="32"/>
          <w:lang w:val="uk-UA"/>
        </w:rPr>
        <w:t xml:space="preserve">                                        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  <w:lang w:val="uk-UA"/>
        </w:rPr>
      </w:pPr>
      <w:r>
        <w:rPr>
          <w:rFonts w:cs="Times New Roman" w:ascii="Times New Roman" w:hAnsi="Times New Roman"/>
          <w:b/>
          <w:sz w:val="32"/>
          <w:szCs w:val="32"/>
          <w:lang w:val="uk-UA"/>
        </w:rPr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  <w:lang w:val="uk-UA"/>
        </w:rPr>
      </w:pPr>
      <w:r>
        <w:rPr>
          <w:rFonts w:cs="Times New Roman" w:ascii="Times New Roman" w:hAnsi="Times New Roman"/>
          <w:b/>
          <w:sz w:val="32"/>
          <w:szCs w:val="32"/>
          <w:lang w:val="uk-UA"/>
        </w:rPr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  <w:lang w:val="uk-UA"/>
        </w:rPr>
      </w:pPr>
      <w:r>
        <w:rPr>
          <w:rFonts w:cs="Times New Roman" w:ascii="Times New Roman" w:hAnsi="Times New Roman"/>
          <w:b/>
          <w:sz w:val="32"/>
          <w:szCs w:val="32"/>
          <w:lang w:val="uk-UA"/>
        </w:rPr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  <w:lang w:val="uk-UA"/>
        </w:rPr>
      </w:pPr>
      <w:r>
        <w:rPr>
          <w:rFonts w:cs="Times New Roman" w:ascii="Times New Roman" w:hAnsi="Times New Roman"/>
          <w:b/>
          <w:sz w:val="32"/>
          <w:szCs w:val="32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cs="Times New Roman" w:ascii="Times New Roman" w:hAnsi="Times New Roman"/>
          <w:sz w:val="32"/>
          <w:szCs w:val="32"/>
          <w:lang w:val="uk-UA"/>
        </w:rPr>
        <w:t>м. Київ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cs="Times New Roman" w:ascii="Times New Roman" w:hAnsi="Times New Roman"/>
          <w:sz w:val="32"/>
          <w:szCs w:val="32"/>
          <w:lang w:val="uk-UA"/>
        </w:rPr>
        <w:t>201</w:t>
      </w:r>
      <w:r>
        <w:rPr>
          <w:rFonts w:cs="Times New Roman" w:ascii="Times New Roman" w:hAnsi="Times New Roman"/>
          <w:sz w:val="32"/>
          <w:szCs w:val="32"/>
          <w:lang w:val="en-US"/>
        </w:rPr>
        <w:t>9</w:t>
      </w:r>
      <w:r>
        <w:rPr>
          <w:rFonts w:cs="Times New Roman" w:ascii="Times New Roman" w:hAnsi="Times New Roman"/>
          <w:sz w:val="32"/>
          <w:szCs w:val="32"/>
          <w:lang w:val="uk-UA"/>
        </w:rPr>
        <w:t xml:space="preserve"> рік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План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Поняття режиму, його види та шляхи забезпечення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Зонування місць роботи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Порядок поводження з машинними носіями інформації з обмеженим доступом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Типові помилки при реєстрації документів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Висновок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Список використаної літератури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cs="Times New Roman" w:ascii="Times New Roman" w:hAnsi="Times New Roman"/>
          <w:sz w:val="36"/>
          <w:szCs w:val="36"/>
          <w:lang w:val="uk-UA"/>
        </w:rPr>
      </w:r>
    </w:p>
    <w:p>
      <w:pPr>
        <w:pStyle w:val="ListParagraph"/>
        <w:spacing w:before="240" w:after="200"/>
        <w:ind w:left="644" w:hanging="0"/>
        <w:contextualSpacing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  <w:t>Поняття режиму, його види та шляхи забезпечення</w:t>
      </w:r>
    </w:p>
    <w:p>
      <w:pPr>
        <w:pStyle w:val="Style23"/>
        <w:spacing w:before="240" w:after="24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Тлумачний словник української мови дає декілька визначень поняття режиму. Відповідно до нього, </w:t>
      </w:r>
      <w:r>
        <w:rPr>
          <w:rFonts w:ascii="Times New Roman" w:hAnsi="Times New Roman"/>
          <w:b/>
          <w:sz w:val="28"/>
          <w:szCs w:val="28"/>
        </w:rPr>
        <w:t xml:space="preserve">режим – </w:t>
      </w:r>
    </w:p>
    <w:p>
      <w:pPr>
        <w:pStyle w:val="Style23"/>
        <w:numPr>
          <w:ilvl w:val="0"/>
          <w:numId w:val="2"/>
        </w:num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заходів, правил, норм запроваджуваних для досягнення певної мети; </w:t>
      </w:r>
    </w:p>
    <w:p>
      <w:pPr>
        <w:pStyle w:val="Style23"/>
        <w:numPr>
          <w:ilvl w:val="0"/>
          <w:numId w:val="2"/>
        </w:num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певні умови, реально існуючі або необхідні для забезпечення роботи, функціонування, існування чого-небудь.</w:t>
      </w:r>
    </w:p>
    <w:p>
      <w:pPr>
        <w:pStyle w:val="Style23"/>
        <w:spacing w:before="240" w:after="0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Якщо ж поняття режиму застосовується при охарактеризуванні робіт у  системі Служби безпеки України, то, як правило, йдеться про режим секретності. Відповідно до Закону України «Про державну таємницю» </w:t>
      </w:r>
      <w:r>
        <w:rPr>
          <w:rFonts w:ascii="Times New Roman" w:hAnsi="Times New Roman"/>
          <w:spacing w:val="2"/>
          <w:sz w:val="28"/>
          <w:szCs w:val="28"/>
          <w:u w:val="single"/>
        </w:rPr>
        <w:t>режим секретності</w:t>
      </w:r>
      <w:r>
        <w:rPr>
          <w:rFonts w:ascii="Times New Roman" w:hAnsi="Times New Roman"/>
          <w:spacing w:val="2"/>
          <w:sz w:val="28"/>
          <w:szCs w:val="28"/>
        </w:rPr>
        <w:t xml:space="preserve"> - встановлений  згідно  з  вимогами цього Закону та інших виданих відповідно  до  нього  нормативно-правових актів єдиний порядок забезпечення охорони державної таємниці.</w:t>
      </w:r>
    </w:p>
    <w:p>
      <w:pPr>
        <w:pStyle w:val="Style23"/>
        <w:spacing w:before="240" w:after="0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Відповідно до «Порядку організації та забезпечення режиму секретності в державних органах, органах місцевого самоврядування, на підприємствах, в установах і організаціях та визнання такими, що втратили чинність, деяких постанов Кабінету Міністрів України (далі – КМУ)», затвердженого постановою КМУ від 18 грудня 2013 р. № 939, на підприємствах, в установах, організаціях, які провадять діяльність, пов’язану з державною таємницею, запроваджується пропускний та внутрішньооб’єктовий режим.</w:t>
      </w:r>
    </w:p>
    <w:p>
      <w:pPr>
        <w:pStyle w:val="ListParagraph"/>
        <w:numPr>
          <w:ilvl w:val="0"/>
          <w:numId w:val="3"/>
        </w:num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пропускний режим - установлений у межах об'єкту охорони порядок, який забезпечується комплексом організаційно-правових та інженерно-технічних заходів, що здійснюються з метою виключення можливості безконтрольного переміщення осіб, транспортних засобів і майна на об'єкт та з об'єкта охорони;</w:t>
      </w:r>
    </w:p>
    <w:p>
      <w:pPr>
        <w:pStyle w:val="Style23"/>
        <w:numPr>
          <w:ilvl w:val="0"/>
          <w:numId w:val="3"/>
        </w:num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внутрішньооб’єктовим режимом є сукупність організаційних, інженерних та технічних заходів і правил, спрямованих на забезпечення режиму секретності, встановленого на підприємстві, в установі, організації.</w:t>
      </w:r>
    </w:p>
    <w:p>
      <w:pPr>
        <w:pStyle w:val="Style23"/>
        <w:numPr>
          <w:ilvl w:val="0"/>
          <w:numId w:val="0"/>
        </w:numPr>
        <w:spacing w:before="240" w:after="240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b/>
          <w:sz w:val="28"/>
          <w:szCs w:val="28"/>
        </w:rPr>
        <w:t>пропускного режиму</w:t>
      </w:r>
      <w:r>
        <w:rPr>
          <w:rFonts w:ascii="Times New Roman" w:hAnsi="Times New Roman"/>
          <w:sz w:val="28"/>
          <w:szCs w:val="28"/>
        </w:rPr>
        <w:t xml:space="preserve"> розробляються підрозділом, що охороняє підприємство, установу, організацію, погоджуються з РСО і затверджуються керівником підприємства, установи, організації.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Запровадження пропускного режиму на підприємстві, в установі, організації, в режимних приміщеннях (зонах, територіях) здійснюється з метою запобігання: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проникненню на підприємство, в установу, організацію та режимні приміщення (зони, території) сторонніх осіб;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відвіданню без службової потреби режимних приміщень (зон, територій) працівниками підприємства, установи, організації та відрядженими особами;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викраденню матеріальних носіїв секретної інформації;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несанкціонованому винесенню (вивезенню) за межі підприємства, установи, організації або режимних приміщень (зон, територій), а також внесенню (ввезенню) до них матеріальних носіїв секретної інформації;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внесенню (ввезенню) на територію підприємства, установи, організації аудіо-, відео-, радіо-, фотоапаратури, інших технічних засобів без відповідного дозволу.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Пропускний режим забезпечується: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організацією контрольно-пропускних пунктів, постів з пропускними функціями на входах (виходах) на підприємство, в установу, організацію або режимні приміщення (зони, території), а також бюро перепусток;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введенням системи постійних, тимчасових і одноразових перепусток, а також перепусток на внесення (винесення), ввезення (вивезення) матеріальних цінностей;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застосуванням спеціальних шифрів, ідентифікаторів, кодів та електронних карток і вкладок до перепусток, що дають право входити до режимних приміщень (зон, територій);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спеціальним порядком пропуску іноземних делегацій, іноземців та осіб без громадянства;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визначенням посадових осіб, які мають право надавати дозволи на видачу відповідного виду перепусток;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охороною підприємств, установ, організацій, режимних приміщень (зон, територій), сховищ матеріальних носіїв секретної інформації;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визначенням переліку предметів, заборонених для внесення (ввезення) на підприємство, в установу, організацію;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обладнанням у разі потреби на контрольно-пропускних пунктах та постах з пропускними функціями камер схову особистих речей працівників підприємств, установ, організацій та відвідувачів, а також кабін з телефонними апаратами внутрішнього зв’язку;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визначенням переліку осіб, які мають доступ до режимного приміщення (зони, території).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b/>
          <w:sz w:val="28"/>
          <w:szCs w:val="28"/>
        </w:rPr>
        <w:t>внутрішньооб’єктового режиму</w:t>
      </w:r>
      <w:r>
        <w:rPr>
          <w:rFonts w:ascii="Times New Roman" w:hAnsi="Times New Roman"/>
          <w:sz w:val="28"/>
          <w:szCs w:val="28"/>
        </w:rPr>
        <w:t xml:space="preserve"> розробляються РСО і затверджуються керівником підприємства, установи, організації.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Внутрішньооб’єктовий режим забезпечується: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виконанням встановленого порядку користування матеріальними носіями секретної інформації;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обмеженням кола осіб, яким надається доступ до секретних робіт, виробів, документів та інших матеріальних носіїв секретної інформації;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установленням порядку пересування територією підприємства, установи, організації;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у разі потреби легендуванням підприємства, установи, організації та секретних робіт, маскування секретних виробів;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здійсненням контролю за доступом до режимних приміщень (зон, територій);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обладнанням ізольованих кімнат поза режимними приміщеннями (зонами, територіями) для прийому сторонніх осіб;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вжиттям заходів для недопущення витоку секретної інформації під час нарад, конференцій, виставок тощо, а також під час відвідування підприємства, установи, організації сторонніми особами, іноземцями та особами без громадянства;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дотриманням режиму секретності під час використання засобів зв’язку;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здійсненням контролю за використанням технічних засобів обробки та передавання секретної інформації;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унеможливленням безконтрольного використання засобів спеціального зв’язку сторонніми особами;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забезпеченням встановленого порядку оформлення осіб для роботи (служби) на підприємстві, в установі, організації;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розміщенням структурних підрозділів, які не мають безпосереднього стосунку до секретних робіт, за межами режимних приміщень (зон, територій).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Керівникам підприємств, установ, організацій забороняється затверджувати проекти будівництва чи реконструкції підприємства, установи, організації, які провадять діяльність, пов’язану з державною таємницею, якщо ними не передбачено заходів з охорони державної таємниці, належне розміщення режимних приміщень (зон, територій), обладнання інженерно-технічними засобами охорони тощо.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 час будівництва чи реконструкції підприємства, установи, організації у разі потреби забезпечується в установленому порядку здійснення заходів протидії технічним розвідкам.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3"/>
        <w:spacing w:before="240" w:after="240"/>
        <w:jc w:val="center"/>
        <w:rPr>
          <w:rFonts w:ascii="Times New Roman" w:hAnsi="Times New Roman"/>
          <w:b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Зонування місць роботи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Режимно-секретний орган — структурний підрозділ підприємств, установ, організацій, утворений з метою організації та здійснення заходів щодо забезпечення режиму секретності та постійного контролю за його додержанням на підприємствах, в установах і організаціях. 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підприємствах, в установах, організаціях для проведення секретних робіт визначаються спеціальні місця, що поділяються на режимні приміщення (зони, території), які можуть бути окремими приміщеннями, будинками, спорудами, ділянками, територіями, а також їх комплекси у різному поєднанні.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РСО  установ,  підприємств організацій  розміщуються  в   ізольованих службових  приміщеннях,  як  правило,  на  середніх  поверхах,  їх обладнання  має  відповідати  встановленим нормам, виключати можливість  безконтрольного  проникнення   сторонніх    осіб  та гарантувати збереження матеріальних носіїв державної таємниці,  що в них знаходяться. РСВ включають в себе режимні зони і режимні приміщення.</w:t>
      </w:r>
    </w:p>
    <w:p>
      <w:pPr>
        <w:pStyle w:val="Style23"/>
        <w:numPr>
          <w:ilvl w:val="0"/>
          <w:numId w:val="4"/>
        </w:num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режимна зона — частина режимної території, яка визначена для провадження діяльності з секретною інформацією;</w:t>
      </w:r>
    </w:p>
    <w:p>
      <w:pPr>
        <w:pStyle w:val="Style23"/>
        <w:numPr>
          <w:ilvl w:val="0"/>
          <w:numId w:val="4"/>
        </w:num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режимне приміщення — приміщення, в якому проводяться секретні роботи;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Режимні приміщення поділяються на режимні зони за видами робіт, які у них проводяться . Умовно РСВ можна поділити на такі режимні зони: 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для робіт по наданню допуску і доступу до державної таємниці, номенклатури посад;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для  реєстрації документів, робочих зошитів, блокнотів, особових рахунків;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видачі секретних документів та інші матеріальних носії секретної інформації;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для робіт з шифротелеграмами;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для робіт з секретними розпорядчими документами;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виділеного зберігання (інвентарний облік);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обліку матеріальних носіїв секретної інформації, що перебувають на архівному зберіганні;</w:t>
      </w:r>
      <w:r>
        <w:rPr>
          <w:rFonts w:ascii="Times New Roman" w:hAnsi="Times New Roman"/>
        </w:rPr>
        <w:t xml:space="preserve"> 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обліку машинних носіїв секретної інформації;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обліку секретних виробів та технічної документації;</w:t>
      </w:r>
    </w:p>
    <w:p>
      <w:pPr>
        <w:pStyle w:val="Style23"/>
        <w:numPr>
          <w:ilvl w:val="0"/>
          <w:numId w:val="5"/>
        </w:numPr>
        <w:spacing w:before="240" w:after="24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для зберігання секретних документів і матеріалів, яка обладнана металевими шафами (сейфами).</w:t>
      </w:r>
    </w:p>
    <w:p>
      <w:pPr>
        <w:pStyle w:val="Style23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  <w:t>Порядок поводження з машинними носіями інформації з обмеженим доступом</w:t>
      </w:r>
    </w:p>
    <w:p>
      <w:pPr>
        <w:pStyle w:val="Style23"/>
        <w:spacing w:before="24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Машинні носії секретної інформації реєструються в облікових формах із обов'язковим перенесенням усіх буквених і цифрових позначок, які можна побачити, у журнали, за допомогою спеціального програмного забезпечення  зчитується серійний номер виробу і теж заноситься в облікові форми, та видаються виконавцям за підписом в журналі.</w:t>
      </w:r>
    </w:p>
    <w:p>
      <w:pPr>
        <w:pStyle w:val="Style23"/>
        <w:spacing w:before="24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Машинні носії секретної інформації з грифом секретності “Особливої важливості” реєструються та видаються для роботи виконавцям начальником РСВ або його заступником і зберігаються в окремому сховищі (сейфі, металевій шафі) РСВ.</w:t>
      </w:r>
    </w:p>
    <w:p>
      <w:pPr>
        <w:pStyle w:val="Style23"/>
        <w:spacing w:before="24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 секретної інформації, призначеної для відправлення іншим підприємствам, установам, організаціям, проводиться на машинні носії секретної інформації, на які раніше секретна інформація не записувалася.</w:t>
      </w:r>
    </w:p>
    <w:p>
      <w:pPr>
        <w:pStyle w:val="Style23"/>
        <w:spacing w:before="24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Забороняється використовувати для обробки секретної інформації машинні носії секретної інформації, які не обліковані в РСО.</w:t>
      </w:r>
    </w:p>
    <w:p>
      <w:pPr>
        <w:pStyle w:val="Style23"/>
        <w:spacing w:before="24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машинних носіїв секретної інформації від однієї особи до іншої повинна проводитися лише через РСВ і лише при здійсненні відповідних записів у облікових формах. Це саме стосується підвищення і зниження грифа секретності машинного носія секретної інформації.</w:t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  <w:t>Типові помилки при реєстрації документів</w:t>
      </w:r>
    </w:p>
    <w:p>
      <w:pPr>
        <w:pStyle w:val="Normal"/>
        <w:spacing w:before="240" w:after="20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u w:val="single"/>
          <w:lang w:val="uk-UA"/>
        </w:rPr>
        <w:t>Реєстрація документів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полягає у веденні запису облікових даних про документ  за  встановленою  реєстраційною  формою,  яким фіксується  факт  створення,  відправлення або одержання документа шляхом проставлення на ньому реєстраційного  індексу  з  подальшим записом  у  зазначених  формах необхідних відомостей про документ. Реєстрація документів провадиться з метою забезпечення їх  обліку, контролю  за  виконанням  і  оперативним  використанням  наявної в документах інформації. Реєструються документи незалежно  від  способу  їх  доставки, передачі чи створення, як вхідні, так і підготовлені і лише один раз:  вхідні - у день надходження або не пізніше наступного дня,  якщо документ надійшов у неробочий час, створювані - у день підписання або затвердження.</w:t>
      </w:r>
    </w:p>
    <w:p>
      <w:pPr>
        <w:pStyle w:val="Normal"/>
        <w:spacing w:before="240" w:after="20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Можна виділити такі типові помилки при реєстрації документів:</w:t>
      </w:r>
    </w:p>
    <w:p>
      <w:pPr>
        <w:pStyle w:val="ListParagraph"/>
        <w:numPr>
          <w:ilvl w:val="0"/>
          <w:numId w:val="6"/>
        </w:numPr>
        <w:spacing w:before="240" w:after="20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реєстрація документа без підпису уповноваженої на це посадової особи;</w:t>
      </w:r>
    </w:p>
    <w:p>
      <w:pPr>
        <w:pStyle w:val="ListParagraph"/>
        <w:numPr>
          <w:ilvl w:val="0"/>
          <w:numId w:val="6"/>
        </w:numPr>
        <w:spacing w:before="240" w:after="20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реєстрація неправильно оформленого документа (гриф обмеження доступу, пункт переліку, ЗВДТ, виконавець); </w:t>
      </w:r>
    </w:p>
    <w:p>
      <w:pPr>
        <w:pStyle w:val="ListParagraph"/>
        <w:numPr>
          <w:ilvl w:val="0"/>
          <w:numId w:val="6"/>
        </w:numPr>
        <w:spacing w:before="240" w:after="20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реєстрація не в тій обліковій формі;</w:t>
      </w:r>
    </w:p>
    <w:p>
      <w:pPr>
        <w:pStyle w:val="ListParagraph"/>
        <w:numPr>
          <w:ilvl w:val="0"/>
          <w:numId w:val="6"/>
        </w:numPr>
        <w:spacing w:before="240" w:after="20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подвійна реєстрація;</w:t>
      </w:r>
    </w:p>
    <w:p>
      <w:pPr>
        <w:pStyle w:val="ListParagraph"/>
        <w:numPr>
          <w:ilvl w:val="0"/>
          <w:numId w:val="6"/>
        </w:numPr>
        <w:spacing w:before="240" w:after="20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реєстрація документа після спливу двох днів від дня надходження чи  готування (підписання);</w:t>
      </w:r>
    </w:p>
    <w:p>
      <w:pPr>
        <w:pStyle w:val="ListParagraph"/>
        <w:numPr>
          <w:ilvl w:val="0"/>
          <w:numId w:val="6"/>
        </w:numPr>
        <w:spacing w:before="240" w:after="20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проставляння неправильного індексу при реєстрації;</w:t>
      </w:r>
    </w:p>
    <w:p>
      <w:pPr>
        <w:pStyle w:val="ListParagraph"/>
        <w:numPr>
          <w:ilvl w:val="0"/>
          <w:numId w:val="6"/>
        </w:numPr>
        <w:spacing w:before="240" w:after="20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проставляння неправильної кількості аркушів основного документа чи додатку. </w:t>
      </w:r>
    </w:p>
    <w:p>
      <w:pPr>
        <w:pStyle w:val="Normal"/>
        <w:spacing w:before="240" w:after="20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Таким чином, ми бачимо, що основних помилок при реєстрації документів можна уникнути, якщо бути уважними і не втрачати пильність у процесі передачі документів чи їх отриманні безпосередньо від виконавців. </w:t>
      </w:r>
    </w:p>
    <w:p>
      <w:pPr>
        <w:pStyle w:val="Normal"/>
        <w:spacing w:before="240" w:after="200"/>
        <w:ind w:firstLine="567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ind w:firstLine="567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ind w:firstLine="567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ind w:firstLine="567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ind w:firstLine="567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  <w:t>Висновок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У даній роботі я намагалася висвітлити поняття режиму у системі Служби безпеки України, зонування місць роботи, порядок поводження з машинними носіями інформації з обмеженим доступом, типові помилки при реєстрації документів.  Тобто порушувала такі питання, які тісно пов'язані із роботою в режимно-секретному відділі.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Отже, поняття режиму в даному ракурсі можна тлумачити як систему заходів, правил і реально існуючих умов, необхідних  для забезпечення роботи, функціонування секретності та додержання державної таємниці.   Саме розподіл місць роботи по зонам допомагає втілити у життя основні принципи режиму секретності:  </w:t>
      </w:r>
      <w:r>
        <w:rPr>
          <w:rFonts w:ascii="Times New Roman" w:hAnsi="Times New Roman"/>
          <w:sz w:val="28"/>
          <w:szCs w:val="28"/>
          <w:lang w:val="uk-UA"/>
        </w:rPr>
        <w:t>недопущення витоку секретної інформації, обмеження кола осіб, яким надається доступ до матеріальних носіїв секретної інформації; здійснення контролю за використанням інформації з обмеженим доступом. Питання поводження з машинними носіями секретної інформації виноситься окремим пунктом через важливість наслідків, які неминуче настануть у випадку неправомірного використання машинних носіїв секретної  інформації  або зловживання  їх наявністю. А озвучення типових помилок при реєстрації документів дозволяє нам взяти правильний курс при виконанні даного виду робіт задля уникнення таких помилок у майбутньому.</w:t>
      </w:r>
    </w:p>
    <w:p>
      <w:pPr>
        <w:pStyle w:val="Normal"/>
        <w:spacing w:before="240" w:after="20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Normal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</w:r>
    </w:p>
    <w:p>
      <w:pPr>
        <w:pStyle w:val="ListParagraph"/>
        <w:ind w:left="644" w:hanging="0"/>
        <w:jc w:val="center"/>
        <w:rPr>
          <w:rFonts w:ascii="Times New Roman" w:hAnsi="Times New Roman" w:cs="Times New Roman"/>
          <w:b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  <w:t>Список використаної літератури</w:t>
      </w:r>
    </w:p>
    <w:p>
      <w:pPr>
        <w:pStyle w:val="Style23"/>
        <w:numPr>
          <w:ilvl w:val="0"/>
          <w:numId w:val="7"/>
        </w:numPr>
        <w:spacing w:before="120" w:after="240"/>
        <w:ind w:left="567" w:hanging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Закон України «Про державну таємницю» від 21 січня 1994 року № 3855-XII.</w:t>
      </w:r>
    </w:p>
    <w:p>
      <w:pPr>
        <w:pStyle w:val="Style23"/>
        <w:numPr>
          <w:ilvl w:val="0"/>
          <w:numId w:val="7"/>
        </w:numPr>
        <w:spacing w:before="120" w:after="240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«Інструкція про порядок організації обігу матеріальних носіїв секретної інформації та функціонування режимних приміщень у системі СБУ» , затверджена наказом Центрального Управління СБУ від 23.02.2011 № 80/ДСК.</w:t>
      </w:r>
    </w:p>
    <w:p>
      <w:pPr>
        <w:pStyle w:val="Style23"/>
        <w:numPr>
          <w:ilvl w:val="0"/>
          <w:numId w:val="7"/>
        </w:numPr>
        <w:spacing w:before="120" w:after="240"/>
        <w:ind w:left="567" w:hanging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Постанова Кабінету Міністрів України «Про затвердження Порядку організації та забезпечення режиму секретності в державних органах, органах місцевого самоврядування, на підприємствах, в установах і організаціях та визнання такими, що втратили чинність, деяких постанов Кабінету Міністрів України»  </w:t>
      </w:r>
      <w:r>
        <w:rPr>
          <w:rFonts w:ascii="Times New Roman" w:hAnsi="Times New Roman"/>
          <w:sz w:val="28"/>
          <w:szCs w:val="28"/>
        </w:rPr>
        <w:t>від 18 грудня 2013 року № 939.</w:t>
      </w:r>
    </w:p>
    <w:p>
      <w:pPr>
        <w:pStyle w:val="Style23"/>
        <w:numPr>
          <w:ilvl w:val="0"/>
          <w:numId w:val="7"/>
        </w:numPr>
        <w:spacing w:before="120" w:after="240"/>
        <w:ind w:left="567" w:hanging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Постанова Кабінету Міністрів України «Про затвердження Типової інструкції з діловодства у центральних органах виконавчої влади, Раді міністрів Автономної Республіки Крим, місцевих органах виконавчої влади» від 30 листопада 2011 року № 1242.</w:t>
      </w:r>
    </w:p>
    <w:p>
      <w:pPr>
        <w:pStyle w:val="Style23"/>
        <w:numPr>
          <w:ilvl w:val="0"/>
          <w:numId w:val="7"/>
        </w:numPr>
        <w:spacing w:before="120" w:after="240"/>
        <w:ind w:left="567" w:hanging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«Положення про режимно-секретні органи Служби безпеки України», затверджене наказом Голови СБ України від 20.09.1996 № 220/ДСК.</w:t>
      </w:r>
    </w:p>
    <w:p>
      <w:pPr>
        <w:pStyle w:val="ListParagraph"/>
        <w:numPr>
          <w:ilvl w:val="0"/>
          <w:numId w:val="7"/>
        </w:numPr>
        <w:spacing w:before="0" w:after="200"/>
        <w:ind w:left="567" w:hanging="283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Словник української мови: в 11 томах. — Том 8, 1977</w:t>
      </w:r>
      <w:r>
        <w:rPr>
          <w:rFonts w:cs="Times New Roman" w:ascii="Times New Roman" w:hAnsi="Times New Roman"/>
          <w:sz w:val="28"/>
          <w:szCs w:val="28"/>
          <w:lang w:val="uk-UA"/>
        </w:rPr>
        <w:t>.</w:t>
      </w:r>
    </w:p>
    <w:sectPr>
      <w:footerReference w:type="default" r:id="rId2"/>
      <w:type w:val="nextPage"/>
      <w:pgSz w:w="11906" w:h="16838"/>
      <w:pgMar w:left="1701" w:right="850" w:header="0" w:top="1134" w:footer="708" w:bottom="1134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ntiqu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Общ"/>
        <w:docPartUnique w:val=""/>
      </w:docPartObj>
      <w:id w:val="1956852745"/>
    </w:sdtPr>
    <w:sdtContent>
      <w:p>
        <w:pPr>
          <w:pStyle w:val="Style24"/>
          <w:jc w:val="center"/>
          <w:rPr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instrText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>
    <w:pPr>
      <w:pStyle w:val="Style24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02f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2a45d2"/>
    <w:rPr>
      <w:rFonts w:ascii="Courier New" w:hAnsi="Courier New" w:eastAsia="Times New Roman" w:cs="Courier New"/>
      <w:sz w:val="20"/>
      <w:szCs w:val="20"/>
    </w:rPr>
  </w:style>
  <w:style w:type="character" w:styleId="Style14">
    <w:name w:val="Интернет-ссылка"/>
    <w:basedOn w:val="DefaultParagraphFont"/>
    <w:uiPriority w:val="99"/>
    <w:semiHidden/>
    <w:unhideWhenUsed/>
    <w:rsid w:val="002a45d2"/>
    <w:rPr>
      <w:color w:val="0000FF"/>
      <w:u w:val="single"/>
    </w:rPr>
  </w:style>
  <w:style w:type="character" w:styleId="Style15" w:customStyle="1">
    <w:name w:val="Схема документа Знак"/>
    <w:basedOn w:val="DefaultParagraphFont"/>
    <w:link w:val="a5"/>
    <w:uiPriority w:val="99"/>
    <w:semiHidden/>
    <w:qFormat/>
    <w:rsid w:val="00645b48"/>
    <w:rPr>
      <w:rFonts w:ascii="Tahoma" w:hAnsi="Tahoma" w:cs="Tahoma"/>
      <w:sz w:val="16"/>
      <w:szCs w:val="16"/>
    </w:rPr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306814"/>
    <w:rPr>
      <w:rFonts w:ascii="Antiqua" w:hAnsi="Antiqua" w:eastAsia="Times New Roman" w:cs="Times New Roman"/>
      <w:sz w:val="26"/>
      <w:szCs w:val="20"/>
      <w:lang w:val="uk-UA"/>
    </w:rPr>
  </w:style>
  <w:style w:type="character" w:styleId="Style17" w:customStyle="1">
    <w:name w:val="Верхний колонтитул Знак"/>
    <w:basedOn w:val="DefaultParagraphFont"/>
    <w:link w:val="aa"/>
    <w:uiPriority w:val="99"/>
    <w:semiHidden/>
    <w:qFormat/>
    <w:rsid w:val="00ac5ded"/>
    <w:rPr/>
  </w:style>
  <w:style w:type="character" w:styleId="ListLabel1">
    <w:name w:val="ListLabel 1"/>
    <w:qFormat/>
    <w:rPr>
      <w:rFonts w:cs="Courier New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Основной текст"/>
    <w:basedOn w:val="Normal"/>
    <w:pPr>
      <w:spacing w:lineRule="auto" w:line="288" w:before="0" w:after="140"/>
    </w:pPr>
    <w:rPr/>
  </w:style>
  <w:style w:type="paragraph" w:styleId="Style20">
    <w:name w:val="Список"/>
    <w:basedOn w:val="Style19"/>
    <w:pPr/>
    <w:rPr>
      <w:rFonts w:cs="Arial"/>
    </w:rPr>
  </w:style>
  <w:style w:type="paragraph" w:styleId="Style21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 w:customStyle="1">
    <w:name w:val="Нормальний текст"/>
    <w:basedOn w:val="Normal"/>
    <w:qFormat/>
    <w:rsid w:val="00e35aeb"/>
    <w:pPr>
      <w:spacing w:lineRule="auto" w:line="240" w:before="120" w:after="0"/>
      <w:ind w:firstLine="567"/>
    </w:pPr>
    <w:rPr>
      <w:rFonts w:ascii="Antiqua" w:hAnsi="Antiqua" w:eastAsia="Times New Roman" w:cs="Times New Roman"/>
      <w:sz w:val="26"/>
      <w:szCs w:val="20"/>
      <w:lang w:val="uk-UA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2a45d2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DocumentMap">
    <w:name w:val="Document Map"/>
    <w:basedOn w:val="Normal"/>
    <w:link w:val="a6"/>
    <w:uiPriority w:val="99"/>
    <w:semiHidden/>
    <w:unhideWhenUsed/>
    <w:qFormat/>
    <w:rsid w:val="00645b4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b48"/>
    <w:pPr>
      <w:spacing w:before="0" w:after="200"/>
      <w:ind w:left="720" w:hanging="0"/>
      <w:contextualSpacing/>
    </w:pPr>
    <w:rPr/>
  </w:style>
  <w:style w:type="paragraph" w:styleId="Style24">
    <w:name w:val="Нижний колонтитул"/>
    <w:basedOn w:val="Normal"/>
    <w:link w:val="a9"/>
    <w:uiPriority w:val="99"/>
    <w:rsid w:val="00306814"/>
    <w:pPr>
      <w:tabs>
        <w:tab w:val="center" w:pos="4153" w:leader="none"/>
        <w:tab w:val="right" w:pos="8306" w:leader="none"/>
      </w:tabs>
      <w:spacing w:lineRule="auto" w:line="240" w:before="0" w:after="0"/>
    </w:pPr>
    <w:rPr>
      <w:rFonts w:ascii="Antiqua" w:hAnsi="Antiqua" w:eastAsia="Times New Roman" w:cs="Times New Roman"/>
      <w:sz w:val="26"/>
      <w:szCs w:val="20"/>
      <w:lang w:val="uk-UA"/>
    </w:rPr>
  </w:style>
  <w:style w:type="paragraph" w:styleId="Style25">
    <w:name w:val="Верхний колонтитул"/>
    <w:basedOn w:val="Normal"/>
    <w:link w:val="ab"/>
    <w:uiPriority w:val="99"/>
    <w:semiHidden/>
    <w:unhideWhenUsed/>
    <w:rsid w:val="00ac5ded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LibreOffice/4.4.1.2$Windows_x86 LibreOffice_project/45e2de17089c24a1fa810c8f975a7171ba4cd432</Application>
  <Paragraphs>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2015-04-06T21:46:00Z</dcterms:created>
  <dc:creator>Admin</dc:creator>
  <dc:language>ru-RU</dc:language>
  <dcterms:modified xsi:type="dcterms:W3CDTF">2019-10-09T20:36:31Z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