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4B" w:rsidRDefault="00DB4528" w:rsidP="00EF6978">
      <w:pPr>
        <w:jc w:val="both"/>
        <w:rPr>
          <w:lang w:val="ru-RU"/>
        </w:rPr>
      </w:pPr>
      <w:r>
        <w:t xml:space="preserve">Максимально </w:t>
      </w:r>
      <w:r>
        <w:rPr>
          <w:lang w:val="ru-RU"/>
        </w:rPr>
        <w:t>открыто. Именно этой фразой ох</w:t>
      </w:r>
      <w:r w:rsidR="00A019E1">
        <w:rPr>
          <w:lang w:val="ru-RU"/>
        </w:rPr>
        <w:t>арактеризовалась нам компания «</w:t>
      </w:r>
      <w:r w:rsidR="00A019E1">
        <w:rPr>
          <w:lang w:val="en-US"/>
        </w:rPr>
        <w:t>Bus</w:t>
      </w:r>
      <w:r w:rsidR="00C83C24">
        <w:rPr>
          <w:lang w:val="en-US"/>
        </w:rPr>
        <w:t>i</w:t>
      </w:r>
      <w:r w:rsidR="00A019E1">
        <w:rPr>
          <w:lang w:val="en-US"/>
        </w:rPr>
        <w:t>ness</w:t>
      </w:r>
      <w:r w:rsidR="00A019E1" w:rsidRPr="00A019E1">
        <w:rPr>
          <w:lang w:val="ru-RU"/>
        </w:rPr>
        <w:t>-</w:t>
      </w:r>
      <w:r w:rsidR="00A019E1">
        <w:rPr>
          <w:lang w:val="en-US"/>
        </w:rPr>
        <w:t>city</w:t>
      </w:r>
      <w:r w:rsidR="00A019E1">
        <w:rPr>
          <w:lang w:val="ru-RU"/>
        </w:rPr>
        <w:t>».</w:t>
      </w:r>
      <w:r w:rsidR="00C83C24">
        <w:rPr>
          <w:lang w:val="ru-RU"/>
        </w:rPr>
        <w:t xml:space="preserve"> Полноценная статистика, максимально развернута, но об этом немного позже.</w:t>
      </w:r>
    </w:p>
    <w:p w:rsidR="00B7229C" w:rsidRDefault="00B7229C" w:rsidP="00EF6978">
      <w:pPr>
        <w:jc w:val="both"/>
        <w:rPr>
          <w:lang w:val="ru-RU"/>
        </w:rPr>
      </w:pPr>
      <w:r>
        <w:rPr>
          <w:lang w:val="ru-RU"/>
        </w:rPr>
        <w:t xml:space="preserve">«До 6%» </w:t>
      </w:r>
      <w:r w:rsidR="00313AAA">
        <w:rPr>
          <w:lang w:val="ru-RU"/>
        </w:rPr>
        <w:t>- именно такую сумму Вы будете получать ежедневно, инвестируя в данную компанию.</w:t>
      </w:r>
      <w:r w:rsidR="00470040">
        <w:rPr>
          <w:lang w:val="ru-RU"/>
        </w:rPr>
        <w:t xml:space="preserve"> Почему до? Все сделано максимально разумно и рационально. Вы будете получать от 1 до 6 процентов в сутки в зависимости от суммы, которую Вы инвестируете. Вкладывая от 50 до 200 российских рублей – Ваш доход составит 1%; 201-500 единиц все той же валюты принесут Вам 2-хпроцентрную прибыль ежедневно. Инвестируя 501-2000, вы сможете получить 3% дохода. 4% - вкладывая от 2001 до 10000, будут радовать Ваш кошелек каждые сутки, и 6% при инвестировании от 10 до 100 тысяч официальной валюты Российской Федерации. </w:t>
      </w:r>
    </w:p>
    <w:tbl>
      <w:tblPr>
        <w:tblStyle w:val="a3"/>
        <w:tblpPr w:leftFromText="180" w:rightFromText="180" w:horzAnchor="margin" w:tblpY="2005"/>
        <w:tblW w:w="0" w:type="auto"/>
        <w:tblLook w:val="04A0" w:firstRow="1" w:lastRow="0" w:firstColumn="1" w:lastColumn="0" w:noHBand="0" w:noVBand="1"/>
      </w:tblPr>
      <w:tblGrid>
        <w:gridCol w:w="822"/>
        <w:gridCol w:w="1853"/>
        <w:gridCol w:w="829"/>
      </w:tblGrid>
      <w:tr w:rsidR="00470040" w:rsidRPr="00470040" w:rsidTr="00470040">
        <w:trPr>
          <w:trHeight w:val="396"/>
        </w:trPr>
        <w:tc>
          <w:tcPr>
            <w:tcW w:w="822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70040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853" w:type="dxa"/>
            <w:vAlign w:val="center"/>
          </w:tcPr>
          <w:p w:rsidR="00470040" w:rsidRPr="0094789B" w:rsidRDefault="00470040" w:rsidP="0094789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70040">
              <w:rPr>
                <w:rFonts w:ascii="Times New Roman" w:hAnsi="Times New Roman" w:cs="Times New Roman"/>
                <w:b/>
                <w:lang w:val="ru-RU"/>
              </w:rPr>
              <w:t>Сумма инвестирования</w:t>
            </w:r>
            <w:r w:rsidR="0094789B"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 w:rsidR="0094789B">
              <w:rPr>
                <w:rFonts w:ascii="Times New Roman" w:hAnsi="Times New Roman" w:cs="Times New Roman"/>
                <w:b/>
                <w:lang w:val="en-US"/>
              </w:rPr>
              <w:t>RUB)</w:t>
            </w:r>
          </w:p>
        </w:tc>
        <w:tc>
          <w:tcPr>
            <w:tcW w:w="829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70040">
              <w:rPr>
                <w:rFonts w:ascii="Times New Roman" w:hAnsi="Times New Roman" w:cs="Times New Roman"/>
                <w:b/>
                <w:lang w:val="ru-RU"/>
              </w:rPr>
              <w:t>%</w:t>
            </w:r>
          </w:p>
        </w:tc>
      </w:tr>
      <w:tr w:rsidR="00470040" w:rsidRPr="00470040" w:rsidTr="00470040">
        <w:trPr>
          <w:trHeight w:val="424"/>
        </w:trPr>
        <w:tc>
          <w:tcPr>
            <w:tcW w:w="822" w:type="dxa"/>
            <w:vAlign w:val="center"/>
          </w:tcPr>
          <w:p w:rsidR="00470040" w:rsidRPr="00470040" w:rsidRDefault="00470040" w:rsidP="009478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3" w:type="dxa"/>
            <w:vAlign w:val="center"/>
          </w:tcPr>
          <w:p w:rsidR="00470040" w:rsidRPr="00470040" w:rsidRDefault="0094789B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50-</w:t>
            </w:r>
            <w:r w:rsidR="005008BE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829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470040" w:rsidRPr="00470040" w:rsidTr="00470040">
        <w:trPr>
          <w:trHeight w:val="396"/>
        </w:trPr>
        <w:tc>
          <w:tcPr>
            <w:tcW w:w="822" w:type="dxa"/>
            <w:vAlign w:val="center"/>
          </w:tcPr>
          <w:p w:rsidR="00470040" w:rsidRPr="00470040" w:rsidRDefault="00470040" w:rsidP="009478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3" w:type="dxa"/>
            <w:vAlign w:val="center"/>
          </w:tcPr>
          <w:p w:rsidR="00470040" w:rsidRPr="00470040" w:rsidRDefault="005008BE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201-500</w:t>
            </w:r>
          </w:p>
        </w:tc>
        <w:tc>
          <w:tcPr>
            <w:tcW w:w="829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470040" w:rsidRPr="00470040" w:rsidTr="00470040">
        <w:trPr>
          <w:trHeight w:val="396"/>
        </w:trPr>
        <w:tc>
          <w:tcPr>
            <w:tcW w:w="822" w:type="dxa"/>
            <w:vAlign w:val="center"/>
          </w:tcPr>
          <w:p w:rsidR="00470040" w:rsidRPr="00470040" w:rsidRDefault="00470040" w:rsidP="009478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3" w:type="dxa"/>
            <w:vAlign w:val="center"/>
          </w:tcPr>
          <w:p w:rsidR="00470040" w:rsidRPr="00470040" w:rsidRDefault="005008BE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501-2000</w:t>
            </w:r>
          </w:p>
        </w:tc>
        <w:tc>
          <w:tcPr>
            <w:tcW w:w="829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470040" w:rsidRPr="00470040" w:rsidTr="00470040">
        <w:trPr>
          <w:trHeight w:val="396"/>
        </w:trPr>
        <w:tc>
          <w:tcPr>
            <w:tcW w:w="822" w:type="dxa"/>
            <w:vAlign w:val="center"/>
          </w:tcPr>
          <w:p w:rsidR="00470040" w:rsidRPr="00470040" w:rsidRDefault="00470040" w:rsidP="009478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3" w:type="dxa"/>
            <w:vAlign w:val="center"/>
          </w:tcPr>
          <w:p w:rsidR="00470040" w:rsidRPr="00470040" w:rsidRDefault="005008BE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2001-10000</w:t>
            </w:r>
          </w:p>
        </w:tc>
        <w:tc>
          <w:tcPr>
            <w:tcW w:w="829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470040" w:rsidRPr="00470040" w:rsidTr="00470040">
        <w:trPr>
          <w:trHeight w:val="396"/>
        </w:trPr>
        <w:tc>
          <w:tcPr>
            <w:tcW w:w="822" w:type="dxa"/>
            <w:vAlign w:val="center"/>
          </w:tcPr>
          <w:p w:rsidR="00470040" w:rsidRPr="00470040" w:rsidRDefault="00470040" w:rsidP="009478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53" w:type="dxa"/>
            <w:vAlign w:val="center"/>
          </w:tcPr>
          <w:p w:rsidR="00470040" w:rsidRPr="00470040" w:rsidRDefault="005008BE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10001-100000</w:t>
            </w:r>
          </w:p>
        </w:tc>
        <w:tc>
          <w:tcPr>
            <w:tcW w:w="829" w:type="dxa"/>
            <w:vAlign w:val="center"/>
          </w:tcPr>
          <w:p w:rsidR="00470040" w:rsidRPr="00470040" w:rsidRDefault="00470040" w:rsidP="009478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</w:tbl>
    <w:p w:rsidR="00A90705" w:rsidRDefault="00A90705" w:rsidP="00EF6978">
      <w:pPr>
        <w:jc w:val="both"/>
        <w:rPr>
          <w:lang w:val="ru-RU"/>
        </w:rPr>
      </w:pPr>
      <w:r>
        <w:rPr>
          <w:lang w:val="ru-RU"/>
        </w:rPr>
        <w:t xml:space="preserve">«Не упусти свой шанс», - говорит нам главная страница и это аргументированно. Просто немного забоявшись, вы можете упустить свой шанс стать богаче. </w:t>
      </w:r>
    </w:p>
    <w:p w:rsidR="00470040" w:rsidRDefault="00A90705" w:rsidP="00EF6978">
      <w:pPr>
        <w:jc w:val="both"/>
        <w:rPr>
          <w:lang w:val="ru-RU"/>
        </w:rPr>
      </w:pPr>
      <w:r>
        <w:rPr>
          <w:lang w:val="ru-RU"/>
        </w:rPr>
        <w:t xml:space="preserve">Видите ли, в чем главный аргумент долгосрочности жизни </w:t>
      </w:r>
      <w:r>
        <w:rPr>
          <w:lang w:val="en-US"/>
        </w:rPr>
        <w:t>Business</w:t>
      </w:r>
      <w:r w:rsidRPr="00A019E1">
        <w:rPr>
          <w:lang w:val="ru-RU"/>
        </w:rPr>
        <w:t>-</w:t>
      </w:r>
      <w:r>
        <w:rPr>
          <w:lang w:val="en-US"/>
        </w:rPr>
        <w:t>city</w:t>
      </w:r>
      <w:r>
        <w:rPr>
          <w:lang w:val="ru-RU"/>
        </w:rPr>
        <w:t xml:space="preserve">. При увеличении инвестируемой суммы – Вы получаете больший доход. Ориентирование на крупного инвестора – основной признак серьезности и долговечности компании. </w:t>
      </w:r>
      <w:proofErr w:type="spellStart"/>
      <w:r>
        <w:rPr>
          <w:lang w:val="ru-RU"/>
        </w:rPr>
        <w:t>Хайпы</w:t>
      </w:r>
      <w:proofErr w:type="spellEnd"/>
      <w:r>
        <w:rPr>
          <w:lang w:val="ru-RU"/>
        </w:rPr>
        <w:t xml:space="preserve">, в большем случае, работают на количество, размышляя типа: «Зачем мне один серьезный инвестор, если я смогу найти дюжину мелких и тихо закрыться без шума и крика». </w:t>
      </w:r>
      <w:r w:rsidR="000A7ABF">
        <w:rPr>
          <w:lang w:val="ru-RU"/>
        </w:rPr>
        <w:t>Логично, не правда ли?</w:t>
      </w:r>
    </w:p>
    <w:p w:rsidR="000A7ABF" w:rsidRDefault="00357FDC" w:rsidP="00EF6978">
      <w:pPr>
        <w:jc w:val="both"/>
        <w:rPr>
          <w:lang w:val="ru-RU"/>
        </w:rPr>
      </w:pPr>
      <w:r>
        <w:rPr>
          <w:lang w:val="ru-RU"/>
        </w:rPr>
        <w:t xml:space="preserve">Пройдемся дальше. Сайт многоязычный. А конкретно – ориентирован на русско-, англо- и, внимание, </w:t>
      </w:r>
      <w:proofErr w:type="spellStart"/>
      <w:r>
        <w:rPr>
          <w:lang w:val="ru-RU"/>
        </w:rPr>
        <w:t>китайскоговорящих</w:t>
      </w:r>
      <w:proofErr w:type="spellEnd"/>
      <w:r>
        <w:rPr>
          <w:lang w:val="ru-RU"/>
        </w:rPr>
        <w:t>.</w:t>
      </w:r>
      <w:r w:rsidR="000373DB">
        <w:rPr>
          <w:lang w:val="ru-RU"/>
        </w:rPr>
        <w:t xml:space="preserve"> Чис</w:t>
      </w:r>
      <w:r w:rsidR="00773F38">
        <w:rPr>
          <w:lang w:val="ru-RU"/>
        </w:rPr>
        <w:t xml:space="preserve">ленность китайского населения </w:t>
      </w:r>
      <w:r w:rsidR="00903468">
        <w:rPr>
          <w:lang w:val="ru-RU"/>
        </w:rPr>
        <w:t xml:space="preserve">всем прекрасно известна, а это есть еще один аргумент, </w:t>
      </w:r>
      <w:r w:rsidR="00470171">
        <w:rPr>
          <w:lang w:val="ru-RU"/>
        </w:rPr>
        <w:t>дающий уверенность в долговечности компании.</w:t>
      </w:r>
    </w:p>
    <w:p w:rsidR="00440B1A" w:rsidRDefault="00AB7A8E" w:rsidP="00EF6978">
      <w:pPr>
        <w:jc w:val="both"/>
        <w:rPr>
          <w:lang w:val="ru-RU"/>
        </w:rPr>
      </w:pPr>
      <w:r>
        <w:rPr>
          <w:lang w:val="ru-RU"/>
        </w:rPr>
        <w:t>Три факта, которые сама компания предоставляет посетителям.</w:t>
      </w:r>
    </w:p>
    <w:p w:rsidR="00AB7A8E" w:rsidRDefault="00AB7A8E" w:rsidP="00EF6978">
      <w:pPr>
        <w:jc w:val="both"/>
        <w:rPr>
          <w:lang w:val="ru-RU"/>
        </w:rPr>
      </w:pPr>
      <w:r>
        <w:rPr>
          <w:lang w:val="ru-RU"/>
        </w:rPr>
        <w:t>Первое – это «БОЛЬШИЕ ПРОЦЕНТЫ», которые аргументируются кажд</w:t>
      </w:r>
      <w:r w:rsidR="00CC2989">
        <w:rPr>
          <w:lang w:val="ru-RU"/>
        </w:rPr>
        <w:t xml:space="preserve">одневными рекламными компаниями, которые стабильно поддерживают способность выплачивать </w:t>
      </w:r>
      <w:r w:rsidR="00CD3732">
        <w:rPr>
          <w:lang w:val="ru-RU"/>
        </w:rPr>
        <w:t>дивиденды своим вкладчикам.</w:t>
      </w:r>
      <w:r w:rsidR="00EA4220">
        <w:rPr>
          <w:lang w:val="ru-RU"/>
        </w:rPr>
        <w:t xml:space="preserve"> «БЕЗОПАСНОСТЬ» поддерживается лучшими специалистами для создания защиты максимального качества.</w:t>
      </w:r>
      <w:r w:rsidR="008F07C2">
        <w:rPr>
          <w:lang w:val="ru-RU"/>
        </w:rPr>
        <w:t xml:space="preserve"> «АВТОМАТИЧЕСКИЕ НАЧИСЛЕНИЯ».</w:t>
      </w:r>
      <w:r w:rsidR="002343B1">
        <w:rPr>
          <w:lang w:val="ru-RU"/>
        </w:rPr>
        <w:t xml:space="preserve"> Дивиденды на Ваш личный счет поступают автоматически, что упрощает процесс вывода Ваших инвестиций уже на личный банковский счет.</w:t>
      </w:r>
    </w:p>
    <w:p w:rsidR="003E103E" w:rsidRDefault="003E103E" w:rsidP="00EF6978">
      <w:pPr>
        <w:jc w:val="both"/>
        <w:rPr>
          <w:lang w:val="ru-RU"/>
        </w:rPr>
      </w:pPr>
      <w:r>
        <w:rPr>
          <w:lang w:val="ru-RU"/>
        </w:rPr>
        <w:t xml:space="preserve">Живая статистика тоже радует </w:t>
      </w:r>
      <w:r w:rsidR="00372D63">
        <w:rPr>
          <w:lang w:val="ru-RU"/>
        </w:rPr>
        <w:t xml:space="preserve">своим наличием и необычностью. Помимо обыкновенных пунктов «Пополнения» и «Выплаты», которые мы </w:t>
      </w:r>
      <w:r w:rsidR="00A02745">
        <w:rPr>
          <w:lang w:val="ru-RU"/>
        </w:rPr>
        <w:t>довольно часто видим</w:t>
      </w:r>
      <w:r w:rsidR="00C13AA0">
        <w:rPr>
          <w:lang w:val="ru-RU"/>
        </w:rPr>
        <w:t xml:space="preserve"> во многих инвестиционных компаниях, имеется статистика «ТОП РЕФЕРОВОДОВ». </w:t>
      </w:r>
      <w:r w:rsidR="00A01AB2">
        <w:rPr>
          <w:lang w:val="ru-RU"/>
        </w:rPr>
        <w:t>Имеются</w:t>
      </w:r>
      <w:r w:rsidR="00C13AA0">
        <w:rPr>
          <w:lang w:val="ru-RU"/>
        </w:rPr>
        <w:t xml:space="preserve"> в виду пользователи с лучшими показателями в реферальных </w:t>
      </w:r>
      <w:r w:rsidR="00A01AB2">
        <w:rPr>
          <w:lang w:val="ru-RU"/>
        </w:rPr>
        <w:t xml:space="preserve">отношениях. Реферальная программа довольно хорошо развита, глядя на статистику. 362 пользователя были зарегистрированы по реферальной ссылке лучшего </w:t>
      </w:r>
      <w:proofErr w:type="spellStart"/>
      <w:r w:rsidR="00A01AB2">
        <w:rPr>
          <w:lang w:val="ru-RU"/>
        </w:rPr>
        <w:t>реферовода</w:t>
      </w:r>
      <w:proofErr w:type="spellEnd"/>
      <w:r w:rsidR="00A01AB2">
        <w:rPr>
          <w:lang w:val="ru-RU"/>
        </w:rPr>
        <w:t xml:space="preserve"> компании</w:t>
      </w:r>
      <w:r w:rsidR="00631806">
        <w:rPr>
          <w:lang w:val="ru-RU"/>
        </w:rPr>
        <w:t>, работающего под логином</w:t>
      </w:r>
      <w:r w:rsidR="00A01AB2">
        <w:rPr>
          <w:lang w:val="ru-RU"/>
        </w:rPr>
        <w:t xml:space="preserve"> </w:t>
      </w:r>
      <w:proofErr w:type="spellStart"/>
      <w:r w:rsidR="00A01AB2">
        <w:rPr>
          <w:lang w:val="en-US"/>
        </w:rPr>
        <w:t>GameDom</w:t>
      </w:r>
      <w:proofErr w:type="spellEnd"/>
      <w:r w:rsidR="00A01AB2">
        <w:rPr>
          <w:lang w:val="ru-RU"/>
        </w:rPr>
        <w:t>.</w:t>
      </w:r>
      <w:r w:rsidR="002F6E28">
        <w:rPr>
          <w:lang w:val="ru-RU"/>
        </w:rPr>
        <w:t xml:space="preserve"> Реферальная программа с компанией </w:t>
      </w:r>
      <w:r w:rsidR="002F6E28">
        <w:rPr>
          <w:lang w:val="en-US"/>
        </w:rPr>
        <w:t>Business</w:t>
      </w:r>
      <w:r w:rsidR="002F6E28" w:rsidRPr="00A019E1">
        <w:rPr>
          <w:lang w:val="ru-RU"/>
        </w:rPr>
        <w:t>-</w:t>
      </w:r>
      <w:r w:rsidR="002F6E28">
        <w:rPr>
          <w:lang w:val="en-US"/>
        </w:rPr>
        <w:t>city</w:t>
      </w:r>
      <w:r w:rsidR="002F6E28">
        <w:rPr>
          <w:lang w:val="ru-RU"/>
        </w:rPr>
        <w:t xml:space="preserve"> может позволить Вам получать доход</w:t>
      </w:r>
      <w:r w:rsidR="001B1D34">
        <w:rPr>
          <w:lang w:val="ru-RU"/>
        </w:rPr>
        <w:t>,</w:t>
      </w:r>
      <w:r w:rsidR="002F6E28">
        <w:rPr>
          <w:lang w:val="ru-RU"/>
        </w:rPr>
        <w:t xml:space="preserve"> не инвестируя собственных средств.</w:t>
      </w:r>
    </w:p>
    <w:p w:rsidR="001B1D34" w:rsidRPr="004E522B" w:rsidRDefault="004E522B" w:rsidP="00EF6978">
      <w:pPr>
        <w:jc w:val="both"/>
        <w:rPr>
          <w:lang w:val="ru-RU"/>
        </w:rPr>
      </w:pPr>
      <w:r>
        <w:rPr>
          <w:lang w:val="ru-RU"/>
        </w:rPr>
        <w:t xml:space="preserve">Сотрудничество с </w:t>
      </w:r>
      <w:r>
        <w:rPr>
          <w:lang w:val="en-US"/>
        </w:rPr>
        <w:t>Business</w:t>
      </w:r>
      <w:r w:rsidRPr="00A019E1">
        <w:rPr>
          <w:lang w:val="ru-RU"/>
        </w:rPr>
        <w:t>-</w:t>
      </w:r>
      <w:r>
        <w:rPr>
          <w:lang w:val="en-US"/>
        </w:rPr>
        <w:t>city</w:t>
      </w:r>
      <w:r>
        <w:rPr>
          <w:lang w:val="ru-RU"/>
        </w:rPr>
        <w:t xml:space="preserve"> позволит Вам качественно пополнить Ваш инвестиционный портфель.</w:t>
      </w:r>
      <w:bookmarkStart w:id="0" w:name="_GoBack"/>
      <w:bookmarkEnd w:id="0"/>
    </w:p>
    <w:sectPr w:rsidR="001B1D34" w:rsidRPr="004E52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15760"/>
    <w:multiLevelType w:val="hybridMultilevel"/>
    <w:tmpl w:val="9684DC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91"/>
    <w:rsid w:val="00032C4B"/>
    <w:rsid w:val="000373DB"/>
    <w:rsid w:val="00064E55"/>
    <w:rsid w:val="000A7ABF"/>
    <w:rsid w:val="001B1D34"/>
    <w:rsid w:val="001C5EEE"/>
    <w:rsid w:val="00211891"/>
    <w:rsid w:val="002343B1"/>
    <w:rsid w:val="002F6E28"/>
    <w:rsid w:val="00313AAA"/>
    <w:rsid w:val="00357FDC"/>
    <w:rsid w:val="00372D63"/>
    <w:rsid w:val="003E103E"/>
    <w:rsid w:val="00440B1A"/>
    <w:rsid w:val="00470040"/>
    <w:rsid w:val="00470171"/>
    <w:rsid w:val="004E522B"/>
    <w:rsid w:val="005008BE"/>
    <w:rsid w:val="005075B9"/>
    <w:rsid w:val="00631806"/>
    <w:rsid w:val="00773F38"/>
    <w:rsid w:val="00853E74"/>
    <w:rsid w:val="008F07C2"/>
    <w:rsid w:val="00903468"/>
    <w:rsid w:val="0094789B"/>
    <w:rsid w:val="00996235"/>
    <w:rsid w:val="00A019E1"/>
    <w:rsid w:val="00A01AB2"/>
    <w:rsid w:val="00A02745"/>
    <w:rsid w:val="00A90705"/>
    <w:rsid w:val="00AB7A8E"/>
    <w:rsid w:val="00B7229C"/>
    <w:rsid w:val="00C13AA0"/>
    <w:rsid w:val="00C83C24"/>
    <w:rsid w:val="00CC2989"/>
    <w:rsid w:val="00CD3732"/>
    <w:rsid w:val="00DB4528"/>
    <w:rsid w:val="00EA4220"/>
    <w:rsid w:val="00E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A87E-49AD-41E8-A63C-F097720D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378</Words>
  <Characters>2495</Characters>
  <Application>Microsoft Office Word</Application>
  <DocSecurity>0</DocSecurity>
  <Lines>54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Воробушек</dc:creator>
  <cp:keywords/>
  <dc:description/>
  <cp:lastModifiedBy>Воробушек</cp:lastModifiedBy>
  <cp:revision>33</cp:revision>
  <dcterms:created xsi:type="dcterms:W3CDTF">2017-05-01T06:23:00Z</dcterms:created>
  <dcterms:modified xsi:type="dcterms:W3CDTF">2017-05-01T08:14:00Z</dcterms:modified>
</cp:coreProperties>
</file>