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B1F" w:rsidRDefault="00EF15D9" w:rsidP="00634145">
      <w:pPr>
        <w:ind w:firstLine="0"/>
        <w:rPr>
          <w:rFonts w:ascii="Times New Roman" w:hAnsi="Times New Roman" w:cs="Times New Roman"/>
          <w:b/>
          <w:sz w:val="28"/>
          <w:szCs w:val="28"/>
          <w:lang w:val="en-US"/>
        </w:rPr>
      </w:pPr>
      <w:r w:rsidRPr="00EF15D9">
        <w:rPr>
          <w:rFonts w:ascii="Times New Roman" w:hAnsi="Times New Roman" w:cs="Times New Roman"/>
          <w:b/>
          <w:sz w:val="28"/>
          <w:szCs w:val="28"/>
          <w:lang w:val="en-US"/>
        </w:rPr>
        <w:t>PROVISION OF DENTAL CARE: CERTAIN ASPECTS OF COURT PRACTICE SIGNIFICANT FOR MEDICAL LAW</w:t>
      </w:r>
    </w:p>
    <w:p w:rsidR="00EF15D9" w:rsidRPr="00EF15D9" w:rsidRDefault="00EF15D9" w:rsidP="00634145">
      <w:pPr>
        <w:ind w:firstLine="0"/>
        <w:jc w:val="both"/>
        <w:rPr>
          <w:rFonts w:ascii="Times New Roman" w:hAnsi="Times New Roman" w:cs="Times New Roman"/>
          <w:sz w:val="24"/>
          <w:szCs w:val="24"/>
          <w:lang w:val="en-US"/>
        </w:rPr>
      </w:pPr>
      <w:r w:rsidRPr="00EF15D9">
        <w:rPr>
          <w:rFonts w:ascii="Times New Roman" w:hAnsi="Times New Roman" w:cs="Times New Roman"/>
          <w:b/>
          <w:sz w:val="24"/>
          <w:szCs w:val="24"/>
          <w:lang w:val="en-US"/>
        </w:rPr>
        <w:t>Summary:</w:t>
      </w:r>
      <w:r w:rsidRPr="00EF15D9">
        <w:rPr>
          <w:rFonts w:ascii="Times New Roman" w:hAnsi="Times New Roman" w:cs="Times New Roman"/>
          <w:sz w:val="24"/>
          <w:szCs w:val="24"/>
          <w:lang w:val="en-US"/>
        </w:rPr>
        <w:t xml:space="preserve"> 1. Introduction. - 2. Judicial practi</w:t>
      </w:r>
      <w:r>
        <w:rPr>
          <w:rFonts w:ascii="Times New Roman" w:hAnsi="Times New Roman" w:cs="Times New Roman"/>
          <w:sz w:val="24"/>
          <w:szCs w:val="24"/>
          <w:lang w:val="en-US"/>
        </w:rPr>
        <w:t>ce and medical legal relations.</w:t>
      </w:r>
      <w:r w:rsidRPr="00EF15D9">
        <w:rPr>
          <w:rFonts w:ascii="Times New Roman" w:hAnsi="Times New Roman" w:cs="Times New Roman"/>
          <w:sz w:val="24"/>
          <w:szCs w:val="24"/>
          <w:lang w:val="en-US"/>
        </w:rPr>
        <w:t xml:space="preserve"> </w:t>
      </w:r>
      <w:r w:rsidRPr="00EF15D9">
        <w:rPr>
          <w:rFonts w:ascii="Times New Roman" w:hAnsi="Times New Roman" w:cs="Times New Roman"/>
          <w:sz w:val="24"/>
          <w:szCs w:val="24"/>
          <w:lang w:val="en-US"/>
        </w:rPr>
        <w:t>- 3. Judicial precedent significant for medical law. - 4. Conclusions</w:t>
      </w:r>
    </w:p>
    <w:p w:rsidR="00EF15D9" w:rsidRDefault="00EF15D9" w:rsidP="00634145">
      <w:pPr>
        <w:ind w:firstLine="0"/>
        <w:jc w:val="both"/>
        <w:rPr>
          <w:rFonts w:ascii="Times New Roman" w:hAnsi="Times New Roman" w:cs="Times New Roman"/>
          <w:i/>
          <w:sz w:val="24"/>
          <w:szCs w:val="24"/>
          <w:lang w:val="en-US"/>
        </w:rPr>
      </w:pPr>
      <w:r w:rsidRPr="00EF15D9">
        <w:rPr>
          <w:rFonts w:ascii="Times New Roman" w:hAnsi="Times New Roman" w:cs="Times New Roman"/>
          <w:b/>
          <w:i/>
          <w:sz w:val="24"/>
          <w:szCs w:val="24"/>
          <w:lang w:val="en-US"/>
        </w:rPr>
        <w:t>Keywords:</w:t>
      </w:r>
      <w:r w:rsidRPr="00EF15D9">
        <w:rPr>
          <w:rFonts w:ascii="Times New Roman" w:hAnsi="Times New Roman" w:cs="Times New Roman"/>
          <w:sz w:val="24"/>
          <w:szCs w:val="24"/>
          <w:lang w:val="en-US"/>
        </w:rPr>
        <w:t xml:space="preserve"> </w:t>
      </w:r>
      <w:r w:rsidRPr="00EF15D9">
        <w:rPr>
          <w:rFonts w:ascii="Times New Roman" w:hAnsi="Times New Roman" w:cs="Times New Roman"/>
          <w:i/>
          <w:sz w:val="24"/>
          <w:szCs w:val="24"/>
          <w:lang w:val="en-US"/>
        </w:rPr>
        <w:t>medical law;</w:t>
      </w:r>
      <w:r w:rsidR="00B01DF3">
        <w:rPr>
          <w:rFonts w:ascii="Times New Roman" w:hAnsi="Times New Roman" w:cs="Times New Roman"/>
          <w:i/>
          <w:sz w:val="24"/>
          <w:szCs w:val="24"/>
          <w:lang w:val="en-US"/>
        </w:rPr>
        <w:t xml:space="preserve"> </w:t>
      </w:r>
      <w:r w:rsidR="00B01DF3" w:rsidRPr="00B01DF3">
        <w:rPr>
          <w:rFonts w:ascii="Times New Roman" w:hAnsi="Times New Roman" w:cs="Times New Roman"/>
          <w:i/>
          <w:sz w:val="24"/>
          <w:szCs w:val="24"/>
          <w:lang w:val="en-US"/>
        </w:rPr>
        <w:t>healthcare</w:t>
      </w:r>
      <w:r w:rsidRPr="00EF15D9">
        <w:rPr>
          <w:rFonts w:ascii="Times New Roman" w:hAnsi="Times New Roman" w:cs="Times New Roman"/>
          <w:i/>
          <w:sz w:val="24"/>
          <w:szCs w:val="24"/>
          <w:lang w:val="en-US"/>
        </w:rPr>
        <w:t>; medical legal relations; judicial practice; Supreme Court</w:t>
      </w:r>
    </w:p>
    <w:p w:rsidR="00634145" w:rsidRPr="00634145" w:rsidRDefault="00634145" w:rsidP="00634145">
      <w:pPr>
        <w:ind w:firstLine="0"/>
        <w:jc w:val="both"/>
        <w:rPr>
          <w:rFonts w:ascii="Times New Roman" w:hAnsi="Times New Roman" w:cs="Times New Roman"/>
          <w:i/>
          <w:sz w:val="24"/>
          <w:szCs w:val="24"/>
          <w:lang w:val="en-US"/>
        </w:rPr>
      </w:pPr>
    </w:p>
    <w:p w:rsidR="00EF15D9" w:rsidRDefault="00EF15D9" w:rsidP="00634145">
      <w:pPr>
        <w:jc w:val="both"/>
        <w:rPr>
          <w:rFonts w:ascii="Times New Roman" w:hAnsi="Times New Roman" w:cs="Times New Roman"/>
          <w:i/>
          <w:sz w:val="24"/>
          <w:szCs w:val="24"/>
          <w:lang w:val="en-US"/>
        </w:rPr>
      </w:pPr>
      <w:r w:rsidRPr="00634145">
        <w:rPr>
          <w:rFonts w:ascii="Times New Roman" w:hAnsi="Times New Roman" w:cs="Times New Roman"/>
          <w:b/>
          <w:i/>
          <w:sz w:val="24"/>
          <w:szCs w:val="24"/>
          <w:lang w:val="en-US"/>
        </w:rPr>
        <w:t>Introduction:</w:t>
      </w:r>
      <w:r w:rsidRPr="00634145">
        <w:rPr>
          <w:rFonts w:ascii="Times New Roman" w:hAnsi="Times New Roman" w:cs="Times New Roman"/>
          <w:i/>
          <w:sz w:val="24"/>
          <w:szCs w:val="24"/>
          <w:lang w:val="en-US"/>
        </w:rPr>
        <w:t xml:space="preserve"> in Ukraine, we can observe a tendency to increasing the importance of judicial practice in the regulation of medical legal relations.</w:t>
      </w:r>
      <w:r w:rsidR="00634145">
        <w:rPr>
          <w:rFonts w:ascii="Times New Roman" w:hAnsi="Times New Roman" w:cs="Times New Roman"/>
          <w:i/>
          <w:sz w:val="24"/>
          <w:szCs w:val="24"/>
          <w:lang w:val="en-US"/>
        </w:rPr>
        <w:t xml:space="preserve"> </w:t>
      </w:r>
      <w:r w:rsidR="00634145" w:rsidRPr="00634145">
        <w:rPr>
          <w:rFonts w:ascii="Times New Roman" w:hAnsi="Times New Roman" w:cs="Times New Roman"/>
          <w:i/>
          <w:sz w:val="24"/>
          <w:szCs w:val="24"/>
          <w:lang w:val="en-US"/>
        </w:rPr>
        <w:t>Recently, our attention was drawn to a court case on compensation for pecuniary and non-pecuniary damage for improper medical services provided to a patient in a private dental clinic in Ivano-Frankivsk</w:t>
      </w:r>
      <w:r w:rsidR="00634145">
        <w:rPr>
          <w:rFonts w:ascii="Times New Roman" w:hAnsi="Times New Roman" w:cs="Times New Roman"/>
          <w:i/>
          <w:sz w:val="24"/>
          <w:szCs w:val="24"/>
          <w:lang w:val="en-US"/>
        </w:rPr>
        <w:t xml:space="preserve"> City</w:t>
      </w:r>
      <w:r w:rsidR="00634145" w:rsidRPr="00634145">
        <w:rPr>
          <w:rFonts w:ascii="Times New Roman" w:hAnsi="Times New Roman" w:cs="Times New Roman"/>
          <w:i/>
          <w:sz w:val="24"/>
          <w:szCs w:val="24"/>
          <w:lang w:val="en-US"/>
        </w:rPr>
        <w:t>.</w:t>
      </w:r>
      <w:r w:rsidR="00300206">
        <w:rPr>
          <w:rFonts w:ascii="Times New Roman" w:hAnsi="Times New Roman" w:cs="Times New Roman"/>
          <w:i/>
          <w:sz w:val="24"/>
          <w:szCs w:val="24"/>
          <w:lang w:val="en-US"/>
        </w:rPr>
        <w:t xml:space="preserve"> </w:t>
      </w:r>
      <w:r w:rsidR="00300206" w:rsidRPr="00300206">
        <w:rPr>
          <w:rFonts w:ascii="Times New Roman" w:hAnsi="Times New Roman" w:cs="Times New Roman"/>
          <w:i/>
          <w:sz w:val="24"/>
          <w:szCs w:val="24"/>
          <w:lang w:val="en-US"/>
        </w:rPr>
        <w:t>Having considered this case, the Supreme Court, the highest court in the judicial system of Ukraine, made a decision that, in our opinion, is a landmark in medical law - a complex branch of law that includes a set of legal norms regulating public relations in the field of medical activity.</w:t>
      </w:r>
    </w:p>
    <w:p w:rsidR="00300206" w:rsidRDefault="00300206" w:rsidP="00300206">
      <w:pPr>
        <w:ind w:firstLine="0"/>
        <w:jc w:val="both"/>
        <w:rPr>
          <w:rFonts w:ascii="Times New Roman" w:hAnsi="Times New Roman" w:cs="Times New Roman"/>
          <w:i/>
          <w:sz w:val="24"/>
          <w:szCs w:val="24"/>
          <w:lang w:val="en-US"/>
        </w:rPr>
      </w:pPr>
      <w:r w:rsidRPr="00300206">
        <w:rPr>
          <w:rFonts w:ascii="Times New Roman" w:hAnsi="Times New Roman" w:cs="Times New Roman"/>
          <w:i/>
          <w:sz w:val="24"/>
          <w:szCs w:val="24"/>
          <w:lang w:val="en-US"/>
        </w:rPr>
        <w:t>The purpose of this study is to analyse the court proceedings in a civil case of an action</w:t>
      </w:r>
      <w:r>
        <w:rPr>
          <w:rFonts w:ascii="Times New Roman" w:hAnsi="Times New Roman" w:cs="Times New Roman"/>
          <w:i/>
          <w:sz w:val="24"/>
          <w:szCs w:val="24"/>
          <w:lang w:val="en-US"/>
        </w:rPr>
        <w:t xml:space="preserve"> </w:t>
      </w:r>
      <w:r w:rsidRPr="00300206">
        <w:rPr>
          <w:rFonts w:ascii="Times New Roman" w:hAnsi="Times New Roman" w:cs="Times New Roman"/>
          <w:i/>
          <w:sz w:val="24"/>
          <w:szCs w:val="24"/>
          <w:lang w:val="en-US"/>
        </w:rPr>
        <w:t>involving a dispute related to the application of the Law of Ukraine "On Protection of Consumer Rights" on compensation for pecuniary and non-pecuniary damage, in the context of the possibility of its further consideration as a landmark case in medical law and as a judicial precedent which provides for the role of an additional regulator of medical legal relations and the role of a source of medical law.</w:t>
      </w:r>
    </w:p>
    <w:p w:rsidR="00300206" w:rsidRDefault="00300206" w:rsidP="00300206">
      <w:pPr>
        <w:ind w:firstLine="0"/>
        <w:jc w:val="both"/>
        <w:rPr>
          <w:rFonts w:ascii="Times New Roman" w:hAnsi="Times New Roman" w:cs="Times New Roman"/>
          <w:i/>
          <w:sz w:val="24"/>
          <w:szCs w:val="24"/>
          <w:lang w:val="en-US"/>
        </w:rPr>
      </w:pPr>
      <w:r w:rsidRPr="00300206">
        <w:rPr>
          <w:rFonts w:ascii="Times New Roman" w:hAnsi="Times New Roman" w:cs="Times New Roman"/>
          <w:b/>
          <w:i/>
          <w:sz w:val="24"/>
          <w:szCs w:val="24"/>
          <w:lang w:val="en-US"/>
        </w:rPr>
        <w:t>Methods:</w:t>
      </w:r>
      <w:r w:rsidRPr="00300206">
        <w:rPr>
          <w:rFonts w:ascii="Times New Roman" w:hAnsi="Times New Roman" w:cs="Times New Roman"/>
          <w:i/>
          <w:sz w:val="24"/>
          <w:szCs w:val="24"/>
          <w:lang w:val="en-US"/>
        </w:rPr>
        <w:t xml:space="preserve"> In the study, a combination of general scientific and special scientific</w:t>
      </w:r>
      <w:r>
        <w:rPr>
          <w:rFonts w:ascii="Times New Roman" w:hAnsi="Times New Roman" w:cs="Times New Roman"/>
          <w:i/>
          <w:sz w:val="24"/>
          <w:szCs w:val="24"/>
          <w:lang w:val="en-US"/>
        </w:rPr>
        <w:t xml:space="preserve"> approaches was used, along with</w:t>
      </w:r>
      <w:r w:rsidRPr="00300206">
        <w:rPr>
          <w:rFonts w:ascii="Times New Roman" w:hAnsi="Times New Roman" w:cs="Times New Roman"/>
          <w:i/>
          <w:sz w:val="24"/>
          <w:szCs w:val="24"/>
          <w:lang w:val="en-US"/>
        </w:rPr>
        <w:t xml:space="preserve"> analytical, synthetic, complex and generalisation methods.</w:t>
      </w:r>
    </w:p>
    <w:p w:rsidR="00300206" w:rsidRDefault="00B01DF3" w:rsidP="00300206">
      <w:pPr>
        <w:ind w:firstLine="0"/>
        <w:jc w:val="both"/>
        <w:rPr>
          <w:rFonts w:ascii="Times New Roman" w:hAnsi="Times New Roman" w:cs="Times New Roman"/>
          <w:i/>
          <w:sz w:val="24"/>
          <w:szCs w:val="24"/>
          <w:lang w:val="en-US"/>
        </w:rPr>
      </w:pPr>
      <w:r w:rsidRPr="00B01DF3">
        <w:rPr>
          <w:rFonts w:ascii="Times New Roman" w:hAnsi="Times New Roman" w:cs="Times New Roman"/>
          <w:b/>
          <w:i/>
          <w:sz w:val="24"/>
          <w:szCs w:val="24"/>
          <w:lang w:val="en-US"/>
        </w:rPr>
        <w:t>Results and conclusions:</w:t>
      </w:r>
      <w:r w:rsidRPr="00B01DF3">
        <w:rPr>
          <w:rFonts w:ascii="Times New Roman" w:hAnsi="Times New Roman" w:cs="Times New Roman"/>
          <w:i/>
          <w:sz w:val="24"/>
          <w:szCs w:val="24"/>
          <w:lang w:val="en-US"/>
        </w:rPr>
        <w:t xml:space="preserve"> The results of the study show that court practice has the potential to demonstrate flexibility, efficiency, connection with everyday life and rapid adaptation to difficult social circumstances, in particular those related to patient access to quality healthcare.</w:t>
      </w:r>
      <w:r>
        <w:rPr>
          <w:rFonts w:ascii="Times New Roman" w:hAnsi="Times New Roman" w:cs="Times New Roman"/>
          <w:i/>
          <w:sz w:val="24"/>
          <w:szCs w:val="24"/>
          <w:lang w:val="en-US"/>
        </w:rPr>
        <w:t xml:space="preserve"> </w:t>
      </w:r>
      <w:r w:rsidRPr="00B01DF3">
        <w:rPr>
          <w:rFonts w:ascii="Times New Roman" w:hAnsi="Times New Roman" w:cs="Times New Roman"/>
          <w:i/>
          <w:sz w:val="24"/>
          <w:szCs w:val="24"/>
          <w:lang w:val="en-US"/>
        </w:rPr>
        <w:t>The Supreme Court, based on the circumstances of a particular case, the nature of the disputed legal relationship and the content of the claims, may provide not only a model interpretation of a regulatory prescription that is mandatory for lower courts to take into account when resolving similar cases, but also has every reason to serve as a guide for healthcare professionals in the course of their professional activities.</w:t>
      </w:r>
    </w:p>
    <w:p w:rsidR="00B01DF3" w:rsidRDefault="00B01DF3" w:rsidP="00300206">
      <w:pPr>
        <w:ind w:firstLine="0"/>
        <w:jc w:val="both"/>
        <w:rPr>
          <w:rFonts w:ascii="Times New Roman" w:hAnsi="Times New Roman" w:cs="Times New Roman"/>
          <w:b/>
          <w:sz w:val="24"/>
          <w:szCs w:val="24"/>
          <w:lang w:val="en-US"/>
        </w:rPr>
      </w:pPr>
      <w:r w:rsidRPr="00B01DF3">
        <w:rPr>
          <w:rFonts w:ascii="Times New Roman" w:hAnsi="Times New Roman" w:cs="Times New Roman"/>
          <w:b/>
          <w:sz w:val="24"/>
          <w:szCs w:val="24"/>
          <w:lang w:val="en-US"/>
        </w:rPr>
        <w:t>1 INTRODUCTION</w:t>
      </w:r>
    </w:p>
    <w:p w:rsidR="003C2822" w:rsidRDefault="00B01DF3" w:rsidP="002F6F65">
      <w:pPr>
        <w:jc w:val="both"/>
        <w:rPr>
          <w:rFonts w:ascii="Times New Roman" w:hAnsi="Times New Roman" w:cs="Times New Roman"/>
          <w:sz w:val="24"/>
          <w:szCs w:val="24"/>
          <w:lang w:val="en-US"/>
        </w:rPr>
      </w:pPr>
      <w:r w:rsidRPr="00CA5BF1">
        <w:rPr>
          <w:rFonts w:ascii="Times New Roman" w:hAnsi="Times New Roman" w:cs="Times New Roman"/>
          <w:sz w:val="24"/>
          <w:szCs w:val="24"/>
          <w:lang w:val="en-US"/>
        </w:rPr>
        <w:t>According to the World Health Organisation (</w:t>
      </w:r>
      <w:r w:rsidR="00CA5BF1" w:rsidRPr="00CA5BF1">
        <w:rPr>
          <w:rFonts w:ascii="Times New Roman" w:hAnsi="Times New Roman" w:cs="Times New Roman"/>
          <w:sz w:val="24"/>
          <w:szCs w:val="24"/>
          <w:lang w:val="en-US"/>
        </w:rPr>
        <w:t>hereinafter -</w:t>
      </w:r>
      <w:r w:rsidR="00CA5BF1">
        <w:rPr>
          <w:rFonts w:ascii="Times New Roman" w:hAnsi="Times New Roman" w:cs="Times New Roman"/>
          <w:sz w:val="24"/>
          <w:szCs w:val="24"/>
          <w:lang w:val="en-US"/>
        </w:rPr>
        <w:t xml:space="preserve"> </w:t>
      </w:r>
      <w:r w:rsidRPr="00CA5BF1">
        <w:rPr>
          <w:rFonts w:ascii="Times New Roman" w:hAnsi="Times New Roman" w:cs="Times New Roman"/>
          <w:sz w:val="24"/>
          <w:szCs w:val="24"/>
          <w:lang w:val="en-US"/>
        </w:rPr>
        <w:t>WHO), 5 patients die every minute as a result of inadequate provision of health care</w:t>
      </w:r>
      <w:r w:rsidR="00CA5BF1" w:rsidRPr="00CA5BF1">
        <w:rPr>
          <w:rStyle w:val="a5"/>
          <w:rFonts w:ascii="Times New Roman" w:hAnsi="Times New Roman" w:cs="Times New Roman"/>
          <w:sz w:val="24"/>
          <w:szCs w:val="24"/>
        </w:rPr>
        <w:footnoteReference w:id="1"/>
      </w:r>
      <w:r w:rsidRPr="00CA5BF1">
        <w:rPr>
          <w:rFonts w:ascii="Times New Roman" w:hAnsi="Times New Roman" w:cs="Times New Roman"/>
          <w:sz w:val="24"/>
          <w:szCs w:val="24"/>
          <w:lang w:val="en-US"/>
        </w:rPr>
        <w:t>, which in total reaches 2.6 million patients per year in l</w:t>
      </w:r>
      <w:r w:rsidR="00CA5BF1">
        <w:rPr>
          <w:rFonts w:ascii="Times New Roman" w:hAnsi="Times New Roman" w:cs="Times New Roman"/>
          <w:sz w:val="24"/>
          <w:szCs w:val="24"/>
          <w:lang w:val="en-US"/>
        </w:rPr>
        <w:t>ow- and middle-income countries</w:t>
      </w:r>
      <w:r w:rsidR="00CA5BF1" w:rsidRPr="00CA5BF1">
        <w:rPr>
          <w:rStyle w:val="a5"/>
          <w:rFonts w:ascii="Times New Roman" w:hAnsi="Times New Roman" w:cs="Times New Roman"/>
          <w:sz w:val="24"/>
          <w:szCs w:val="24"/>
        </w:rPr>
        <w:footnoteReference w:id="2"/>
      </w:r>
      <w:r w:rsidR="00CA5BF1" w:rsidRPr="00CA5BF1">
        <w:rPr>
          <w:rFonts w:ascii="Times New Roman" w:hAnsi="Times New Roman" w:cs="Times New Roman"/>
          <w:sz w:val="24"/>
          <w:szCs w:val="24"/>
          <w:lang w:val="en-US"/>
        </w:rPr>
        <w:t>.</w:t>
      </w:r>
      <w:r w:rsidR="00CA5BF1">
        <w:rPr>
          <w:rFonts w:ascii="Times New Roman" w:hAnsi="Times New Roman" w:cs="Times New Roman"/>
          <w:sz w:val="24"/>
          <w:szCs w:val="24"/>
          <w:lang w:val="en-US"/>
        </w:rPr>
        <w:t xml:space="preserve"> </w:t>
      </w:r>
      <w:r w:rsidR="00CA5BF1" w:rsidRPr="00CA5BF1">
        <w:rPr>
          <w:rFonts w:ascii="Times New Roman" w:hAnsi="Times New Roman" w:cs="Times New Roman"/>
          <w:sz w:val="24"/>
          <w:szCs w:val="24"/>
          <w:lang w:val="en-US"/>
        </w:rPr>
        <w:t>Patient safety is one of the cornerstone issues of ensuring the quality of the healthcare system, as even in high-income countries, inadequate provision of health care accounts for more than</w:t>
      </w:r>
      <w:r w:rsidR="00CA5BF1">
        <w:rPr>
          <w:rFonts w:ascii="Times New Roman" w:hAnsi="Times New Roman" w:cs="Times New Roman"/>
          <w:sz w:val="24"/>
          <w:szCs w:val="24"/>
          <w:lang w:val="en-US"/>
        </w:rPr>
        <w:t xml:space="preserve"> 10% of all hospital admissions</w:t>
      </w:r>
      <w:r w:rsidR="00CA5BF1" w:rsidRPr="00CA5BF1">
        <w:rPr>
          <w:rStyle w:val="a5"/>
          <w:rFonts w:ascii="Times New Roman" w:hAnsi="Times New Roman" w:cs="Times New Roman"/>
          <w:sz w:val="24"/>
          <w:szCs w:val="24"/>
        </w:rPr>
        <w:footnoteReference w:id="3"/>
      </w:r>
      <w:r w:rsidR="00CA5BF1" w:rsidRPr="00CA5BF1">
        <w:rPr>
          <w:rFonts w:ascii="Times New Roman" w:hAnsi="Times New Roman" w:cs="Times New Roman"/>
          <w:sz w:val="24"/>
          <w:szCs w:val="24"/>
          <w:lang w:val="en-US"/>
        </w:rPr>
        <w:t>.</w:t>
      </w:r>
      <w:r w:rsidR="00CA5BF1">
        <w:rPr>
          <w:rFonts w:ascii="Times New Roman" w:hAnsi="Times New Roman" w:cs="Times New Roman"/>
          <w:sz w:val="24"/>
          <w:szCs w:val="24"/>
          <w:lang w:val="en-US"/>
        </w:rPr>
        <w:t xml:space="preserve"> </w:t>
      </w:r>
      <w:r w:rsidR="00CA5BF1" w:rsidRPr="00CA5BF1">
        <w:rPr>
          <w:rFonts w:ascii="Times New Roman" w:hAnsi="Times New Roman" w:cs="Times New Roman"/>
          <w:sz w:val="24"/>
          <w:szCs w:val="24"/>
          <w:lang w:val="en-US"/>
        </w:rPr>
        <w:t>The most common mistakes include inappropriate medication prescriptions, treatment planning errors or deviations from the chosen plan, and incorrect diagnosis.</w:t>
      </w:r>
      <w:r w:rsidR="00CA5BF1">
        <w:rPr>
          <w:rFonts w:ascii="Times New Roman" w:hAnsi="Times New Roman" w:cs="Times New Roman"/>
          <w:sz w:val="24"/>
          <w:szCs w:val="24"/>
          <w:lang w:val="en-US"/>
        </w:rPr>
        <w:t xml:space="preserve"> </w:t>
      </w:r>
      <w:r w:rsidR="00CA5BF1" w:rsidRPr="00CA5BF1">
        <w:rPr>
          <w:rFonts w:ascii="Times New Roman" w:hAnsi="Times New Roman" w:cs="Times New Roman"/>
          <w:sz w:val="24"/>
          <w:szCs w:val="24"/>
          <w:lang w:val="en-US"/>
        </w:rPr>
        <w:t xml:space="preserve">At the same time, diagnostic errors lead to both the choice of incorrect treatment tactics (for example, in surgery, dentistry, </w:t>
      </w:r>
      <w:r w:rsidR="00CA5BF1" w:rsidRPr="00CA5BF1">
        <w:rPr>
          <w:rFonts w:ascii="Times New Roman" w:hAnsi="Times New Roman" w:cs="Times New Roman"/>
          <w:sz w:val="24"/>
          <w:szCs w:val="24"/>
          <w:lang w:val="en-US"/>
        </w:rPr>
        <w:lastRenderedPageBreak/>
        <w:t>traumatology) and prescriptions (fa</w:t>
      </w:r>
      <w:r w:rsidR="00CA5BF1">
        <w:rPr>
          <w:rFonts w:ascii="Times New Roman" w:hAnsi="Times New Roman" w:cs="Times New Roman"/>
          <w:sz w:val="24"/>
          <w:szCs w:val="24"/>
          <w:lang w:val="en-US"/>
        </w:rPr>
        <w:t>mily medicine, neurology, etc.)</w:t>
      </w:r>
      <w:r w:rsidR="00CA5BF1" w:rsidRPr="00CA5BF1">
        <w:rPr>
          <w:rStyle w:val="a5"/>
          <w:rFonts w:cstheme="minorHAnsi"/>
          <w:sz w:val="24"/>
          <w:szCs w:val="24"/>
          <w:lang w:val="en-US"/>
        </w:rPr>
        <w:t xml:space="preserve"> </w:t>
      </w:r>
      <w:r w:rsidR="00CA5BF1" w:rsidRPr="00AF0242">
        <w:rPr>
          <w:rStyle w:val="a5"/>
          <w:rFonts w:ascii="Times New Roman" w:hAnsi="Times New Roman" w:cs="Times New Roman"/>
          <w:sz w:val="24"/>
          <w:szCs w:val="24"/>
        </w:rPr>
        <w:footnoteReference w:id="4"/>
      </w:r>
      <w:r w:rsidR="00CA5BF1" w:rsidRPr="00AF0242">
        <w:rPr>
          <w:rFonts w:ascii="Times New Roman" w:hAnsi="Times New Roman" w:cs="Times New Roman"/>
          <w:sz w:val="24"/>
          <w:szCs w:val="24"/>
          <w:vertAlign w:val="superscript"/>
          <w:lang w:val="en-US"/>
        </w:rPr>
        <w:t>,</w:t>
      </w:r>
      <w:r w:rsidR="00CA5BF1" w:rsidRPr="00AF0242">
        <w:rPr>
          <w:rStyle w:val="a5"/>
          <w:rFonts w:ascii="Times New Roman" w:hAnsi="Times New Roman" w:cs="Times New Roman"/>
          <w:sz w:val="24"/>
          <w:szCs w:val="24"/>
          <w:lang w:val="en-US"/>
        </w:rPr>
        <w:footnoteReference w:id="5"/>
      </w:r>
      <w:r w:rsidR="00CA5BF1" w:rsidRPr="00AF0242">
        <w:rPr>
          <w:rFonts w:ascii="Times New Roman" w:hAnsi="Times New Roman" w:cs="Times New Roman"/>
          <w:sz w:val="24"/>
          <w:szCs w:val="24"/>
          <w:lang w:val="en-US"/>
        </w:rPr>
        <w:t>.</w:t>
      </w:r>
      <w:r w:rsidR="00AF0242">
        <w:rPr>
          <w:rFonts w:cstheme="minorHAnsi"/>
          <w:lang w:val="en-US"/>
        </w:rPr>
        <w:t xml:space="preserve"> </w:t>
      </w:r>
      <w:r w:rsidR="00CA5BF1" w:rsidRPr="00AF0242">
        <w:rPr>
          <w:rFonts w:ascii="Times New Roman" w:hAnsi="Times New Roman" w:cs="Times New Roman"/>
          <w:sz w:val="24"/>
          <w:szCs w:val="24"/>
          <w:lang w:val="en-US"/>
        </w:rPr>
        <w:t xml:space="preserve">Not only is it a threat to the health and lives of patients, but it also causes significant financial </w:t>
      </w:r>
      <w:r w:rsidR="00AF0242" w:rsidRPr="00AF0242">
        <w:rPr>
          <w:rFonts w:ascii="Times New Roman" w:hAnsi="Times New Roman" w:cs="Times New Roman"/>
          <w:sz w:val="24"/>
          <w:szCs w:val="24"/>
          <w:lang w:val="en-US"/>
        </w:rPr>
        <w:t>losses for medical institutions</w:t>
      </w:r>
      <w:r w:rsidR="00AF0242" w:rsidRPr="00AF0242">
        <w:rPr>
          <w:rStyle w:val="a5"/>
          <w:rFonts w:ascii="Times New Roman" w:hAnsi="Times New Roman" w:cs="Times New Roman"/>
          <w:sz w:val="24"/>
          <w:szCs w:val="24"/>
        </w:rPr>
        <w:footnoteReference w:id="6"/>
      </w:r>
      <w:r w:rsidR="00AF0242" w:rsidRPr="00AF0242">
        <w:rPr>
          <w:rFonts w:ascii="Times New Roman" w:hAnsi="Times New Roman" w:cs="Times New Roman"/>
          <w:sz w:val="24"/>
          <w:szCs w:val="24"/>
          <w:lang w:val="en-US"/>
        </w:rPr>
        <w:t>.</w:t>
      </w:r>
    </w:p>
    <w:p w:rsidR="002F6F65" w:rsidRDefault="002F6F65" w:rsidP="003C2822">
      <w:pPr>
        <w:jc w:val="both"/>
        <w:rPr>
          <w:rFonts w:ascii="Times New Roman" w:hAnsi="Times New Roman" w:cs="Times New Roman"/>
          <w:sz w:val="24"/>
          <w:szCs w:val="24"/>
          <w:lang w:val="en-US"/>
        </w:rPr>
      </w:pPr>
      <w:r w:rsidRPr="002F6F65">
        <w:rPr>
          <w:rFonts w:ascii="Times New Roman" w:hAnsi="Times New Roman" w:cs="Times New Roman"/>
          <w:sz w:val="24"/>
          <w:szCs w:val="24"/>
          <w:lang w:val="en-US"/>
        </w:rPr>
        <w:t>The issue of legal assessment of a doctor's actions in criminal or civil proceedings concerning the provision of health care to patients has become particularly relevant. Thus, according to the literary data, most often the so-called "medical cases" concern obstetricians and gynaecologists, sur</w:t>
      </w:r>
      <w:r w:rsidR="003C2822">
        <w:rPr>
          <w:rFonts w:ascii="Times New Roman" w:hAnsi="Times New Roman" w:cs="Times New Roman"/>
          <w:sz w:val="24"/>
          <w:szCs w:val="24"/>
          <w:lang w:val="en-US"/>
        </w:rPr>
        <w:t>geons, and emergency physicians</w:t>
      </w:r>
      <w:r w:rsidR="003C2822" w:rsidRPr="003C2822">
        <w:rPr>
          <w:rStyle w:val="a5"/>
          <w:rFonts w:ascii="Times New Roman" w:hAnsi="Times New Roman" w:cs="Times New Roman"/>
          <w:sz w:val="24"/>
          <w:szCs w:val="24"/>
        </w:rPr>
        <w:footnoteReference w:id="7"/>
      </w:r>
      <w:r w:rsidR="003C2822" w:rsidRPr="003C2822">
        <w:rPr>
          <w:rFonts w:ascii="Times New Roman" w:hAnsi="Times New Roman" w:cs="Times New Roman"/>
          <w:sz w:val="24"/>
          <w:szCs w:val="24"/>
          <w:vertAlign w:val="superscript"/>
          <w:lang w:val="en-US"/>
        </w:rPr>
        <w:t>,</w:t>
      </w:r>
      <w:r w:rsidR="003C2822" w:rsidRPr="003C2822">
        <w:rPr>
          <w:rStyle w:val="a5"/>
          <w:rFonts w:ascii="Times New Roman" w:hAnsi="Times New Roman" w:cs="Times New Roman"/>
          <w:sz w:val="24"/>
          <w:szCs w:val="24"/>
        </w:rPr>
        <w:footnoteReference w:id="8"/>
      </w:r>
      <w:r w:rsidR="003C2822" w:rsidRPr="003C2822">
        <w:rPr>
          <w:rFonts w:ascii="Times New Roman" w:hAnsi="Times New Roman" w:cs="Times New Roman"/>
          <w:sz w:val="24"/>
          <w:szCs w:val="24"/>
          <w:lang w:val="en-US"/>
        </w:rPr>
        <w:t>.</w:t>
      </w:r>
      <w:r w:rsidR="003C2822">
        <w:rPr>
          <w:rFonts w:ascii="Times New Roman" w:hAnsi="Times New Roman" w:cs="Times New Roman"/>
          <w:sz w:val="24"/>
          <w:szCs w:val="24"/>
          <w:lang w:val="en-US"/>
        </w:rPr>
        <w:t xml:space="preserve"> </w:t>
      </w:r>
      <w:r w:rsidR="003C2822" w:rsidRPr="003C2822">
        <w:rPr>
          <w:rFonts w:ascii="Times New Roman" w:hAnsi="Times New Roman" w:cs="Times New Roman"/>
          <w:sz w:val="24"/>
          <w:szCs w:val="24"/>
          <w:lang w:val="en-US"/>
        </w:rPr>
        <w:t>The number of legal claims against dentists has</w:t>
      </w:r>
      <w:r w:rsidR="003C2822">
        <w:rPr>
          <w:rFonts w:ascii="Times New Roman" w:hAnsi="Times New Roman" w:cs="Times New Roman"/>
          <w:sz w:val="24"/>
          <w:szCs w:val="24"/>
          <w:lang w:val="en-US"/>
        </w:rPr>
        <w:t xml:space="preserve"> also increased in recent years</w:t>
      </w:r>
      <w:r w:rsidR="003C2822" w:rsidRPr="003C2822">
        <w:rPr>
          <w:rStyle w:val="a5"/>
          <w:rFonts w:ascii="Times New Roman" w:hAnsi="Times New Roman" w:cs="Times New Roman"/>
          <w:sz w:val="24"/>
          <w:szCs w:val="24"/>
          <w:lang w:val="en-US"/>
        </w:rPr>
        <w:footnoteReference w:id="9"/>
      </w:r>
      <w:r w:rsidR="003C2822" w:rsidRPr="003C2822">
        <w:rPr>
          <w:rFonts w:ascii="Times New Roman" w:hAnsi="Times New Roman" w:cs="Times New Roman"/>
          <w:sz w:val="24"/>
          <w:szCs w:val="24"/>
          <w:vertAlign w:val="superscript"/>
          <w:lang w:val="en-US"/>
        </w:rPr>
        <w:t>,</w:t>
      </w:r>
      <w:r w:rsidR="003C2822" w:rsidRPr="003C2822">
        <w:rPr>
          <w:rStyle w:val="a5"/>
          <w:rFonts w:ascii="Times New Roman" w:hAnsi="Times New Roman" w:cs="Times New Roman"/>
          <w:sz w:val="24"/>
          <w:szCs w:val="24"/>
          <w:lang w:val="en-US"/>
        </w:rPr>
        <w:footnoteReference w:id="10"/>
      </w:r>
      <w:r w:rsidR="003C2822" w:rsidRPr="003C2822">
        <w:rPr>
          <w:rFonts w:ascii="Times New Roman" w:hAnsi="Times New Roman" w:cs="Times New Roman"/>
          <w:sz w:val="24"/>
          <w:szCs w:val="24"/>
          <w:lang w:val="en-US"/>
        </w:rPr>
        <w:t>.</w:t>
      </w:r>
      <w:r w:rsidR="003C2822">
        <w:rPr>
          <w:rFonts w:ascii="Times New Roman" w:hAnsi="Times New Roman" w:cs="Times New Roman"/>
          <w:sz w:val="24"/>
          <w:szCs w:val="24"/>
          <w:lang w:val="en-US"/>
        </w:rPr>
        <w:t xml:space="preserve"> </w:t>
      </w:r>
      <w:r w:rsidR="003C2822" w:rsidRPr="003C2822">
        <w:rPr>
          <w:rFonts w:ascii="Times New Roman" w:hAnsi="Times New Roman" w:cs="Times New Roman"/>
          <w:sz w:val="24"/>
          <w:szCs w:val="24"/>
          <w:lang w:val="en-US"/>
        </w:rPr>
        <w:t>This is probably due, firstly, to the high cost of dental services, and secondly, poor quality dental care leads to dysfunction of the dentognathic complex, respiratory and digestive systems, along with aesthetic defects, which determines the quality of life in s</w:t>
      </w:r>
      <w:r w:rsidR="003C2822">
        <w:rPr>
          <w:rFonts w:ascii="Times New Roman" w:hAnsi="Times New Roman" w:cs="Times New Roman"/>
          <w:sz w:val="24"/>
          <w:szCs w:val="24"/>
          <w:lang w:val="en-US"/>
        </w:rPr>
        <w:t>ocial and psychological aspects</w:t>
      </w:r>
      <w:r w:rsidR="003C2822" w:rsidRPr="003C2822">
        <w:rPr>
          <w:rStyle w:val="a5"/>
          <w:rFonts w:ascii="Times New Roman" w:hAnsi="Times New Roman" w:cs="Times New Roman"/>
          <w:sz w:val="24"/>
          <w:szCs w:val="24"/>
        </w:rPr>
        <w:footnoteReference w:id="11"/>
      </w:r>
      <w:r w:rsidR="003C2822" w:rsidRPr="003C2822">
        <w:rPr>
          <w:rFonts w:ascii="Times New Roman" w:hAnsi="Times New Roman" w:cs="Times New Roman"/>
          <w:sz w:val="24"/>
          <w:szCs w:val="24"/>
          <w:lang w:val="en-US"/>
        </w:rPr>
        <w:t>.</w:t>
      </w:r>
      <w:r w:rsidR="003C2822">
        <w:rPr>
          <w:rFonts w:ascii="Times New Roman" w:hAnsi="Times New Roman" w:cs="Times New Roman"/>
          <w:sz w:val="24"/>
          <w:szCs w:val="24"/>
          <w:lang w:val="en-US"/>
        </w:rPr>
        <w:t xml:space="preserve"> </w:t>
      </w:r>
      <w:r w:rsidR="003C2822" w:rsidRPr="003C2822">
        <w:rPr>
          <w:rFonts w:ascii="Times New Roman" w:hAnsi="Times New Roman" w:cs="Times New Roman"/>
          <w:sz w:val="24"/>
          <w:szCs w:val="24"/>
          <w:lang w:val="en-US"/>
        </w:rPr>
        <w:t>In addition, the risk of legal claims leads to additional stress and burnout of dentists, which creates a "vicious circle" and increa</w:t>
      </w:r>
      <w:r w:rsidR="003C2822">
        <w:rPr>
          <w:rFonts w:ascii="Times New Roman" w:hAnsi="Times New Roman" w:cs="Times New Roman"/>
          <w:sz w:val="24"/>
          <w:szCs w:val="24"/>
          <w:lang w:val="en-US"/>
        </w:rPr>
        <w:t>ses the risk of medical errors</w:t>
      </w:r>
      <w:r w:rsidR="003C2822" w:rsidRPr="003C2822">
        <w:rPr>
          <w:rStyle w:val="a5"/>
          <w:rFonts w:ascii="Times New Roman" w:hAnsi="Times New Roman" w:cs="Times New Roman"/>
          <w:sz w:val="24"/>
          <w:szCs w:val="24"/>
        </w:rPr>
        <w:footnoteReference w:id="12"/>
      </w:r>
      <w:r w:rsidR="003C2822" w:rsidRPr="003C2822">
        <w:rPr>
          <w:rFonts w:ascii="Times New Roman" w:hAnsi="Times New Roman" w:cs="Times New Roman"/>
          <w:sz w:val="24"/>
          <w:szCs w:val="24"/>
          <w:lang w:val="en-US"/>
        </w:rPr>
        <w:t>.</w:t>
      </w:r>
      <w:r w:rsidR="003C2822">
        <w:rPr>
          <w:rFonts w:ascii="Times New Roman" w:hAnsi="Times New Roman" w:cs="Times New Roman"/>
          <w:sz w:val="24"/>
          <w:szCs w:val="24"/>
          <w:lang w:val="en-US"/>
        </w:rPr>
        <w:t xml:space="preserve"> </w:t>
      </w:r>
      <w:r w:rsidR="003C2822" w:rsidRPr="003C2822">
        <w:rPr>
          <w:rFonts w:ascii="Times New Roman" w:hAnsi="Times New Roman" w:cs="Times New Roman"/>
          <w:sz w:val="24"/>
          <w:szCs w:val="24"/>
          <w:lang w:val="en-US"/>
        </w:rPr>
        <w:t>Therefore, a proper legal assessment of the dentist's actions is important for all stakehol</w:t>
      </w:r>
      <w:r w:rsidR="003C2822">
        <w:rPr>
          <w:rFonts w:ascii="Times New Roman" w:hAnsi="Times New Roman" w:cs="Times New Roman"/>
          <w:sz w:val="24"/>
          <w:szCs w:val="24"/>
          <w:lang w:val="en-US"/>
        </w:rPr>
        <w:t>ders in the healthcare system.</w:t>
      </w:r>
    </w:p>
    <w:p w:rsidR="00A26537" w:rsidRPr="00A26537" w:rsidRDefault="00A26537" w:rsidP="00A26537">
      <w:pPr>
        <w:widowControl w:val="0"/>
        <w:jc w:val="both"/>
        <w:rPr>
          <w:rFonts w:cstheme="minorHAnsi"/>
          <w:lang w:val="en-US"/>
        </w:rPr>
      </w:pPr>
      <w:r w:rsidRPr="00A26537">
        <w:rPr>
          <w:rFonts w:ascii="Times New Roman" w:hAnsi="Times New Roman" w:cs="Times New Roman"/>
          <w:sz w:val="24"/>
          <w:szCs w:val="24"/>
          <w:lang w:val="en-US"/>
        </w:rPr>
        <w:t>According to the Ivano-Frankivsk Regional Bureau of Forensic Medical Examination, the number of forensic medical examinations regarding the quality of dental services has increased from 1-2 to 4-5 per year. The questions posed by the investigating authorities and the court to the experts mainly concern the quality of dental services, the appropriateness of certain interventions, and the assessment of the severity o</w:t>
      </w:r>
      <w:r>
        <w:rPr>
          <w:rFonts w:ascii="Times New Roman" w:hAnsi="Times New Roman" w:cs="Times New Roman"/>
          <w:sz w:val="24"/>
          <w:szCs w:val="24"/>
          <w:lang w:val="en-US"/>
        </w:rPr>
        <w:t>f injuries caused by the doctor</w:t>
      </w:r>
      <w:r w:rsidRPr="00A26537">
        <w:rPr>
          <w:rStyle w:val="a5"/>
          <w:rFonts w:ascii="Times New Roman" w:hAnsi="Times New Roman" w:cs="Times New Roman"/>
          <w:sz w:val="24"/>
          <w:szCs w:val="24"/>
        </w:rPr>
        <w:footnoteReference w:id="13"/>
      </w:r>
      <w:r w:rsidRPr="00A26537">
        <w:rPr>
          <w:rFonts w:ascii="Times New Roman" w:hAnsi="Times New Roman" w:cs="Times New Roman"/>
          <w:sz w:val="24"/>
          <w:szCs w:val="24"/>
          <w:lang w:val="en-US"/>
        </w:rPr>
        <w:t>.</w:t>
      </w:r>
    </w:p>
    <w:p w:rsidR="002F6F65" w:rsidRDefault="00A26537" w:rsidP="008A51FC">
      <w:pPr>
        <w:jc w:val="both"/>
        <w:rPr>
          <w:rFonts w:ascii="Times New Roman" w:hAnsi="Times New Roman" w:cs="Times New Roman"/>
          <w:sz w:val="24"/>
          <w:szCs w:val="24"/>
          <w:lang w:val="en-US"/>
        </w:rPr>
      </w:pPr>
      <w:r w:rsidRPr="00A26537">
        <w:rPr>
          <w:rFonts w:ascii="Times New Roman" w:hAnsi="Times New Roman" w:cs="Times New Roman"/>
          <w:sz w:val="24"/>
          <w:szCs w:val="24"/>
          <w:lang w:val="en-US"/>
        </w:rPr>
        <w:t>A distinction should be made between medical malpractice, which is a bona fide act of a doctor that does not involve criminal intent and is associated with certain shortcomings in diagnosis (examination), treatment or organisation of the treatment process, and crimes committed by medical personnel, for which criminal liability is provided for in the Criminal Code of Ukraine.</w:t>
      </w:r>
      <w:r>
        <w:rPr>
          <w:rFonts w:ascii="Times New Roman" w:hAnsi="Times New Roman" w:cs="Times New Roman"/>
          <w:sz w:val="24"/>
          <w:szCs w:val="24"/>
          <w:lang w:val="en-US"/>
        </w:rPr>
        <w:t xml:space="preserve"> </w:t>
      </w:r>
      <w:r w:rsidRPr="00A26537">
        <w:rPr>
          <w:rFonts w:ascii="Times New Roman" w:hAnsi="Times New Roman" w:cs="Times New Roman"/>
          <w:sz w:val="24"/>
          <w:szCs w:val="24"/>
          <w:lang w:val="en-US"/>
        </w:rPr>
        <w:t>Quite often, the line between them is very thin and it is very difficult or impossible for investigators or court officials to distinguish between them without the help of forensic medical experts. For this purpose, a forensic medical examination is appointed. Its appointment is preceded by the painstaking work of the investigator to seize all medical documentation related to the case, interrogation of the parties, witnesses, etc.</w:t>
      </w:r>
      <w:r>
        <w:rPr>
          <w:rFonts w:ascii="Times New Roman" w:hAnsi="Times New Roman" w:cs="Times New Roman"/>
          <w:sz w:val="24"/>
          <w:szCs w:val="24"/>
          <w:lang w:val="en-US"/>
        </w:rPr>
        <w:t xml:space="preserve"> </w:t>
      </w:r>
      <w:r w:rsidRPr="00A26537">
        <w:rPr>
          <w:rFonts w:ascii="Times New Roman" w:hAnsi="Times New Roman" w:cs="Times New Roman"/>
          <w:sz w:val="24"/>
          <w:szCs w:val="24"/>
          <w:lang w:val="en-US"/>
        </w:rPr>
        <w:t>An important document is the minutes of the meeting of the clinical expert commission, which actually contains data on the medical component of the precedent. The final stage is the appointment of a commission forensic medical examination and the formation of a commission of experts, which must include specialists in the field of the case.</w:t>
      </w:r>
      <w:r>
        <w:rPr>
          <w:rFonts w:ascii="Times New Roman" w:hAnsi="Times New Roman" w:cs="Times New Roman"/>
          <w:sz w:val="24"/>
          <w:szCs w:val="24"/>
          <w:lang w:val="en-US"/>
        </w:rPr>
        <w:t xml:space="preserve"> </w:t>
      </w:r>
      <w:r w:rsidR="008A51FC" w:rsidRPr="008A51FC">
        <w:rPr>
          <w:rFonts w:ascii="Times New Roman" w:hAnsi="Times New Roman" w:cs="Times New Roman"/>
          <w:sz w:val="24"/>
          <w:szCs w:val="24"/>
          <w:lang w:val="en-US"/>
        </w:rPr>
        <w:t xml:space="preserve">The conclusion of the commission forensic medical examination is an important piece of evidence in a case, so it is subject to high requirements: objectivity, reliability, scientific validity, and </w:t>
      </w:r>
      <w:r w:rsidR="008A51FC" w:rsidRPr="008A51FC">
        <w:rPr>
          <w:rFonts w:ascii="Times New Roman" w:hAnsi="Times New Roman" w:cs="Times New Roman"/>
          <w:sz w:val="24"/>
          <w:szCs w:val="24"/>
          <w:lang w:val="en-US"/>
        </w:rPr>
        <w:lastRenderedPageBreak/>
        <w:t>accessibility of presentation. However, even if they reach the court, "medical cases" can usually last for years and often end in either acquittal or closure due to the statute of limitations.</w:t>
      </w:r>
      <w:r w:rsidR="008A51FC">
        <w:rPr>
          <w:rFonts w:ascii="Times New Roman" w:hAnsi="Times New Roman" w:cs="Times New Roman"/>
          <w:sz w:val="24"/>
          <w:szCs w:val="24"/>
          <w:lang w:val="en-US"/>
        </w:rPr>
        <w:t xml:space="preserve"> </w:t>
      </w:r>
      <w:r w:rsidR="008A51FC" w:rsidRPr="008A51FC">
        <w:rPr>
          <w:rFonts w:ascii="Times New Roman" w:hAnsi="Times New Roman" w:cs="Times New Roman"/>
          <w:sz w:val="24"/>
          <w:szCs w:val="24"/>
          <w:lang w:val="en-US"/>
        </w:rPr>
        <w:t xml:space="preserve">However, the number of convictions of doctors has recently increased significantly due to the development of medical law, a complex branch of law that includes a set of legal norms regulating social relations in the field of medical </w:t>
      </w:r>
      <w:r w:rsidR="008A51FC">
        <w:rPr>
          <w:rFonts w:ascii="Times New Roman" w:hAnsi="Times New Roman" w:cs="Times New Roman"/>
          <w:sz w:val="24"/>
          <w:szCs w:val="24"/>
          <w:lang w:val="en-US"/>
        </w:rPr>
        <w:t>activity</w:t>
      </w:r>
      <w:r w:rsidR="008A51FC" w:rsidRPr="008A51FC">
        <w:rPr>
          <w:rStyle w:val="a5"/>
          <w:rFonts w:ascii="Times New Roman" w:hAnsi="Times New Roman" w:cs="Times New Roman"/>
          <w:sz w:val="24"/>
          <w:szCs w:val="24"/>
        </w:rPr>
        <w:footnoteReference w:id="14"/>
      </w:r>
      <w:r w:rsidR="008A51FC" w:rsidRPr="008A51FC">
        <w:rPr>
          <w:rFonts w:ascii="Times New Roman" w:hAnsi="Times New Roman" w:cs="Times New Roman"/>
          <w:sz w:val="24"/>
          <w:szCs w:val="24"/>
          <w:lang w:val="en-US"/>
        </w:rPr>
        <w:t>.</w:t>
      </w:r>
    </w:p>
    <w:p w:rsidR="002F6F65" w:rsidRDefault="008A51FC" w:rsidP="008A51FC">
      <w:pPr>
        <w:ind w:firstLine="0"/>
        <w:jc w:val="both"/>
        <w:rPr>
          <w:rFonts w:ascii="Times New Roman" w:hAnsi="Times New Roman" w:cs="Times New Roman"/>
          <w:b/>
          <w:sz w:val="24"/>
          <w:szCs w:val="24"/>
          <w:lang w:val="en-US"/>
        </w:rPr>
      </w:pPr>
      <w:r w:rsidRPr="008A51FC">
        <w:rPr>
          <w:rFonts w:ascii="Times New Roman" w:hAnsi="Times New Roman" w:cs="Times New Roman"/>
          <w:b/>
          <w:sz w:val="24"/>
          <w:szCs w:val="24"/>
          <w:lang w:val="en-US"/>
        </w:rPr>
        <w:t>2 JUDICIAL PRACTICE AND MEDICAL LEGAL RELATIONS</w:t>
      </w:r>
    </w:p>
    <w:p w:rsidR="008A51FC" w:rsidRDefault="008A51FC" w:rsidP="008A51FC">
      <w:pPr>
        <w:ind w:firstLine="0"/>
        <w:jc w:val="both"/>
        <w:rPr>
          <w:rFonts w:ascii="Times New Roman" w:hAnsi="Times New Roman" w:cs="Times New Roman"/>
          <w:sz w:val="24"/>
          <w:szCs w:val="24"/>
          <w:lang w:val="en-US"/>
        </w:rPr>
      </w:pPr>
      <w:r w:rsidRPr="008A51FC">
        <w:rPr>
          <w:rFonts w:ascii="Times New Roman" w:hAnsi="Times New Roman" w:cs="Times New Roman"/>
          <w:sz w:val="24"/>
          <w:szCs w:val="24"/>
          <w:lang w:val="en-US"/>
        </w:rPr>
        <w:t>Ukrainian legislation does not contain the term "judicial precedent", as our legal system belongs to the Romano-Germanic (continental) legal system, which provides that laws, not individual court cases, have legal force, unlike the Anglo-Saxon legal system, in which the formal priority belongs to the law, but in fact everything depends on the discretion of the judge, on how he or she interprets and applies the law.</w:t>
      </w:r>
    </w:p>
    <w:p w:rsidR="008A51FC" w:rsidRDefault="0005601A" w:rsidP="008A51FC">
      <w:pPr>
        <w:rPr>
          <w:rFonts w:ascii="Times New Roman" w:hAnsi="Times New Roman" w:cs="Times New Roman"/>
          <w:sz w:val="24"/>
          <w:szCs w:val="24"/>
          <w:lang w:val="en-US"/>
        </w:rPr>
      </w:pPr>
      <w:r w:rsidRPr="0005601A">
        <w:rPr>
          <w:rFonts w:ascii="Times New Roman" w:hAnsi="Times New Roman" w:cs="Times New Roman"/>
          <w:sz w:val="24"/>
          <w:szCs w:val="24"/>
          <w:lang w:val="en-US"/>
        </w:rPr>
        <w:t>The explanatory dictionary of the Ukrainian language contains a definition of the concept of "precedent in law" - a court decision in a particular case, which is subsequently used as a model for co</w:t>
      </w:r>
      <w:r>
        <w:rPr>
          <w:rFonts w:ascii="Times New Roman" w:hAnsi="Times New Roman" w:cs="Times New Roman"/>
          <w:sz w:val="24"/>
          <w:szCs w:val="24"/>
          <w:lang w:val="en-US"/>
        </w:rPr>
        <w:t>urts in resolving similar cases</w:t>
      </w:r>
      <w:r w:rsidRPr="0005601A">
        <w:rPr>
          <w:rStyle w:val="a5"/>
          <w:rFonts w:ascii="Times New Roman" w:eastAsia="Calibri" w:hAnsi="Times New Roman" w:cs="Times New Roman"/>
          <w:sz w:val="24"/>
          <w:szCs w:val="24"/>
        </w:rPr>
        <w:footnoteReference w:id="15"/>
      </w:r>
      <w:r w:rsidRPr="0005601A">
        <w:rPr>
          <w:rFonts w:ascii="Times New Roman" w:eastAsia="Calibri" w:hAnsi="Times New Roman" w:cs="Times New Roman"/>
          <w:sz w:val="24"/>
          <w:szCs w:val="24"/>
          <w:lang w:val="en-US"/>
        </w:rPr>
        <w:t>.</w:t>
      </w:r>
      <w:r w:rsidRPr="0005601A">
        <w:rPr>
          <w:rFonts w:ascii="Times New Roman" w:hAnsi="Times New Roman" w:cs="Times New Roman"/>
          <w:sz w:val="24"/>
          <w:szCs w:val="24"/>
          <w:lang w:val="en-US"/>
        </w:rPr>
        <w:t xml:space="preserve"> The most common understanding of a judicial precedent is a decision made by a higher judicial authority in a particular case that is binding on other courts when considering a similar case.</w:t>
      </w:r>
    </w:p>
    <w:p w:rsidR="0005601A" w:rsidRDefault="0005601A" w:rsidP="0005601A">
      <w:pPr>
        <w:jc w:val="both"/>
        <w:rPr>
          <w:rFonts w:cstheme="minorHAnsi"/>
          <w:color w:val="000000"/>
          <w:lang w:val="en-US"/>
        </w:rPr>
      </w:pPr>
      <w:r w:rsidRPr="0005601A">
        <w:rPr>
          <w:rFonts w:ascii="Times New Roman" w:hAnsi="Times New Roman" w:cs="Times New Roman"/>
          <w:sz w:val="24"/>
          <w:szCs w:val="24"/>
          <w:lang w:val="en-US"/>
        </w:rPr>
        <w:t xml:space="preserve">However, after the adoption in 2006 of the Law of Ukraine "On the Execution of Judgments and Application of the Case Law of the European Court of Human Rights", the situation in the country began to change. Article 17 of this law states that the courts shall apply the Convention for the Protection of Human Rights and Fundamental Freedoms and the practice of the European Court of Human Rights as a source of law </w:t>
      </w:r>
      <w:r>
        <w:rPr>
          <w:rFonts w:ascii="Times New Roman" w:hAnsi="Times New Roman" w:cs="Times New Roman"/>
          <w:sz w:val="24"/>
          <w:szCs w:val="24"/>
          <w:lang w:val="en-US"/>
        </w:rPr>
        <w:t>in their consideration of cases</w:t>
      </w:r>
      <w:r w:rsidRPr="00C2202D">
        <w:rPr>
          <w:rStyle w:val="a5"/>
          <w:rFonts w:cstheme="minorHAnsi"/>
          <w:color w:val="000000"/>
        </w:rPr>
        <w:footnoteReference w:id="16"/>
      </w:r>
      <w:r w:rsidRPr="0005601A">
        <w:rPr>
          <w:rFonts w:cstheme="minorHAnsi"/>
          <w:color w:val="000000"/>
          <w:lang w:val="en-US"/>
        </w:rPr>
        <w:t>.</w:t>
      </w:r>
    </w:p>
    <w:p w:rsidR="0005601A" w:rsidRDefault="0005601A" w:rsidP="0005601A">
      <w:pPr>
        <w:jc w:val="both"/>
        <w:rPr>
          <w:rFonts w:ascii="Times New Roman" w:hAnsi="Times New Roman" w:cs="Times New Roman"/>
          <w:color w:val="000000"/>
          <w:sz w:val="24"/>
          <w:szCs w:val="24"/>
          <w:lang w:val="en-US"/>
        </w:rPr>
      </w:pPr>
      <w:r w:rsidRPr="0005601A">
        <w:rPr>
          <w:rFonts w:ascii="Times New Roman" w:hAnsi="Times New Roman" w:cs="Times New Roman"/>
          <w:color w:val="000000"/>
          <w:sz w:val="24"/>
          <w:szCs w:val="24"/>
          <w:lang w:val="en-US"/>
        </w:rPr>
        <w:t>The significance of the case under consideration in this study is due to the fact that in Ukraine, judgments of the European Court of Human Rights, judgments of the Constitutional Court of Ukraine and resolutions of the Supreme Court currently have the status of an additional regulator of social relations, providing judicial precedent with the actual role of a source of Ukrainian law and gradual formalisation of this status. In addition, there is a tendency in Ukraine to increase the importance of judicial practice in the regulation of social relations in the field of medical legal relations, and the number of so-called "medical" cases opened in courts based on patients' claims is growing.</w:t>
      </w:r>
    </w:p>
    <w:p w:rsidR="0077762C" w:rsidRDefault="0077762C" w:rsidP="0077762C">
      <w:pPr>
        <w:jc w:val="both"/>
        <w:rPr>
          <w:rFonts w:ascii="Times New Roman" w:hAnsi="Times New Roman" w:cs="Times New Roman"/>
          <w:color w:val="000000"/>
          <w:sz w:val="24"/>
          <w:szCs w:val="24"/>
          <w:lang w:val="en-US"/>
        </w:rPr>
      </w:pPr>
      <w:r w:rsidRPr="0077762C">
        <w:rPr>
          <w:rFonts w:ascii="Times New Roman" w:hAnsi="Times New Roman" w:cs="Times New Roman"/>
          <w:color w:val="000000"/>
          <w:sz w:val="24"/>
          <w:szCs w:val="24"/>
          <w:lang w:val="en-US"/>
        </w:rPr>
        <w:t>According to the Constitution of Ukraine, every citizen has the right to healthcare, medical care and medical insurance. Part 4 of Article 55 of the Constitution of Ukraine guarantees the right of everyone to protect their rights and freedoms from violations and unlawful encroachments by any means not prohibited by law</w:t>
      </w:r>
      <w:r w:rsidRPr="0077762C">
        <w:rPr>
          <w:rStyle w:val="a5"/>
          <w:rFonts w:ascii="Times New Roman" w:hAnsi="Times New Roman" w:cs="Times New Roman"/>
          <w:color w:val="000000"/>
          <w:sz w:val="24"/>
          <w:szCs w:val="24"/>
        </w:rPr>
        <w:footnoteReference w:id="17"/>
      </w:r>
      <w:r w:rsidRPr="0077762C">
        <w:rPr>
          <w:rFonts w:ascii="Times New Roman" w:hAnsi="Times New Roman" w:cs="Times New Roman"/>
          <w:color w:val="000000"/>
          <w:sz w:val="24"/>
          <w:szCs w:val="24"/>
          <w:lang w:val="en-US"/>
        </w:rPr>
        <w:t xml:space="preserve">. </w:t>
      </w:r>
    </w:p>
    <w:p w:rsidR="005A367D" w:rsidRPr="005A367D" w:rsidRDefault="0077762C" w:rsidP="005A367D">
      <w:pPr>
        <w:jc w:val="both"/>
        <w:rPr>
          <w:rFonts w:cstheme="minorHAnsi"/>
          <w:color w:val="000000"/>
          <w:lang w:val="en-US"/>
        </w:rPr>
      </w:pPr>
      <w:r w:rsidRPr="0077762C">
        <w:rPr>
          <w:rFonts w:ascii="Times New Roman" w:hAnsi="Times New Roman" w:cs="Times New Roman"/>
          <w:color w:val="000000"/>
          <w:sz w:val="24"/>
          <w:szCs w:val="24"/>
          <w:lang w:val="en-US"/>
        </w:rPr>
        <w:t xml:space="preserve">The right to healthcare includes a standard of living, including food, clothing, housing, medical care and social services and provision necessary to maintain human health; qualified medical and rehabilitation care, including free choice of a doctor and rehabilitation specialist, </w:t>
      </w:r>
      <w:r w:rsidRPr="0077762C">
        <w:rPr>
          <w:rFonts w:ascii="Times New Roman" w:hAnsi="Times New Roman" w:cs="Times New Roman"/>
          <w:color w:val="000000"/>
          <w:sz w:val="24"/>
          <w:szCs w:val="24"/>
          <w:lang w:val="en-US"/>
        </w:rPr>
        <w:lastRenderedPageBreak/>
        <w:t>choice of treatment and rehabilitation methods in accordance with the recommendations of a doctor and rehabilitation specialist, choice of a healthcare facility; reliable and timely information about one's health and the health of the population;</w:t>
      </w:r>
      <w:r>
        <w:rPr>
          <w:rFonts w:ascii="Times New Roman" w:hAnsi="Times New Roman" w:cs="Times New Roman"/>
          <w:color w:val="000000"/>
          <w:sz w:val="24"/>
          <w:szCs w:val="24"/>
          <w:lang w:val="en-US"/>
        </w:rPr>
        <w:t xml:space="preserve"> </w:t>
      </w:r>
      <w:r w:rsidRPr="0077762C">
        <w:rPr>
          <w:rFonts w:ascii="Times New Roman" w:hAnsi="Times New Roman" w:cs="Times New Roman"/>
          <w:color w:val="000000"/>
          <w:sz w:val="24"/>
          <w:szCs w:val="24"/>
          <w:lang w:val="en-US"/>
        </w:rPr>
        <w:t>compensation for damage caused to health; appealing against unlawful decisions and actions of employees, healthcare institutions and bodies and other rights provided for in Article 6 of the Law of Ukraine "Fundamentals of the Legislation of Ukraine on Healthcare."</w:t>
      </w:r>
      <w:r w:rsidRPr="0077762C">
        <w:rPr>
          <w:rStyle w:val="a5"/>
          <w:rFonts w:cstheme="minorHAnsi"/>
          <w:color w:val="000000"/>
          <w:lang w:val="en-US"/>
        </w:rPr>
        <w:t xml:space="preserve"> </w:t>
      </w:r>
      <w:r w:rsidRPr="0077762C">
        <w:rPr>
          <w:rStyle w:val="a5"/>
          <w:rFonts w:ascii="Times New Roman" w:hAnsi="Times New Roman" w:cs="Times New Roman"/>
          <w:color w:val="000000"/>
          <w:sz w:val="24"/>
          <w:szCs w:val="24"/>
        </w:rPr>
        <w:footnoteReference w:id="18"/>
      </w:r>
      <w:r w:rsidRPr="005A367D">
        <w:rPr>
          <w:rFonts w:ascii="Times New Roman" w:hAnsi="Times New Roman" w:cs="Times New Roman"/>
          <w:color w:val="000000"/>
          <w:sz w:val="24"/>
          <w:szCs w:val="24"/>
          <w:lang w:val="en-US"/>
        </w:rPr>
        <w:t>.</w:t>
      </w:r>
      <w:r w:rsidR="005A367D">
        <w:rPr>
          <w:rFonts w:ascii="Times New Roman" w:hAnsi="Times New Roman" w:cs="Times New Roman"/>
          <w:color w:val="000000"/>
          <w:sz w:val="24"/>
          <w:szCs w:val="24"/>
          <w:lang w:val="en-US"/>
        </w:rPr>
        <w:t xml:space="preserve"> </w:t>
      </w:r>
      <w:r w:rsidR="005A367D" w:rsidRPr="005A367D">
        <w:rPr>
          <w:rFonts w:ascii="Times New Roman" w:hAnsi="Times New Roman" w:cs="Times New Roman"/>
          <w:color w:val="000000"/>
          <w:sz w:val="24"/>
          <w:szCs w:val="24"/>
          <w:lang w:val="en-US"/>
        </w:rPr>
        <w:t>The provision of high quality healthcare services is important for the whole world, as non-compliance with standards in this area is one of the main causes of injury, other health damage and death not only in the countries of the former Soviet Union, but also in the European Community, Asia and the United States of America.</w:t>
      </w:r>
      <w:r w:rsidR="005A367D">
        <w:rPr>
          <w:rFonts w:ascii="Times New Roman" w:hAnsi="Times New Roman" w:cs="Times New Roman"/>
          <w:color w:val="000000"/>
          <w:sz w:val="24"/>
          <w:szCs w:val="24"/>
          <w:lang w:val="en-US"/>
        </w:rPr>
        <w:t xml:space="preserve"> </w:t>
      </w:r>
      <w:r w:rsidR="005A367D" w:rsidRPr="005A367D">
        <w:rPr>
          <w:rFonts w:ascii="Times New Roman" w:hAnsi="Times New Roman" w:cs="Times New Roman"/>
          <w:color w:val="000000"/>
          <w:sz w:val="24"/>
          <w:szCs w:val="24"/>
          <w:lang w:val="en-US"/>
        </w:rPr>
        <w:t>Since the inalienable human rights in the medical sphere are subject to encroachment, they require special protection and the involvement of legal liability mechanisms, name</w:t>
      </w:r>
      <w:r w:rsidR="005A367D">
        <w:rPr>
          <w:rFonts w:ascii="Times New Roman" w:hAnsi="Times New Roman" w:cs="Times New Roman"/>
          <w:color w:val="000000"/>
          <w:sz w:val="24"/>
          <w:szCs w:val="24"/>
          <w:lang w:val="en-US"/>
        </w:rPr>
        <w:t>ly criminal and civil liability</w:t>
      </w:r>
      <w:r w:rsidR="005A367D" w:rsidRPr="00C2202D">
        <w:rPr>
          <w:rStyle w:val="a5"/>
          <w:rFonts w:cstheme="minorHAnsi"/>
          <w:color w:val="000000"/>
        </w:rPr>
        <w:footnoteReference w:id="19"/>
      </w:r>
      <w:r w:rsidR="005A367D" w:rsidRPr="005A367D">
        <w:rPr>
          <w:rFonts w:cstheme="minorHAnsi"/>
          <w:color w:val="000000"/>
          <w:lang w:val="en-US"/>
        </w:rPr>
        <w:t>.</w:t>
      </w:r>
    </w:p>
    <w:p w:rsidR="0077762C" w:rsidRDefault="004A160D" w:rsidP="004A160D">
      <w:pPr>
        <w:jc w:val="both"/>
        <w:rPr>
          <w:rFonts w:ascii="Times New Roman" w:hAnsi="Times New Roman" w:cs="Times New Roman"/>
          <w:color w:val="000000"/>
          <w:sz w:val="24"/>
          <w:szCs w:val="24"/>
          <w:lang w:val="en-US"/>
        </w:rPr>
      </w:pPr>
      <w:r w:rsidRPr="004A160D">
        <w:rPr>
          <w:rFonts w:ascii="Times New Roman" w:hAnsi="Times New Roman" w:cs="Times New Roman"/>
          <w:color w:val="000000"/>
          <w:sz w:val="24"/>
          <w:szCs w:val="24"/>
          <w:lang w:val="en-US"/>
        </w:rPr>
        <w:t>The authors of "Medical Law" note that liability for a civil offence is one of the important issues considered by the theory of civil law and civil liability in the field of public health is also important. Civil liability is the means of ensuring the protection of personal non-property rights (life and health) of patients in the provision of medical care (services).</w:t>
      </w:r>
      <w:r>
        <w:rPr>
          <w:rFonts w:ascii="Times New Roman" w:hAnsi="Times New Roman" w:cs="Times New Roman"/>
          <w:color w:val="000000"/>
          <w:sz w:val="24"/>
          <w:szCs w:val="24"/>
          <w:lang w:val="en-US"/>
        </w:rPr>
        <w:t xml:space="preserve"> </w:t>
      </w:r>
      <w:r w:rsidRPr="004A160D">
        <w:rPr>
          <w:rFonts w:ascii="Times New Roman" w:hAnsi="Times New Roman" w:cs="Times New Roman"/>
          <w:color w:val="000000"/>
          <w:sz w:val="24"/>
          <w:szCs w:val="24"/>
          <w:lang w:val="en-US"/>
        </w:rPr>
        <w:t>In case of violation of the right to health, a person may be limited in their actions, need outside support, cannot move without someone else's help, perform work in the usual way, suffer from severe pain, cannot dress or wash themselves, and cannot cope with their daily routine. In most cases, injured patients sue the healthcare facility to obtain compensation for the damage to their health caused by medical malpractice. In judicial practice, these claims are usually referred to as non-contractual (tort) liability and are regulated in accordance with Article 80 of the Fundamentals of Legislation of Ukraine on Healthcare and the provisio</w:t>
      </w:r>
      <w:r>
        <w:rPr>
          <w:rFonts w:ascii="Times New Roman" w:hAnsi="Times New Roman" w:cs="Times New Roman"/>
          <w:color w:val="000000"/>
          <w:sz w:val="24"/>
          <w:szCs w:val="24"/>
          <w:lang w:val="en-US"/>
        </w:rPr>
        <w:t>ns of the Civil Code of Ukraine</w:t>
      </w:r>
      <w:r w:rsidRPr="004A160D">
        <w:rPr>
          <w:rStyle w:val="a5"/>
          <w:rFonts w:ascii="Times New Roman" w:hAnsi="Times New Roman" w:cs="Times New Roman"/>
          <w:color w:val="000000"/>
          <w:sz w:val="24"/>
          <w:szCs w:val="24"/>
        </w:rPr>
        <w:footnoteReference w:id="20"/>
      </w:r>
      <w:r w:rsidRPr="004A160D">
        <w:rPr>
          <w:rFonts w:ascii="Times New Roman" w:hAnsi="Times New Roman" w:cs="Times New Roman"/>
          <w:color w:val="000000"/>
          <w:sz w:val="24"/>
          <w:szCs w:val="24"/>
          <w:lang w:val="en-US"/>
        </w:rPr>
        <w:t>.</w:t>
      </w:r>
    </w:p>
    <w:p w:rsidR="004A160D" w:rsidRDefault="004A160D" w:rsidP="002A2922">
      <w:pPr>
        <w:jc w:val="both"/>
        <w:rPr>
          <w:rFonts w:ascii="Times New Roman" w:hAnsi="Times New Roman" w:cs="Times New Roman"/>
          <w:color w:val="000000"/>
          <w:sz w:val="24"/>
          <w:szCs w:val="24"/>
          <w:lang w:val="en-US"/>
        </w:rPr>
      </w:pPr>
      <w:r w:rsidRPr="004A160D">
        <w:rPr>
          <w:rFonts w:ascii="Times New Roman" w:hAnsi="Times New Roman" w:cs="Times New Roman"/>
          <w:color w:val="000000"/>
          <w:sz w:val="24"/>
          <w:szCs w:val="24"/>
          <w:lang w:val="en-US"/>
        </w:rPr>
        <w:t>From the perspective of Ukrainian legislation, the interaction between a patient and a healthcare facility or a physician who is an individual entrepreneur is considered as a legal relationship between a consumer and a provider of medical services.</w:t>
      </w:r>
      <w:r w:rsidR="002A2922">
        <w:rPr>
          <w:rFonts w:ascii="Times New Roman" w:hAnsi="Times New Roman" w:cs="Times New Roman"/>
          <w:color w:val="000000"/>
          <w:sz w:val="24"/>
          <w:szCs w:val="24"/>
          <w:lang w:val="en-US"/>
        </w:rPr>
        <w:t xml:space="preserve"> </w:t>
      </w:r>
      <w:r w:rsidR="002A2922" w:rsidRPr="002A2922">
        <w:rPr>
          <w:rFonts w:ascii="Times New Roman" w:hAnsi="Times New Roman" w:cs="Times New Roman"/>
          <w:color w:val="000000"/>
          <w:sz w:val="24"/>
          <w:szCs w:val="24"/>
          <w:lang w:val="en-US"/>
        </w:rPr>
        <w:t>The consumer has the right to receive quality healthcare services, free elimination of defects, compensation for pecuniary and non-pecuniary damage, and the provider (the healthcare facility where the doctor works, or the doctor him/herself if he/she is engaged in entrepreneurial activity) is obliged to compensate for damage caused to the patient as a result of unlawful</w:t>
      </w:r>
      <w:r w:rsidR="002A2922">
        <w:rPr>
          <w:rFonts w:ascii="Times New Roman" w:hAnsi="Times New Roman" w:cs="Times New Roman"/>
          <w:color w:val="000000"/>
          <w:sz w:val="24"/>
          <w:szCs w:val="24"/>
          <w:lang w:val="en-US"/>
        </w:rPr>
        <w:t xml:space="preserve"> decisions, actions or inaction</w:t>
      </w:r>
      <w:r w:rsidR="002A2922" w:rsidRPr="002A2922">
        <w:rPr>
          <w:rStyle w:val="a5"/>
          <w:rFonts w:ascii="Times New Roman" w:hAnsi="Times New Roman" w:cs="Times New Roman"/>
          <w:color w:val="000000"/>
          <w:sz w:val="24"/>
          <w:szCs w:val="24"/>
        </w:rPr>
        <w:footnoteReference w:id="21"/>
      </w:r>
      <w:r w:rsidR="002A2922" w:rsidRPr="002A2922">
        <w:rPr>
          <w:rFonts w:ascii="Times New Roman" w:hAnsi="Times New Roman" w:cs="Times New Roman"/>
          <w:color w:val="000000"/>
          <w:sz w:val="24"/>
          <w:szCs w:val="24"/>
          <w:lang w:val="en-US"/>
        </w:rPr>
        <w:t>.</w:t>
      </w:r>
    </w:p>
    <w:p w:rsidR="002A2922" w:rsidRDefault="002A2922" w:rsidP="002A2922">
      <w:pPr>
        <w:jc w:val="both"/>
        <w:rPr>
          <w:rFonts w:ascii="Times New Roman" w:hAnsi="Times New Roman" w:cs="Times New Roman"/>
          <w:color w:val="000000"/>
          <w:sz w:val="24"/>
          <w:szCs w:val="24"/>
          <w:lang w:val="en-US"/>
        </w:rPr>
      </w:pPr>
      <w:r w:rsidRPr="002A2922">
        <w:rPr>
          <w:rFonts w:ascii="Times New Roman" w:hAnsi="Times New Roman" w:cs="Times New Roman"/>
          <w:color w:val="000000"/>
          <w:sz w:val="24"/>
          <w:szCs w:val="24"/>
          <w:lang w:val="en-US"/>
        </w:rPr>
        <w:t>Legal conflicts play an important role in the protection of the rights of subjects of medical legal relations. The possibility of their occurrence in the field of medical activity is due to the fact that the purpose of a contract for the provision of medical services is to provide the service itself, and not to achieve the result of recovery</w:t>
      </w:r>
      <w:r w:rsidRPr="002A2922">
        <w:rPr>
          <w:rStyle w:val="a5"/>
          <w:rFonts w:ascii="Times New Roman" w:hAnsi="Times New Roman" w:cs="Times New Roman"/>
          <w:color w:val="000000"/>
          <w:sz w:val="24"/>
          <w:szCs w:val="24"/>
        </w:rPr>
        <w:footnoteReference w:id="22"/>
      </w:r>
      <w:r w:rsidRPr="002A2922">
        <w:rPr>
          <w:rFonts w:ascii="Times New Roman" w:hAnsi="Times New Roman" w:cs="Times New Roman"/>
          <w:color w:val="000000"/>
          <w:sz w:val="24"/>
          <w:szCs w:val="24"/>
          <w:lang w:val="en-US"/>
        </w:rPr>
        <w:t>, which is often forgotten by patients, especially when the provision of such services does not result in the expected improvement in their health.</w:t>
      </w:r>
    </w:p>
    <w:p w:rsidR="002A2922" w:rsidRDefault="002A2922" w:rsidP="002A2922">
      <w:pPr>
        <w:jc w:val="both"/>
        <w:rPr>
          <w:rFonts w:ascii="Times New Roman" w:hAnsi="Times New Roman" w:cs="Times New Roman"/>
          <w:color w:val="000000"/>
          <w:sz w:val="24"/>
          <w:szCs w:val="24"/>
          <w:lang w:val="en-US"/>
        </w:rPr>
      </w:pPr>
      <w:r w:rsidRPr="002A2922">
        <w:rPr>
          <w:rFonts w:ascii="Times New Roman" w:hAnsi="Times New Roman" w:cs="Times New Roman"/>
          <w:color w:val="000000"/>
          <w:sz w:val="24"/>
          <w:szCs w:val="24"/>
          <w:lang w:val="en-US"/>
        </w:rPr>
        <w:t xml:space="preserve">In Ukraine, there is currently a tendency to increasing the importance of judicial practice in the regulation of social relations in general, and in the field of medical relations in particular. The highest court in the judicial system of Ukraine is the Supreme Court, which ensures the </w:t>
      </w:r>
      <w:r w:rsidRPr="002A2922">
        <w:rPr>
          <w:rFonts w:ascii="Times New Roman" w:hAnsi="Times New Roman" w:cs="Times New Roman"/>
          <w:color w:val="000000"/>
          <w:sz w:val="24"/>
          <w:szCs w:val="24"/>
          <w:lang w:val="en-US"/>
        </w:rPr>
        <w:lastRenderedPageBreak/>
        <w:t>consistency and unity of judicial practice in the order and manner prescribed by the procedural law and actually considers disputes of the most important significance for society and the state.</w:t>
      </w:r>
    </w:p>
    <w:p w:rsidR="00AE43E0" w:rsidRDefault="00AE43E0" w:rsidP="00AE43E0">
      <w:pPr>
        <w:jc w:val="both"/>
        <w:rPr>
          <w:rFonts w:ascii="Times New Roman" w:hAnsi="Times New Roman" w:cs="Times New Roman"/>
          <w:color w:val="000000"/>
          <w:sz w:val="24"/>
          <w:szCs w:val="24"/>
          <w:lang w:val="en-US"/>
        </w:rPr>
      </w:pPr>
      <w:r w:rsidRPr="00AE43E0">
        <w:rPr>
          <w:rFonts w:ascii="Times New Roman" w:hAnsi="Times New Roman" w:cs="Times New Roman"/>
          <w:color w:val="000000"/>
          <w:sz w:val="24"/>
          <w:szCs w:val="24"/>
          <w:lang w:val="en-US"/>
        </w:rPr>
        <w:t xml:space="preserve">After analysing the data from the Unified State Register of Court Decisions, it was established that in the period from 2019 to 2022, the Supreme Court considered only one civil case of claim proceedings in disputes related to the application of the Law of Ukraine "On Consumer Protection" regarding compensation for </w:t>
      </w:r>
      <w:r w:rsidRPr="00AE43E0">
        <w:rPr>
          <w:rFonts w:ascii="Times New Roman" w:hAnsi="Times New Roman" w:cs="Times New Roman"/>
          <w:color w:val="000000"/>
          <w:sz w:val="24"/>
          <w:szCs w:val="24"/>
          <w:lang w:val="en-US"/>
        </w:rPr>
        <w:t>pecuniary</w:t>
      </w:r>
      <w:r>
        <w:rPr>
          <w:rFonts w:ascii="Times New Roman" w:hAnsi="Times New Roman" w:cs="Times New Roman"/>
          <w:color w:val="000000"/>
          <w:sz w:val="24"/>
          <w:szCs w:val="24"/>
          <w:lang w:val="en-US"/>
        </w:rPr>
        <w:t xml:space="preserve"> </w:t>
      </w:r>
      <w:r w:rsidRPr="00AE43E0">
        <w:rPr>
          <w:rFonts w:ascii="Times New Roman" w:hAnsi="Times New Roman" w:cs="Times New Roman"/>
          <w:color w:val="000000"/>
          <w:sz w:val="24"/>
          <w:szCs w:val="24"/>
          <w:lang w:val="en-US"/>
        </w:rPr>
        <w:t>and non-pecuniary damage for the improper provision of medical (dental) services, which became the subject of our study and has grounds to be consider</w:t>
      </w:r>
      <w:r>
        <w:rPr>
          <w:rFonts w:ascii="Times New Roman" w:hAnsi="Times New Roman" w:cs="Times New Roman"/>
          <w:color w:val="000000"/>
          <w:sz w:val="24"/>
          <w:szCs w:val="24"/>
          <w:lang w:val="en-US"/>
        </w:rPr>
        <w:t>ed as a landmark in medical law</w:t>
      </w:r>
      <w:r w:rsidRPr="00AE43E0">
        <w:rPr>
          <w:rStyle w:val="a5"/>
          <w:rFonts w:ascii="Times New Roman" w:hAnsi="Times New Roman" w:cs="Times New Roman"/>
          <w:sz w:val="24"/>
          <w:szCs w:val="24"/>
        </w:rPr>
        <w:footnoteReference w:id="23"/>
      </w:r>
      <w:r w:rsidRPr="00AE43E0">
        <w:rPr>
          <w:rFonts w:ascii="Times New Roman" w:hAnsi="Times New Roman" w:cs="Times New Roman"/>
          <w:sz w:val="24"/>
          <w:szCs w:val="24"/>
          <w:lang w:val="en-US"/>
        </w:rPr>
        <w:t>.</w:t>
      </w:r>
      <w:r w:rsidRPr="00AE43E0">
        <w:rPr>
          <w:rFonts w:ascii="Times New Roman" w:hAnsi="Times New Roman" w:cs="Times New Roman"/>
          <w:color w:val="000000"/>
          <w:sz w:val="24"/>
          <w:szCs w:val="24"/>
          <w:lang w:val="en-US"/>
        </w:rPr>
        <w:t xml:space="preserve"> </w:t>
      </w:r>
    </w:p>
    <w:p w:rsidR="00AE43E0" w:rsidRDefault="00AE43E0" w:rsidP="00AE43E0">
      <w:pPr>
        <w:jc w:val="both"/>
        <w:rPr>
          <w:rFonts w:ascii="Times New Roman" w:hAnsi="Times New Roman" w:cs="Times New Roman"/>
          <w:color w:val="000000"/>
          <w:sz w:val="24"/>
          <w:szCs w:val="24"/>
          <w:lang w:val="en-US"/>
        </w:rPr>
      </w:pPr>
      <w:r w:rsidRPr="00AE43E0">
        <w:rPr>
          <w:rFonts w:ascii="Times New Roman" w:hAnsi="Times New Roman" w:cs="Times New Roman"/>
          <w:color w:val="000000"/>
          <w:sz w:val="24"/>
          <w:szCs w:val="24"/>
          <w:lang w:val="en-US"/>
        </w:rPr>
        <w:t>There is no doubt that disputes related to the protection of personal non-pecuniary human benefits to life and health, the process of providing health care and the result of its receipt, as objects of medical legal relations, are of fundamental importance for society and the state in general and the medical law branch in particular. The practice of judicial consideration of the so-called "medical" cases is riddled with complex practical issues due to its multidisciplinary nature and requires the search for and implementation of legal innovations in the protection of human rights in the field of healthcare.</w:t>
      </w:r>
    </w:p>
    <w:p w:rsidR="00AE43E0" w:rsidRPr="00AE43E0" w:rsidRDefault="00AE43E0" w:rsidP="00AE43E0">
      <w:pPr>
        <w:jc w:val="both"/>
        <w:rPr>
          <w:rFonts w:ascii="Times New Roman" w:hAnsi="Times New Roman" w:cs="Times New Roman"/>
          <w:color w:val="000000"/>
          <w:sz w:val="24"/>
          <w:szCs w:val="24"/>
          <w:lang w:val="en-US"/>
        </w:rPr>
      </w:pPr>
      <w:r w:rsidRPr="00AE43E0">
        <w:rPr>
          <w:rFonts w:ascii="Times New Roman" w:hAnsi="Times New Roman" w:cs="Times New Roman"/>
          <w:color w:val="000000"/>
          <w:sz w:val="24"/>
          <w:szCs w:val="24"/>
          <w:lang w:val="en-US"/>
        </w:rPr>
        <w:t>This is confirmed by the fact that in 2021, the Supreme Court published a review of judicial practice in cases of disputes arising in the healthcare field. The review includes a number of important legal opinions of the Civil Court of Cassation of the Supreme Court, which will be important for the formation of a unified law enforcement practice.</w:t>
      </w:r>
    </w:p>
    <w:p w:rsidR="00AE43E0" w:rsidRDefault="009342A5" w:rsidP="009342A5">
      <w:pPr>
        <w:jc w:val="both"/>
        <w:rPr>
          <w:rFonts w:ascii="Times New Roman" w:eastAsia="Calibri" w:hAnsi="Times New Roman" w:cs="Times New Roman"/>
          <w:sz w:val="24"/>
          <w:szCs w:val="24"/>
          <w:lang w:val="en-US"/>
        </w:rPr>
      </w:pPr>
      <w:r w:rsidRPr="009342A5">
        <w:rPr>
          <w:rFonts w:ascii="Times New Roman" w:hAnsi="Times New Roman" w:cs="Times New Roman"/>
          <w:color w:val="000000"/>
          <w:sz w:val="24"/>
          <w:szCs w:val="24"/>
          <w:lang w:val="en-US"/>
        </w:rPr>
        <w:t>Among these conclusions, the court singled out: disputes related to the application of legislation on information and personal data protection; disputes arising from appeals against decisions of heads of educational institutions on the legality of suspending students who are not vaccinated; disputes arising from contractual relations; disputes regarding the provision of certain types of health care; disputes on co</w:t>
      </w:r>
      <w:r>
        <w:rPr>
          <w:rFonts w:ascii="Times New Roman" w:hAnsi="Times New Roman" w:cs="Times New Roman"/>
          <w:color w:val="000000"/>
          <w:sz w:val="24"/>
          <w:szCs w:val="24"/>
          <w:lang w:val="en-US"/>
        </w:rPr>
        <w:t>mpensation for medical services</w:t>
      </w:r>
      <w:r w:rsidRPr="009342A5">
        <w:rPr>
          <w:rStyle w:val="a5"/>
          <w:rFonts w:ascii="Times New Roman" w:eastAsia="Calibri" w:hAnsi="Times New Roman" w:cs="Times New Roman"/>
          <w:sz w:val="24"/>
          <w:szCs w:val="24"/>
        </w:rPr>
        <w:footnoteReference w:id="24"/>
      </w:r>
      <w:r w:rsidRPr="009342A5">
        <w:rPr>
          <w:rFonts w:ascii="Times New Roman" w:eastAsia="Calibri" w:hAnsi="Times New Roman" w:cs="Times New Roman"/>
          <w:sz w:val="24"/>
          <w:szCs w:val="24"/>
          <w:lang w:val="en-US"/>
        </w:rPr>
        <w:t>.</w:t>
      </w:r>
    </w:p>
    <w:p w:rsidR="009342A5" w:rsidRDefault="009342A5" w:rsidP="009342A5">
      <w:pPr>
        <w:jc w:val="both"/>
        <w:rPr>
          <w:rFonts w:ascii="Times New Roman" w:hAnsi="Times New Roman" w:cs="Times New Roman"/>
          <w:color w:val="000000"/>
          <w:sz w:val="24"/>
          <w:szCs w:val="24"/>
          <w:lang w:val="uk-UA"/>
        </w:rPr>
      </w:pPr>
      <w:r w:rsidRPr="009342A5">
        <w:rPr>
          <w:rFonts w:ascii="Times New Roman" w:hAnsi="Times New Roman" w:cs="Times New Roman"/>
          <w:color w:val="000000"/>
          <w:sz w:val="24"/>
          <w:szCs w:val="24"/>
          <w:lang w:val="en-US"/>
        </w:rPr>
        <w:t>Such decisions of the Supreme Court not only form a well-grounded legal position on the application by all courts of a particular substantive law rule or compliance with a procedural law rule that was incorrectly applied in the future, but also direct the practice towards uniform and correct application of law.</w:t>
      </w:r>
      <w:r>
        <w:rPr>
          <w:rFonts w:ascii="Times New Roman" w:hAnsi="Times New Roman" w:cs="Times New Roman"/>
          <w:color w:val="000000"/>
          <w:sz w:val="24"/>
          <w:szCs w:val="24"/>
          <w:lang w:val="uk-UA"/>
        </w:rPr>
        <w:t xml:space="preserve"> </w:t>
      </w:r>
      <w:r w:rsidRPr="009342A5">
        <w:rPr>
          <w:rFonts w:ascii="Times New Roman" w:hAnsi="Times New Roman" w:cs="Times New Roman"/>
          <w:color w:val="000000"/>
          <w:sz w:val="24"/>
          <w:szCs w:val="24"/>
          <w:lang w:val="uk-UA"/>
        </w:rPr>
        <w:t>The Supreme Court explains the content of a legislative act in terms of its understanding and implementation in practice in other cases, indicating the circumstances that must be taken into account when applying a particular legal provision, using a specific case as an example.</w:t>
      </w:r>
    </w:p>
    <w:p w:rsidR="009342A5" w:rsidRPr="009342A5" w:rsidRDefault="009342A5" w:rsidP="009342A5">
      <w:pPr>
        <w:jc w:val="both"/>
        <w:rPr>
          <w:rFonts w:cstheme="minorHAnsi"/>
          <w:color w:val="000000"/>
          <w:lang w:val="en-US"/>
        </w:rPr>
      </w:pPr>
      <w:r w:rsidRPr="009342A5">
        <w:rPr>
          <w:rFonts w:ascii="Times New Roman" w:hAnsi="Times New Roman" w:cs="Times New Roman"/>
          <w:color w:val="000000"/>
          <w:sz w:val="24"/>
          <w:szCs w:val="24"/>
          <w:lang w:val="uk-UA"/>
        </w:rPr>
        <w:t>According to Judge of the Grand Chamber of the Supreme Court Dmytro Hudyma, with whom the authors of this study agree, the fact that Ukrainian legislation does not contain a formalised concept of "precedent" does not mean that it does not exist de facto.</w:t>
      </w:r>
      <w:r>
        <w:rPr>
          <w:rFonts w:ascii="Times New Roman" w:hAnsi="Times New Roman" w:cs="Times New Roman"/>
          <w:color w:val="000000"/>
          <w:sz w:val="24"/>
          <w:szCs w:val="24"/>
          <w:lang w:val="uk-UA"/>
        </w:rPr>
        <w:t xml:space="preserve"> </w:t>
      </w:r>
      <w:r w:rsidRPr="009342A5">
        <w:rPr>
          <w:rFonts w:ascii="Times New Roman" w:hAnsi="Times New Roman" w:cs="Times New Roman"/>
          <w:color w:val="000000"/>
          <w:sz w:val="24"/>
          <w:szCs w:val="24"/>
          <w:lang w:val="uk-UA"/>
        </w:rPr>
        <w:t xml:space="preserve">It is not necessary to consider precedent in the so-called classical sense, linking it to the sources of law in the Anglo-Saxon legal system. The Supreme Court, based on the circumstances of a particular case, the nature of the legal relationship in dispute and the content of the claims, provides a model for interpreting a regulatory provision. There is no consensus in the academic community as to whether such an </w:t>
      </w:r>
      <w:r w:rsidRPr="009342A5">
        <w:rPr>
          <w:rFonts w:ascii="Times New Roman" w:hAnsi="Times New Roman" w:cs="Times New Roman"/>
          <w:color w:val="000000"/>
          <w:sz w:val="24"/>
          <w:szCs w:val="24"/>
          <w:lang w:val="uk-UA"/>
        </w:rPr>
        <w:lastRenderedPageBreak/>
        <w:t>interpretation creates a new regulatory prescription.</w:t>
      </w:r>
      <w:r>
        <w:rPr>
          <w:rFonts w:ascii="Times New Roman" w:hAnsi="Times New Roman" w:cs="Times New Roman"/>
          <w:color w:val="000000"/>
          <w:sz w:val="24"/>
          <w:szCs w:val="24"/>
          <w:lang w:val="uk-UA"/>
        </w:rPr>
        <w:t xml:space="preserve"> </w:t>
      </w:r>
      <w:r w:rsidRPr="009342A5">
        <w:rPr>
          <w:rFonts w:ascii="Times New Roman" w:hAnsi="Times New Roman" w:cs="Times New Roman"/>
          <w:color w:val="000000"/>
          <w:sz w:val="24"/>
          <w:szCs w:val="24"/>
          <w:lang w:val="uk-UA"/>
        </w:rPr>
        <w:t>However, given that the logical scope of interpretation of regulatory provisions is not only literal, it is possible to justify that the Supreme Court, by giving a narrowing or expanding interpretation of a regulatory provision, creates a new rule that has not bee</w:t>
      </w:r>
      <w:r>
        <w:rPr>
          <w:rFonts w:ascii="Times New Roman" w:hAnsi="Times New Roman" w:cs="Times New Roman"/>
          <w:color w:val="000000"/>
          <w:sz w:val="24"/>
          <w:szCs w:val="24"/>
          <w:lang w:val="uk-UA"/>
        </w:rPr>
        <w:t>n formalised in this way before</w:t>
      </w:r>
      <w:r w:rsidRPr="009342A5">
        <w:rPr>
          <w:rStyle w:val="a5"/>
          <w:rFonts w:ascii="Times New Roman" w:hAnsi="Times New Roman" w:cs="Times New Roman"/>
          <w:color w:val="000000"/>
          <w:sz w:val="24"/>
          <w:szCs w:val="24"/>
        </w:rPr>
        <w:footnoteReference w:id="25"/>
      </w:r>
      <w:r w:rsidRPr="009342A5">
        <w:rPr>
          <w:rFonts w:ascii="Times New Roman" w:hAnsi="Times New Roman" w:cs="Times New Roman"/>
          <w:color w:val="000000"/>
          <w:sz w:val="24"/>
          <w:szCs w:val="24"/>
          <w:lang w:val="en-US"/>
        </w:rPr>
        <w:t xml:space="preserve">. </w:t>
      </w:r>
    </w:p>
    <w:p w:rsidR="00275CD5" w:rsidRDefault="00275CD5" w:rsidP="00275CD5">
      <w:pPr>
        <w:ind w:firstLine="0"/>
        <w:jc w:val="both"/>
        <w:rPr>
          <w:rFonts w:ascii="Times New Roman" w:hAnsi="Times New Roman" w:cs="Times New Roman"/>
          <w:color w:val="000000"/>
          <w:sz w:val="24"/>
          <w:szCs w:val="24"/>
          <w:lang w:val="en-US"/>
        </w:rPr>
      </w:pPr>
    </w:p>
    <w:p w:rsidR="009342A5" w:rsidRPr="008E48C1" w:rsidRDefault="0040287C" w:rsidP="00275CD5">
      <w:pPr>
        <w:ind w:firstLine="0"/>
        <w:jc w:val="both"/>
        <w:rPr>
          <w:rFonts w:ascii="Times New Roman" w:hAnsi="Times New Roman" w:cs="Times New Roman"/>
          <w:b/>
          <w:color w:val="000000"/>
          <w:sz w:val="24"/>
          <w:szCs w:val="24"/>
          <w:lang w:val="en-US"/>
        </w:rPr>
      </w:pPr>
      <w:r w:rsidRPr="008E48C1">
        <w:rPr>
          <w:rFonts w:ascii="Times New Roman" w:hAnsi="Times New Roman" w:cs="Times New Roman"/>
          <w:b/>
          <w:color w:val="000000"/>
          <w:sz w:val="24"/>
          <w:szCs w:val="24"/>
          <w:lang w:val="en-US"/>
        </w:rPr>
        <w:t>3 JUDICIAL PRECEDENT THAT IS A LANDMARK IN MEDICAL LAW</w:t>
      </w:r>
    </w:p>
    <w:p w:rsidR="0077762C" w:rsidRPr="0005601A" w:rsidRDefault="0077762C" w:rsidP="0005601A">
      <w:pPr>
        <w:jc w:val="both"/>
        <w:rPr>
          <w:rFonts w:ascii="Times New Roman" w:hAnsi="Times New Roman" w:cs="Times New Roman"/>
          <w:color w:val="000000"/>
          <w:sz w:val="24"/>
          <w:szCs w:val="24"/>
          <w:lang w:val="en-US"/>
        </w:rPr>
      </w:pPr>
    </w:p>
    <w:p w:rsidR="00332FB5" w:rsidRDefault="00332FB5" w:rsidP="00332FB5">
      <w:pPr>
        <w:jc w:val="both"/>
        <w:rPr>
          <w:rFonts w:ascii="Times New Roman" w:hAnsi="Times New Roman" w:cs="Times New Roman"/>
          <w:color w:val="000000"/>
          <w:sz w:val="24"/>
          <w:szCs w:val="24"/>
          <w:lang w:val="en-US"/>
        </w:rPr>
      </w:pPr>
      <w:r w:rsidRPr="00332FB5">
        <w:rPr>
          <w:rFonts w:ascii="Times New Roman" w:hAnsi="Times New Roman" w:cs="Times New Roman"/>
          <w:sz w:val="24"/>
          <w:szCs w:val="24"/>
          <w:lang w:val="en-US"/>
        </w:rPr>
        <w:t xml:space="preserve">In this context, we propose to consider the decision of the Supreme Court adopted on 30 November 2022 in civil case No. 344/3764/21 in a dispute related to the application of the Law of Ukraine "On Consumer Protection" on compensation for </w:t>
      </w:r>
      <w:r w:rsidRPr="00332FB5">
        <w:rPr>
          <w:rFonts w:ascii="Times New Roman" w:hAnsi="Times New Roman" w:cs="Times New Roman"/>
          <w:sz w:val="24"/>
          <w:szCs w:val="24"/>
          <w:lang w:val="en-US"/>
        </w:rPr>
        <w:t>pecuniary</w:t>
      </w:r>
      <w:r w:rsidRPr="00332FB5">
        <w:rPr>
          <w:rFonts w:ascii="Times New Roman" w:hAnsi="Times New Roman" w:cs="Times New Roman"/>
          <w:sz w:val="24"/>
          <w:szCs w:val="24"/>
          <w:lang w:val="en-US"/>
        </w:rPr>
        <w:t xml:space="preserve"> and non-pecuniary damage for the improper provision of medical </w:t>
      </w:r>
      <w:r>
        <w:rPr>
          <w:rFonts w:ascii="Times New Roman" w:hAnsi="Times New Roman" w:cs="Times New Roman"/>
          <w:sz w:val="24"/>
          <w:szCs w:val="24"/>
          <w:lang w:val="en-US"/>
        </w:rPr>
        <w:t>(dental) services as a landmark</w:t>
      </w:r>
      <w:r w:rsidRPr="00332FB5">
        <w:rPr>
          <w:rStyle w:val="a5"/>
          <w:rFonts w:ascii="Times New Roman" w:hAnsi="Times New Roman" w:cs="Times New Roman"/>
          <w:color w:val="000000"/>
          <w:sz w:val="24"/>
          <w:szCs w:val="24"/>
        </w:rPr>
        <w:footnoteReference w:id="26"/>
      </w:r>
      <w:r>
        <w:rPr>
          <w:rFonts w:ascii="Times New Roman" w:hAnsi="Times New Roman" w:cs="Times New Roman"/>
          <w:color w:val="000000"/>
          <w:sz w:val="24"/>
          <w:szCs w:val="24"/>
          <w:lang w:val="en-US"/>
        </w:rPr>
        <w:t>.</w:t>
      </w:r>
    </w:p>
    <w:p w:rsidR="00332FB5" w:rsidRDefault="00332FB5" w:rsidP="00332FB5">
      <w:pPr>
        <w:jc w:val="both"/>
        <w:rPr>
          <w:rFonts w:ascii="Times New Roman" w:hAnsi="Times New Roman" w:cs="Times New Roman"/>
          <w:color w:val="000000"/>
          <w:sz w:val="24"/>
          <w:szCs w:val="24"/>
          <w:lang w:val="en-US"/>
        </w:rPr>
      </w:pPr>
      <w:r w:rsidRPr="00332FB5">
        <w:rPr>
          <w:rFonts w:ascii="Times New Roman" w:hAnsi="Times New Roman" w:cs="Times New Roman"/>
          <w:color w:val="000000"/>
          <w:sz w:val="24"/>
          <w:szCs w:val="24"/>
          <w:lang w:val="en-US"/>
        </w:rPr>
        <w:t xml:space="preserve">The content of the claim established that in March 2021, the applicant (patient) appealed to the court with a claim against the dentist (as an individual entrepreneur) for compensation for </w:t>
      </w:r>
      <w:r w:rsidRPr="00332FB5">
        <w:rPr>
          <w:rFonts w:ascii="Times New Roman" w:hAnsi="Times New Roman" w:cs="Times New Roman"/>
          <w:color w:val="000000"/>
          <w:sz w:val="24"/>
          <w:szCs w:val="24"/>
          <w:lang w:val="en-US"/>
        </w:rPr>
        <w:t xml:space="preserve">pecuniary </w:t>
      </w:r>
      <w:r w:rsidRPr="00332FB5">
        <w:rPr>
          <w:rFonts w:ascii="Times New Roman" w:hAnsi="Times New Roman" w:cs="Times New Roman"/>
          <w:color w:val="000000"/>
          <w:sz w:val="24"/>
          <w:szCs w:val="24"/>
          <w:lang w:val="en-US"/>
        </w:rPr>
        <w:t>and non-pecuniary damage for the improper provision of medical services.</w:t>
      </w:r>
      <w:r>
        <w:rPr>
          <w:rFonts w:ascii="Times New Roman" w:hAnsi="Times New Roman" w:cs="Times New Roman"/>
          <w:color w:val="000000"/>
          <w:sz w:val="24"/>
          <w:szCs w:val="24"/>
          <w:lang w:val="uk-UA"/>
        </w:rPr>
        <w:t xml:space="preserve"> </w:t>
      </w:r>
      <w:r w:rsidRPr="00332FB5">
        <w:rPr>
          <w:rFonts w:ascii="Times New Roman" w:hAnsi="Times New Roman" w:cs="Times New Roman"/>
          <w:color w:val="000000"/>
          <w:sz w:val="24"/>
          <w:szCs w:val="24"/>
          <w:lang w:val="uk-UA"/>
        </w:rPr>
        <w:t xml:space="preserve">She motivated her claims by the fact that from February to August 2020, she received dental services at the </w:t>
      </w:r>
      <w:r w:rsidRPr="00332FB5">
        <w:rPr>
          <w:rFonts w:ascii="Times New Roman" w:hAnsi="Times New Roman" w:cs="Times New Roman"/>
          <w:color w:val="000000"/>
          <w:sz w:val="24"/>
          <w:szCs w:val="24"/>
          <w:lang w:val="uk-UA"/>
        </w:rPr>
        <w:t>"</w:t>
      </w:r>
      <w:r w:rsidRPr="00332FB5">
        <w:rPr>
          <w:rFonts w:ascii="Times New Roman" w:hAnsi="Times New Roman" w:cs="Times New Roman"/>
          <w:color w:val="000000"/>
          <w:sz w:val="24"/>
          <w:szCs w:val="24"/>
          <w:lang w:val="uk-UA"/>
        </w:rPr>
        <w:t>Lichnytsia Tkachuka</w:t>
      </w:r>
      <w:r w:rsidRPr="00332FB5">
        <w:rPr>
          <w:rFonts w:ascii="Times New Roman" w:hAnsi="Times New Roman" w:cs="Times New Roman"/>
          <w:color w:val="000000"/>
          <w:sz w:val="24"/>
          <w:szCs w:val="24"/>
          <w:lang w:val="uk-UA"/>
        </w:rPr>
        <w:t>"</w:t>
      </w:r>
      <w:r>
        <w:rPr>
          <w:rFonts w:ascii="Times New Roman" w:hAnsi="Times New Roman" w:cs="Times New Roman"/>
          <w:color w:val="000000"/>
          <w:sz w:val="24"/>
          <w:szCs w:val="24"/>
          <w:lang w:val="en-US"/>
        </w:rPr>
        <w:t xml:space="preserve"> (</w:t>
      </w:r>
      <w:r w:rsidRPr="00332FB5">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t>Tkachuk</w:t>
      </w:r>
      <w:r w:rsidRPr="00332FB5">
        <w:rPr>
          <w:rFonts w:ascii="Times New Roman" w:hAnsi="Times New Roman" w:cs="Times New Roman"/>
          <w:color w:val="000000"/>
          <w:sz w:val="24"/>
          <w:szCs w:val="24"/>
          <w:lang w:val="uk-UA"/>
        </w:rPr>
        <w:t>'s medicine cabinet"</w:t>
      </w:r>
      <w:r>
        <w:rPr>
          <w:rFonts w:ascii="Times New Roman" w:hAnsi="Times New Roman" w:cs="Times New Roman"/>
          <w:color w:val="000000"/>
          <w:sz w:val="24"/>
          <w:szCs w:val="24"/>
          <w:lang w:val="en-US"/>
        </w:rPr>
        <w:t>)</w:t>
      </w:r>
      <w:r w:rsidRPr="00332FB5">
        <w:rPr>
          <w:rFonts w:ascii="Times New Roman" w:hAnsi="Times New Roman" w:cs="Times New Roman"/>
          <w:color w:val="000000"/>
          <w:sz w:val="24"/>
          <w:szCs w:val="24"/>
          <w:lang w:val="uk-UA"/>
        </w:rPr>
        <w:t xml:space="preserve"> in Ivano-Frankivsk</w:t>
      </w:r>
      <w:r>
        <w:rPr>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en-US"/>
        </w:rPr>
        <w:t>City</w:t>
      </w:r>
      <w:r w:rsidRPr="00332FB5">
        <w:rPr>
          <w:rFonts w:ascii="Times New Roman" w:hAnsi="Times New Roman" w:cs="Times New Roman"/>
          <w:color w:val="000000"/>
          <w:sz w:val="24"/>
          <w:szCs w:val="24"/>
          <w:lang w:val="uk-UA"/>
        </w:rPr>
        <w:t>, but the doctor performed the prosthetics poorly, which resulted in pain and facial appearance defects.</w:t>
      </w:r>
      <w:r>
        <w:rPr>
          <w:rFonts w:ascii="Times New Roman" w:hAnsi="Times New Roman" w:cs="Times New Roman"/>
          <w:color w:val="000000"/>
          <w:sz w:val="24"/>
          <w:szCs w:val="24"/>
          <w:lang w:val="en-US"/>
        </w:rPr>
        <w:t xml:space="preserve"> </w:t>
      </w:r>
      <w:r w:rsidRPr="00332FB5">
        <w:rPr>
          <w:rFonts w:ascii="Times New Roman" w:hAnsi="Times New Roman" w:cs="Times New Roman"/>
          <w:color w:val="000000"/>
          <w:sz w:val="24"/>
          <w:szCs w:val="24"/>
          <w:lang w:val="en-US"/>
        </w:rPr>
        <w:t>The applicant paid 64,930 UAH for the services received, but the doctor-entrepreneur did not issue her with any payment documents. Subsequently, the applicant had to see another dentist and spent additional funds in the amount of 35,430 UAH for further treatment and prosthetics.</w:t>
      </w:r>
      <w:r w:rsidR="00F052F6">
        <w:rPr>
          <w:rFonts w:ascii="Times New Roman" w:hAnsi="Times New Roman" w:cs="Times New Roman"/>
          <w:color w:val="000000"/>
          <w:sz w:val="24"/>
          <w:szCs w:val="24"/>
          <w:lang w:val="en-US"/>
        </w:rPr>
        <w:t xml:space="preserve"> </w:t>
      </w:r>
      <w:r w:rsidR="00F052F6" w:rsidRPr="00F052F6">
        <w:rPr>
          <w:rFonts w:ascii="Times New Roman" w:hAnsi="Times New Roman" w:cs="Times New Roman"/>
          <w:color w:val="000000"/>
          <w:sz w:val="24"/>
          <w:szCs w:val="24"/>
          <w:lang w:val="en-US"/>
        </w:rPr>
        <w:t>She estimated the non-pecuniary damage at 400,000 UAH. In addition, she asked to recover another 133,000 UAH from the defendant for repeated orthopaedic treatment.</w:t>
      </w:r>
    </w:p>
    <w:p w:rsidR="00F052F6" w:rsidRDefault="00F052F6" w:rsidP="00332FB5">
      <w:pPr>
        <w:jc w:val="both"/>
        <w:rPr>
          <w:rFonts w:ascii="Times New Roman" w:hAnsi="Times New Roman" w:cs="Times New Roman"/>
          <w:color w:val="000000"/>
          <w:sz w:val="24"/>
          <w:szCs w:val="24"/>
          <w:lang w:val="en-US"/>
        </w:rPr>
      </w:pPr>
      <w:r w:rsidRPr="00F052F6">
        <w:rPr>
          <w:rFonts w:ascii="Times New Roman" w:hAnsi="Times New Roman" w:cs="Times New Roman"/>
          <w:color w:val="000000"/>
          <w:sz w:val="24"/>
          <w:szCs w:val="24"/>
          <w:lang w:val="en-US"/>
        </w:rPr>
        <w:t>In support of her claims, the applicant submitted to the court correspondence between her and the defendant in mobile messenger "Viber" in March and August 2020 regarding the provision of medical services. At the same time, the defendant's mobile phone number corresponds to the one listed on the website of the Unified State Register of Legal Entities, Individual Entrepreneurs and Public Organisations.</w:t>
      </w:r>
    </w:p>
    <w:p w:rsidR="0005601A" w:rsidRDefault="00F052F6" w:rsidP="00F052F6">
      <w:pPr>
        <w:jc w:val="both"/>
        <w:rPr>
          <w:rFonts w:ascii="Times New Roman" w:hAnsi="Times New Roman" w:cs="Times New Roman"/>
          <w:color w:val="000000"/>
          <w:sz w:val="24"/>
          <w:szCs w:val="24"/>
          <w:lang w:val="en-US"/>
        </w:rPr>
      </w:pPr>
      <w:r w:rsidRPr="00F052F6">
        <w:rPr>
          <w:rFonts w:ascii="Times New Roman" w:hAnsi="Times New Roman" w:cs="Times New Roman"/>
          <w:color w:val="000000"/>
          <w:sz w:val="24"/>
          <w:szCs w:val="24"/>
          <w:lang w:val="en-US"/>
        </w:rPr>
        <w:t>The applicant also submitted to the court the conclusion of a clinical expert assessment conducted by the commission in accordance with the order of the Department of Health of the Ivano-Frankivsk Regional State Administration of 18 September 2020 No. 335, which established the diagnosis and recommended removing the bridges from the upper and lower jaws and repeating orthopaedic treatment with aesthetic fixed prostheses.</w:t>
      </w:r>
      <w:r>
        <w:rPr>
          <w:rFonts w:ascii="Times New Roman" w:hAnsi="Times New Roman" w:cs="Times New Roman"/>
          <w:color w:val="000000"/>
          <w:sz w:val="24"/>
          <w:szCs w:val="24"/>
          <w:lang w:val="en-US"/>
        </w:rPr>
        <w:t xml:space="preserve"> </w:t>
      </w:r>
      <w:r w:rsidRPr="00F052F6">
        <w:rPr>
          <w:rFonts w:ascii="Times New Roman" w:hAnsi="Times New Roman" w:cs="Times New Roman"/>
          <w:color w:val="000000"/>
          <w:sz w:val="24"/>
          <w:szCs w:val="24"/>
          <w:lang w:val="en-US"/>
        </w:rPr>
        <w:t>The witness interrogated at the court hearing, who was the chairman of the clinical expert commission, confirmed that it was the defendant who provided the applicant with dental services. In particular, the witness explained that the defendant had personally asked them to meet at the university department to discuss the situation.</w:t>
      </w:r>
      <w:r>
        <w:rPr>
          <w:rFonts w:ascii="Times New Roman" w:hAnsi="Times New Roman" w:cs="Times New Roman"/>
          <w:color w:val="000000"/>
          <w:sz w:val="24"/>
          <w:szCs w:val="24"/>
          <w:lang w:val="en-US"/>
        </w:rPr>
        <w:t xml:space="preserve"> </w:t>
      </w:r>
      <w:r w:rsidRPr="00F052F6">
        <w:rPr>
          <w:rFonts w:ascii="Times New Roman" w:hAnsi="Times New Roman" w:cs="Times New Roman"/>
          <w:color w:val="000000"/>
          <w:sz w:val="24"/>
          <w:szCs w:val="24"/>
          <w:lang w:val="en-US"/>
        </w:rPr>
        <w:t>During the meeting, the defendant admitted that he had provided dental prosthetics services to the applicant. At the same time, the defendant noted that he did not have the relevant qualifi</w:t>
      </w:r>
      <w:r>
        <w:rPr>
          <w:rFonts w:ascii="Times New Roman" w:hAnsi="Times New Roman" w:cs="Times New Roman"/>
          <w:color w:val="000000"/>
          <w:sz w:val="24"/>
          <w:szCs w:val="24"/>
          <w:lang w:val="en-US"/>
        </w:rPr>
        <w:t xml:space="preserve">cation in </w:t>
      </w:r>
      <w:r w:rsidRPr="00F052F6">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Orthopaedic dentistry</w:t>
      </w:r>
      <w:r w:rsidRPr="00F052F6">
        <w:rPr>
          <w:rFonts w:ascii="Times New Roman" w:hAnsi="Times New Roman" w:cs="Times New Roman"/>
          <w:color w:val="000000"/>
          <w:sz w:val="24"/>
          <w:szCs w:val="24"/>
          <w:lang w:val="en-US"/>
        </w:rPr>
        <w:t>"</w:t>
      </w:r>
      <w:r w:rsidR="00021F58">
        <w:rPr>
          <w:rFonts w:ascii="Times New Roman" w:hAnsi="Times New Roman" w:cs="Times New Roman"/>
          <w:color w:val="000000"/>
          <w:sz w:val="24"/>
          <w:szCs w:val="24"/>
          <w:lang w:val="en-US"/>
        </w:rPr>
        <w:t>.</w:t>
      </w:r>
    </w:p>
    <w:p w:rsidR="00021F58" w:rsidRDefault="00021F58" w:rsidP="00F052F6">
      <w:pPr>
        <w:jc w:val="both"/>
        <w:rPr>
          <w:rFonts w:ascii="Times New Roman" w:hAnsi="Times New Roman" w:cs="Times New Roman"/>
          <w:color w:val="000000"/>
          <w:sz w:val="24"/>
          <w:szCs w:val="24"/>
          <w:lang w:val="en-US"/>
        </w:rPr>
      </w:pPr>
      <w:r w:rsidRPr="00021F58">
        <w:rPr>
          <w:rFonts w:ascii="Times New Roman" w:hAnsi="Times New Roman" w:cs="Times New Roman"/>
          <w:color w:val="000000"/>
          <w:sz w:val="24"/>
          <w:szCs w:val="24"/>
          <w:lang w:val="en-US"/>
        </w:rPr>
        <w:lastRenderedPageBreak/>
        <w:t>In its turn, the defendant denied the existence of contractual relations between the parties and did not refute the fact that he provided poor-quality dental services to the applicant.</w:t>
      </w:r>
    </w:p>
    <w:p w:rsidR="00B376E8" w:rsidRDefault="00B376E8" w:rsidP="00B376E8">
      <w:pPr>
        <w:jc w:val="both"/>
        <w:rPr>
          <w:rFonts w:ascii="Times New Roman" w:hAnsi="Times New Roman" w:cs="Times New Roman"/>
          <w:color w:val="000000"/>
          <w:sz w:val="24"/>
          <w:szCs w:val="24"/>
          <w:lang w:val="en-US" w:eastAsia="uk-UA"/>
        </w:rPr>
      </w:pPr>
      <w:r w:rsidRPr="00B376E8">
        <w:rPr>
          <w:rFonts w:ascii="Times New Roman" w:hAnsi="Times New Roman" w:cs="Times New Roman"/>
          <w:i/>
          <w:color w:val="000000"/>
          <w:sz w:val="24"/>
          <w:szCs w:val="24"/>
          <w:lang w:val="en-US"/>
        </w:rPr>
        <w:t>The claim was dismissed by the decision of the Ivano-Frankivsk City Court of Ivano-Fra</w:t>
      </w:r>
      <w:r>
        <w:rPr>
          <w:rFonts w:ascii="Times New Roman" w:hAnsi="Times New Roman" w:cs="Times New Roman"/>
          <w:i/>
          <w:color w:val="000000"/>
          <w:sz w:val="24"/>
          <w:szCs w:val="24"/>
          <w:lang w:val="en-US"/>
        </w:rPr>
        <w:t>nkivsk Region on 5 October 2021</w:t>
      </w:r>
      <w:r w:rsidRPr="00B376E8">
        <w:rPr>
          <w:rStyle w:val="a5"/>
          <w:rFonts w:ascii="Times New Roman" w:hAnsi="Times New Roman" w:cs="Times New Roman"/>
          <w:i/>
          <w:color w:val="000000"/>
          <w:sz w:val="24"/>
          <w:szCs w:val="24"/>
          <w:lang w:eastAsia="uk-UA"/>
        </w:rPr>
        <w:footnoteReference w:id="27"/>
      </w:r>
      <w:r w:rsidRPr="00B376E8">
        <w:rPr>
          <w:rFonts w:ascii="Times New Roman" w:hAnsi="Times New Roman" w:cs="Times New Roman"/>
          <w:i/>
          <w:color w:val="000000"/>
          <w:sz w:val="24"/>
          <w:szCs w:val="24"/>
          <w:lang w:val="en-US" w:eastAsia="uk-UA"/>
        </w:rPr>
        <w:t>.</w:t>
      </w:r>
      <w:r w:rsidRPr="00B376E8">
        <w:rPr>
          <w:rFonts w:ascii="Times New Roman" w:hAnsi="Times New Roman" w:cs="Times New Roman"/>
          <w:color w:val="000000"/>
          <w:sz w:val="24"/>
          <w:szCs w:val="24"/>
          <w:lang w:val="en-US" w:eastAsia="uk-UA"/>
        </w:rPr>
        <w:t xml:space="preserve"> </w:t>
      </w:r>
    </w:p>
    <w:p w:rsidR="00B376E8" w:rsidRDefault="00B376E8" w:rsidP="00B376E8">
      <w:pPr>
        <w:jc w:val="both"/>
        <w:rPr>
          <w:rFonts w:ascii="Times New Roman" w:hAnsi="Times New Roman" w:cs="Times New Roman"/>
          <w:color w:val="000000"/>
          <w:sz w:val="24"/>
          <w:szCs w:val="24"/>
          <w:lang w:val="en-US"/>
        </w:rPr>
      </w:pPr>
      <w:r w:rsidRPr="00B376E8">
        <w:rPr>
          <w:rFonts w:ascii="Times New Roman" w:hAnsi="Times New Roman" w:cs="Times New Roman"/>
          <w:color w:val="000000"/>
          <w:sz w:val="24"/>
          <w:szCs w:val="24"/>
          <w:lang w:val="en-US"/>
        </w:rPr>
        <w:t>In dismissing the claim, the court of first instance proceeded from the fact that the applicant had not proved that the defendant had provided her with poor quality dental and prosthetic services, their cost, the fact of payment, and had not proved the causal link between the defendant's actions and the damage caused to her.</w:t>
      </w:r>
      <w:r>
        <w:rPr>
          <w:rFonts w:ascii="Times New Roman" w:hAnsi="Times New Roman" w:cs="Times New Roman"/>
          <w:color w:val="000000"/>
          <w:sz w:val="24"/>
          <w:szCs w:val="24"/>
          <w:lang w:val="en-US"/>
        </w:rPr>
        <w:t xml:space="preserve"> </w:t>
      </w:r>
      <w:r w:rsidRPr="00B376E8">
        <w:rPr>
          <w:rFonts w:ascii="Times New Roman" w:hAnsi="Times New Roman" w:cs="Times New Roman"/>
          <w:color w:val="000000"/>
          <w:sz w:val="24"/>
          <w:szCs w:val="24"/>
          <w:lang w:val="en-US"/>
        </w:rPr>
        <w:t>From the evidence examined at the court hearing, it is impossible to establish the person who caused the applicant's damage and, accordingly, the causal link between the unlawful behaviour of such a person and the damage caused to the applicant. At the same time, the court considered that the fact of payment for services could not be confirmed by witnesses' testimonies and screenshots of the phone screen showing the correspondence between the applicant and the defendant.</w:t>
      </w:r>
    </w:p>
    <w:p w:rsidR="00FA20FE" w:rsidRDefault="00FA20FE" w:rsidP="00FA20FE">
      <w:pPr>
        <w:jc w:val="both"/>
        <w:rPr>
          <w:rFonts w:ascii="Times New Roman" w:hAnsi="Times New Roman" w:cs="Times New Roman"/>
          <w:color w:val="000000"/>
          <w:sz w:val="24"/>
          <w:szCs w:val="24"/>
          <w:lang w:val="en-US" w:eastAsia="uk-UA"/>
        </w:rPr>
      </w:pPr>
      <w:r w:rsidRPr="00FA20FE">
        <w:rPr>
          <w:rFonts w:ascii="Times New Roman" w:hAnsi="Times New Roman" w:cs="Times New Roman"/>
          <w:i/>
          <w:color w:val="000000"/>
          <w:sz w:val="24"/>
          <w:szCs w:val="24"/>
          <w:lang w:val="en-US"/>
        </w:rPr>
        <w:t>On 11 January 2022, the Ivano-Frankivsk Court of Appeal overturned the decision of the first instance and issued a new decision, whic</w:t>
      </w:r>
      <w:r>
        <w:rPr>
          <w:rFonts w:ascii="Times New Roman" w:hAnsi="Times New Roman" w:cs="Times New Roman"/>
          <w:i/>
          <w:color w:val="000000"/>
          <w:sz w:val="24"/>
          <w:szCs w:val="24"/>
          <w:lang w:val="en-US"/>
        </w:rPr>
        <w:t>h partially satisfied the claim</w:t>
      </w:r>
      <w:r w:rsidRPr="00FA20FE">
        <w:rPr>
          <w:rStyle w:val="a5"/>
          <w:rFonts w:ascii="Times New Roman" w:hAnsi="Times New Roman" w:cs="Times New Roman"/>
          <w:i/>
          <w:color w:val="000000"/>
          <w:sz w:val="24"/>
          <w:szCs w:val="24"/>
          <w:lang w:eastAsia="uk-UA"/>
        </w:rPr>
        <w:footnoteReference w:id="28"/>
      </w:r>
      <w:r w:rsidRPr="00FA20FE">
        <w:rPr>
          <w:rFonts w:ascii="Times New Roman" w:hAnsi="Times New Roman" w:cs="Times New Roman"/>
          <w:i/>
          <w:color w:val="000000"/>
          <w:sz w:val="24"/>
          <w:szCs w:val="24"/>
          <w:lang w:val="en-US" w:eastAsia="uk-UA"/>
        </w:rPr>
        <w:t>.</w:t>
      </w:r>
      <w:r w:rsidR="007A270B">
        <w:rPr>
          <w:rFonts w:ascii="Times New Roman" w:hAnsi="Times New Roman" w:cs="Times New Roman"/>
          <w:i/>
          <w:color w:val="000000"/>
          <w:sz w:val="24"/>
          <w:szCs w:val="24"/>
          <w:lang w:val="en-US" w:eastAsia="uk-UA"/>
        </w:rPr>
        <w:t xml:space="preserve"> </w:t>
      </w:r>
      <w:r w:rsidR="007A270B" w:rsidRPr="007A270B">
        <w:rPr>
          <w:rFonts w:ascii="Times New Roman" w:hAnsi="Times New Roman" w:cs="Times New Roman"/>
          <w:color w:val="000000"/>
          <w:sz w:val="24"/>
          <w:szCs w:val="24"/>
          <w:lang w:val="en-US" w:eastAsia="uk-UA"/>
        </w:rPr>
        <w:t xml:space="preserve">64,730 UAH of pecuniary and 10,000 UAH of non-pecuniary damages were recovered from the defendant in favour of the applicant. This amount of pecuniary damage was correlated with the prices set by </w:t>
      </w:r>
      <w:r w:rsidR="007A270B" w:rsidRPr="00332FB5">
        <w:rPr>
          <w:rFonts w:ascii="Times New Roman" w:hAnsi="Times New Roman" w:cs="Times New Roman"/>
          <w:color w:val="000000"/>
          <w:sz w:val="24"/>
          <w:szCs w:val="24"/>
          <w:lang w:val="uk-UA"/>
        </w:rPr>
        <w:t>"Lichnytsia Tkachuka"</w:t>
      </w:r>
      <w:r w:rsidR="007A270B">
        <w:rPr>
          <w:rFonts w:ascii="Times New Roman" w:hAnsi="Times New Roman" w:cs="Times New Roman"/>
          <w:color w:val="000000"/>
          <w:sz w:val="24"/>
          <w:szCs w:val="24"/>
          <w:lang w:val="en-US"/>
        </w:rPr>
        <w:t xml:space="preserve"> (</w:t>
      </w:r>
      <w:r w:rsidR="007A270B" w:rsidRPr="00332FB5">
        <w:rPr>
          <w:rFonts w:ascii="Times New Roman" w:hAnsi="Times New Roman" w:cs="Times New Roman"/>
          <w:color w:val="000000"/>
          <w:sz w:val="24"/>
          <w:szCs w:val="24"/>
          <w:lang w:val="uk-UA"/>
        </w:rPr>
        <w:t>"</w:t>
      </w:r>
      <w:r w:rsidR="007A270B">
        <w:rPr>
          <w:rFonts w:ascii="Times New Roman" w:hAnsi="Times New Roman" w:cs="Times New Roman"/>
          <w:color w:val="000000"/>
          <w:sz w:val="24"/>
          <w:szCs w:val="24"/>
          <w:lang w:val="uk-UA"/>
        </w:rPr>
        <w:t>Tkachuk</w:t>
      </w:r>
      <w:r w:rsidR="007A270B" w:rsidRPr="00332FB5">
        <w:rPr>
          <w:rFonts w:ascii="Times New Roman" w:hAnsi="Times New Roman" w:cs="Times New Roman"/>
          <w:color w:val="000000"/>
          <w:sz w:val="24"/>
          <w:szCs w:val="24"/>
          <w:lang w:val="uk-UA"/>
        </w:rPr>
        <w:t>'s medicine cabinet"</w:t>
      </w:r>
      <w:r w:rsidR="007A270B">
        <w:rPr>
          <w:rFonts w:ascii="Times New Roman" w:hAnsi="Times New Roman" w:cs="Times New Roman"/>
          <w:color w:val="000000"/>
          <w:sz w:val="24"/>
          <w:szCs w:val="24"/>
          <w:lang w:val="en-US"/>
        </w:rPr>
        <w:t>)</w:t>
      </w:r>
      <w:r w:rsidR="007A270B" w:rsidRPr="00332FB5">
        <w:rPr>
          <w:rFonts w:ascii="Times New Roman" w:hAnsi="Times New Roman" w:cs="Times New Roman"/>
          <w:color w:val="000000"/>
          <w:sz w:val="24"/>
          <w:szCs w:val="24"/>
          <w:lang w:val="uk-UA"/>
        </w:rPr>
        <w:t xml:space="preserve"> </w:t>
      </w:r>
      <w:r w:rsidR="007A270B" w:rsidRPr="007A270B">
        <w:rPr>
          <w:rFonts w:ascii="Times New Roman" w:hAnsi="Times New Roman" w:cs="Times New Roman"/>
          <w:color w:val="000000"/>
          <w:sz w:val="24"/>
          <w:szCs w:val="24"/>
          <w:lang w:val="en-US" w:eastAsia="uk-UA"/>
        </w:rPr>
        <w:t>in accordance with the clinic's price list.</w:t>
      </w:r>
      <w:r w:rsidR="00EC6AE5">
        <w:rPr>
          <w:rFonts w:ascii="Times New Roman" w:hAnsi="Times New Roman" w:cs="Times New Roman"/>
          <w:color w:val="000000"/>
          <w:sz w:val="24"/>
          <w:szCs w:val="24"/>
          <w:lang w:val="en-US" w:eastAsia="uk-UA"/>
        </w:rPr>
        <w:t xml:space="preserve"> </w:t>
      </w:r>
      <w:r w:rsidR="00EC6AE5" w:rsidRPr="00EC6AE5">
        <w:rPr>
          <w:rFonts w:ascii="Times New Roman" w:hAnsi="Times New Roman" w:cs="Times New Roman"/>
          <w:color w:val="000000"/>
          <w:sz w:val="24"/>
          <w:szCs w:val="24"/>
          <w:lang w:val="en-US" w:eastAsia="uk-UA"/>
        </w:rPr>
        <w:t>In determining the amount of non-pecuniary damage, the court proceeded from the fact that the defendant did not refute the presumption of his guilt in the negative consequences of the applicant's health deterioration and was guided by the principles of reasonableness, deliberation and fairness. In addition, the defendant was ordered to pay the court fee and legal aid costs. According to the Court of Appeal, on the merits of the dispute, the parties had a contractual relationship, which is confirmed by witnesses' testimonies and screenshots of the phone screen showing the correspondence between the applicant and the defendant.</w:t>
      </w:r>
    </w:p>
    <w:p w:rsidR="00EC6AE5" w:rsidRDefault="00EC6AE5" w:rsidP="00EC6AE5">
      <w:pPr>
        <w:jc w:val="both"/>
        <w:rPr>
          <w:rFonts w:ascii="Times New Roman" w:hAnsi="Times New Roman" w:cs="Times New Roman"/>
          <w:color w:val="000000"/>
          <w:sz w:val="24"/>
          <w:szCs w:val="24"/>
          <w:lang w:val="en-US"/>
        </w:rPr>
      </w:pPr>
      <w:r w:rsidRPr="00EC6AE5">
        <w:rPr>
          <w:rFonts w:ascii="Times New Roman" w:hAnsi="Times New Roman" w:cs="Times New Roman"/>
          <w:i/>
          <w:color w:val="000000"/>
          <w:sz w:val="24"/>
          <w:szCs w:val="24"/>
          <w:lang w:val="en-US"/>
        </w:rPr>
        <w:t xml:space="preserve">On 30 November 2022, the Supreme Court dismissed the cassation appeal and upheld the decision of the </w:t>
      </w:r>
      <w:r>
        <w:rPr>
          <w:rFonts w:ascii="Times New Roman" w:hAnsi="Times New Roman" w:cs="Times New Roman"/>
          <w:i/>
          <w:color w:val="000000"/>
          <w:sz w:val="24"/>
          <w:szCs w:val="24"/>
          <w:lang w:val="en-US"/>
        </w:rPr>
        <w:t>Ivano-Frankivsk Court of Appeal</w:t>
      </w:r>
      <w:r w:rsidRPr="00EC6AE5">
        <w:rPr>
          <w:rStyle w:val="a5"/>
          <w:rFonts w:ascii="Times New Roman" w:hAnsi="Times New Roman" w:cs="Times New Roman"/>
          <w:i/>
          <w:color w:val="000000"/>
          <w:sz w:val="24"/>
          <w:szCs w:val="24"/>
        </w:rPr>
        <w:footnoteReference w:id="29"/>
      </w:r>
      <w:r w:rsidRPr="00EC6AE5">
        <w:rPr>
          <w:rFonts w:ascii="Times New Roman" w:hAnsi="Times New Roman" w:cs="Times New Roman"/>
          <w:i/>
          <w:color w:val="000000"/>
          <w:sz w:val="24"/>
          <w:szCs w:val="24"/>
          <w:lang w:val="en-US"/>
        </w:rPr>
        <w:t>.</w:t>
      </w:r>
      <w:r w:rsidRPr="00EC6AE5">
        <w:rPr>
          <w:rFonts w:ascii="Times New Roman" w:hAnsi="Times New Roman" w:cs="Times New Roman"/>
          <w:color w:val="000000"/>
          <w:sz w:val="24"/>
          <w:szCs w:val="24"/>
          <w:lang w:val="en-US"/>
        </w:rPr>
        <w:t xml:space="preserve"> </w:t>
      </w:r>
    </w:p>
    <w:p w:rsidR="00EC6AE5" w:rsidRDefault="00EC6AE5" w:rsidP="00EC6AE5">
      <w:pPr>
        <w:jc w:val="both"/>
        <w:rPr>
          <w:rFonts w:ascii="Times New Roman" w:hAnsi="Times New Roman" w:cs="Times New Roman"/>
          <w:color w:val="000000"/>
          <w:sz w:val="24"/>
          <w:szCs w:val="24"/>
          <w:lang w:val="en-US"/>
        </w:rPr>
      </w:pPr>
      <w:r w:rsidRPr="00EC6AE5">
        <w:rPr>
          <w:rFonts w:ascii="Times New Roman" w:hAnsi="Times New Roman" w:cs="Times New Roman"/>
          <w:color w:val="000000"/>
          <w:sz w:val="24"/>
          <w:szCs w:val="24"/>
          <w:lang w:val="en-US"/>
        </w:rPr>
        <w:t>The court noted that in the case under review, the subject of the dispute is compensation for pecuniary damage and non-pecuniary damage for the improper provision of medical services, which involves a set of necessary, sufficient, bona fide, appropriate professional actions of a medical professional (contractor) aimed at meeting the needs of the patient (customer, consumer of services). Failure to provide or improper provision of medical care may result in injury, other damage to health, pecuniary or non-pecuniary damage, which will trigger the tort mechanism.</w:t>
      </w:r>
      <w:r w:rsidR="00916723">
        <w:rPr>
          <w:rFonts w:ascii="Times New Roman" w:hAnsi="Times New Roman" w:cs="Times New Roman"/>
          <w:color w:val="000000"/>
          <w:sz w:val="24"/>
          <w:szCs w:val="24"/>
          <w:lang w:val="en-US"/>
        </w:rPr>
        <w:t xml:space="preserve"> </w:t>
      </w:r>
      <w:r w:rsidR="00916723" w:rsidRPr="00916723">
        <w:rPr>
          <w:rFonts w:ascii="Times New Roman" w:hAnsi="Times New Roman" w:cs="Times New Roman"/>
          <w:color w:val="000000"/>
          <w:sz w:val="24"/>
          <w:szCs w:val="24"/>
          <w:lang w:val="en-US"/>
        </w:rPr>
        <w:t xml:space="preserve">Damages caused to the customer by non-performance or improper performance of the agreement for the provision of services for a fee shall be reimbursed by the contractor, if the contractor is at fault, in full, unless otherwise provided by the agreement. A contractor who has breached a fee-for-service agreement in the course of carrying out its business activities is liable for this breach </w:t>
      </w:r>
      <w:r w:rsidR="00916723" w:rsidRPr="00916723">
        <w:rPr>
          <w:rFonts w:ascii="Times New Roman" w:hAnsi="Times New Roman" w:cs="Times New Roman"/>
          <w:color w:val="000000"/>
          <w:sz w:val="24"/>
          <w:szCs w:val="24"/>
          <w:lang w:val="en-US"/>
        </w:rPr>
        <w:lastRenderedPageBreak/>
        <w:t>unless it proves that proper performance was impossible due to force majeure, unless otherwise provided by the agreement or law (Article 906</w:t>
      </w:r>
      <w:r w:rsidR="00916723">
        <w:rPr>
          <w:rFonts w:ascii="Times New Roman" w:hAnsi="Times New Roman" w:cs="Times New Roman"/>
          <w:color w:val="000000"/>
          <w:sz w:val="24"/>
          <w:szCs w:val="24"/>
          <w:lang w:val="en-US"/>
        </w:rPr>
        <w:t xml:space="preserve"> </w:t>
      </w:r>
      <w:r w:rsidR="00916723" w:rsidRPr="00916723">
        <w:rPr>
          <w:rFonts w:ascii="Times New Roman" w:hAnsi="Times New Roman" w:cs="Times New Roman"/>
          <w:color w:val="000000"/>
          <w:sz w:val="24"/>
          <w:szCs w:val="24"/>
          <w:lang w:val="en-US"/>
        </w:rPr>
        <w:t>(1) of the Civil Code of Ukraine).</w:t>
      </w:r>
    </w:p>
    <w:p w:rsidR="00916723" w:rsidRDefault="00916723" w:rsidP="00EC6AE5">
      <w:pPr>
        <w:jc w:val="both"/>
        <w:rPr>
          <w:rFonts w:ascii="Times New Roman" w:hAnsi="Times New Roman" w:cs="Times New Roman"/>
          <w:color w:val="000000"/>
          <w:sz w:val="24"/>
          <w:szCs w:val="24"/>
          <w:lang w:val="en-US"/>
        </w:rPr>
      </w:pPr>
      <w:r w:rsidRPr="00916723">
        <w:rPr>
          <w:rFonts w:ascii="Times New Roman" w:hAnsi="Times New Roman" w:cs="Times New Roman"/>
          <w:i/>
          <w:color w:val="000000"/>
          <w:sz w:val="24"/>
          <w:szCs w:val="24"/>
          <w:lang w:val="en-US"/>
        </w:rPr>
        <w:t>Regarding causation.</w:t>
      </w:r>
      <w:r w:rsidRPr="00916723">
        <w:rPr>
          <w:rFonts w:ascii="Times New Roman" w:hAnsi="Times New Roman" w:cs="Times New Roman"/>
          <w:color w:val="000000"/>
          <w:sz w:val="24"/>
          <w:szCs w:val="24"/>
          <w:lang w:val="en-US"/>
        </w:rPr>
        <w:t xml:space="preserve"> The Court noted that if a patient suffers harm and claims that it is the result of the responsible person's failure to fulfil the duty of professionalism and care, the failure to fulfil the duty of professionalism and care, as well as the causal link between this breach and the resulting harm, are presumed.</w:t>
      </w:r>
      <w:r w:rsidR="001C584F">
        <w:rPr>
          <w:rFonts w:ascii="Times New Roman" w:hAnsi="Times New Roman" w:cs="Times New Roman"/>
          <w:color w:val="000000"/>
          <w:sz w:val="24"/>
          <w:szCs w:val="24"/>
          <w:lang w:val="en-US"/>
        </w:rPr>
        <w:t xml:space="preserve"> </w:t>
      </w:r>
      <w:r w:rsidR="001C584F" w:rsidRPr="001C584F">
        <w:rPr>
          <w:rFonts w:ascii="Times New Roman" w:hAnsi="Times New Roman" w:cs="Times New Roman"/>
          <w:color w:val="000000"/>
          <w:sz w:val="24"/>
          <w:szCs w:val="24"/>
          <w:lang w:val="en-US"/>
        </w:rPr>
        <w:t>The impossibility of establishing a causal link "with the emergence of complaints after the provision of dental treatment and prosthetics due to the lack of primary medical documentation" was indicated in the conclusion of the commission forensic medical examination, which was appointed by a court order.</w:t>
      </w:r>
    </w:p>
    <w:p w:rsidR="001C584F" w:rsidRDefault="001C584F" w:rsidP="00EC6AE5">
      <w:pPr>
        <w:jc w:val="both"/>
        <w:rPr>
          <w:rFonts w:ascii="Times New Roman" w:hAnsi="Times New Roman" w:cs="Times New Roman"/>
          <w:color w:val="000000"/>
          <w:sz w:val="24"/>
          <w:szCs w:val="24"/>
          <w:lang w:val="en-US"/>
        </w:rPr>
      </w:pPr>
      <w:r w:rsidRPr="001C584F">
        <w:rPr>
          <w:rFonts w:ascii="Times New Roman" w:hAnsi="Times New Roman" w:cs="Times New Roman"/>
          <w:i/>
          <w:color w:val="000000"/>
          <w:sz w:val="24"/>
          <w:szCs w:val="24"/>
          <w:lang w:val="en-US"/>
        </w:rPr>
        <w:t>Regarding medical records.</w:t>
      </w:r>
      <w:r w:rsidRPr="001C584F">
        <w:rPr>
          <w:rFonts w:ascii="Times New Roman" w:hAnsi="Times New Roman" w:cs="Times New Roman"/>
          <w:color w:val="000000"/>
          <w:sz w:val="24"/>
          <w:szCs w:val="24"/>
          <w:lang w:val="en-US"/>
        </w:rPr>
        <w:t xml:space="preserve"> The court stated that, taking into account the principle of reasonableness, it is obvious that the provider of medical services is obliged to maintain appropriate medical records of treatment. According to Art. 39 of the Law of Ukraine "Fundamentals of the Legislation of Ukraine on Health Care", a patient who has reached the age of majority has the right to receive reliable and complete information about his or her health, including to review relevant medical documents relating to his or her health. Such documentation should include, in particular, information collected as a result of previous conversations with the patient, research or consultations, information about the patient's consent and information related to the services provided.</w:t>
      </w:r>
    </w:p>
    <w:p w:rsidR="001C584F" w:rsidRDefault="001C584F" w:rsidP="00EC6AE5">
      <w:pPr>
        <w:jc w:val="both"/>
        <w:rPr>
          <w:rFonts w:ascii="Times New Roman" w:hAnsi="Times New Roman" w:cs="Times New Roman"/>
          <w:color w:val="000000"/>
          <w:sz w:val="24"/>
          <w:szCs w:val="24"/>
          <w:lang w:val="en-US"/>
        </w:rPr>
      </w:pPr>
      <w:r w:rsidRPr="001C584F">
        <w:rPr>
          <w:rFonts w:ascii="Times New Roman" w:hAnsi="Times New Roman" w:cs="Times New Roman"/>
          <w:i/>
          <w:color w:val="000000"/>
          <w:sz w:val="24"/>
          <w:szCs w:val="24"/>
          <w:lang w:val="en-US"/>
        </w:rPr>
        <w:t>Regarding contractual legal relations.</w:t>
      </w:r>
      <w:r w:rsidRPr="001C584F">
        <w:rPr>
          <w:rFonts w:ascii="Times New Roman" w:hAnsi="Times New Roman" w:cs="Times New Roman"/>
          <w:color w:val="000000"/>
          <w:sz w:val="24"/>
          <w:szCs w:val="24"/>
          <w:lang w:val="en-US"/>
        </w:rPr>
        <w:t xml:space="preserve"> The court noted that if the parties have not concluded a transaction in writing and one of the parties denies the fact of its conclusion, the party seeking to prove the fact of the transaction (agreement) may do so with the help of written evidence, audio, video recording and other evidence. Evidence is any data on the basis of which the court establishes the presence or absence of circumstances (facts) substantiating the claims and objections of the parties to the case, and other circumstances relevant to the resolution of the case.</w:t>
      </w:r>
      <w:r>
        <w:rPr>
          <w:rFonts w:ascii="Times New Roman" w:hAnsi="Times New Roman" w:cs="Times New Roman"/>
          <w:color w:val="000000"/>
          <w:sz w:val="24"/>
          <w:szCs w:val="24"/>
          <w:lang w:val="en-US"/>
        </w:rPr>
        <w:t xml:space="preserve"> </w:t>
      </w:r>
      <w:r w:rsidRPr="001C584F">
        <w:rPr>
          <w:rFonts w:ascii="Times New Roman" w:hAnsi="Times New Roman" w:cs="Times New Roman"/>
          <w:color w:val="000000"/>
          <w:sz w:val="24"/>
          <w:szCs w:val="24"/>
          <w:lang w:val="en-US"/>
        </w:rPr>
        <w:t>The court's decision cannot be based on the testimony of witnesses. Since the defendant denied the fact that it had a contractual relationship with the applicant (patient), it was the defendant who was obliged to prove the absence of such a relationship by means of evidence (written evidence, audio and video recording, etc.).</w:t>
      </w:r>
    </w:p>
    <w:p w:rsidR="001C584F" w:rsidRDefault="001C584F" w:rsidP="00EC6AE5">
      <w:pPr>
        <w:jc w:val="both"/>
        <w:rPr>
          <w:rFonts w:ascii="Times New Roman" w:hAnsi="Times New Roman" w:cs="Times New Roman"/>
          <w:color w:val="000000"/>
          <w:sz w:val="24"/>
          <w:szCs w:val="24"/>
          <w:lang w:val="en-US"/>
        </w:rPr>
      </w:pPr>
      <w:r w:rsidRPr="002015F2">
        <w:rPr>
          <w:rFonts w:ascii="Times New Roman" w:hAnsi="Times New Roman" w:cs="Times New Roman"/>
          <w:i/>
          <w:color w:val="000000"/>
          <w:sz w:val="24"/>
          <w:szCs w:val="24"/>
          <w:lang w:val="en-US"/>
        </w:rPr>
        <w:t>Regarding the specifics of the burden of proof in such cases.</w:t>
      </w:r>
      <w:r w:rsidRPr="001C584F">
        <w:rPr>
          <w:rFonts w:ascii="Times New Roman" w:hAnsi="Times New Roman" w:cs="Times New Roman"/>
          <w:color w:val="000000"/>
          <w:sz w:val="24"/>
          <w:szCs w:val="24"/>
          <w:lang w:val="en-US"/>
        </w:rPr>
        <w:t xml:space="preserve"> The court noted that patients cannot be expected and required to have precise medical knowledge. They do not have an accurate understanding of the treatment processes and the necessary qualifications to analyse and provide the circumstances of the case in dispute. In order to properly participate in civil proceedings, a party does not need to have professional medical knowledge. In this regard, a party to the proceedings who is a patient has the right to limit him/herself to a report that will allow to assume violations on the part of the medical staff due to the consequences that have occurred for the patient.</w:t>
      </w:r>
      <w:r w:rsidR="002015F2">
        <w:rPr>
          <w:rFonts w:ascii="Times New Roman" w:hAnsi="Times New Roman" w:cs="Times New Roman"/>
          <w:color w:val="000000"/>
          <w:sz w:val="24"/>
          <w:szCs w:val="24"/>
          <w:lang w:val="en-US"/>
        </w:rPr>
        <w:t xml:space="preserve"> </w:t>
      </w:r>
      <w:r w:rsidR="002015F2" w:rsidRPr="002015F2">
        <w:rPr>
          <w:rFonts w:ascii="Times New Roman" w:hAnsi="Times New Roman" w:cs="Times New Roman"/>
          <w:color w:val="000000"/>
          <w:sz w:val="24"/>
          <w:szCs w:val="24"/>
          <w:lang w:val="en-US"/>
        </w:rPr>
        <w:t>Therefore, taking into account the principle of reasonableness, a patient who has applied to the court for protection of violated rights, which consist in causing damage to health, should only point out the violation, and then the burden of proof is on the medical institution or doctor. At the same time, this does not lead to a violation of the principle of discretionary judicial process, but rather serves to ensure procedural equality of the parties.</w:t>
      </w:r>
    </w:p>
    <w:p w:rsidR="002015F2" w:rsidRDefault="002015F2" w:rsidP="00EC6AE5">
      <w:pPr>
        <w:jc w:val="both"/>
        <w:rPr>
          <w:rFonts w:ascii="Times New Roman" w:hAnsi="Times New Roman" w:cs="Times New Roman"/>
          <w:color w:val="000000"/>
          <w:sz w:val="24"/>
          <w:szCs w:val="24"/>
          <w:lang w:val="en-US"/>
        </w:rPr>
      </w:pPr>
      <w:r w:rsidRPr="002015F2">
        <w:rPr>
          <w:rFonts w:ascii="Times New Roman" w:hAnsi="Times New Roman" w:cs="Times New Roman"/>
          <w:i/>
          <w:color w:val="000000"/>
          <w:sz w:val="24"/>
          <w:szCs w:val="24"/>
          <w:lang w:val="en-US"/>
        </w:rPr>
        <w:t>Regarding contradictory judicial practice.</w:t>
      </w:r>
      <w:r w:rsidRPr="002015F2">
        <w:rPr>
          <w:rFonts w:ascii="Times New Roman" w:hAnsi="Times New Roman" w:cs="Times New Roman"/>
          <w:color w:val="000000"/>
          <w:sz w:val="24"/>
          <w:szCs w:val="24"/>
          <w:lang w:val="en-US"/>
        </w:rPr>
        <w:t xml:space="preserve"> The court found the cassation appeal's arguments that the conclusion of the court of appeal contradicts the legal position of the Supreme Court set out in the resolutions (a list of resolutions was provided) to be unfounded, since the legal relations in the said cases and the case under review are not similar, and the factual circumstances in these cases are different from the circumstances in the case under review, therefore the conclusions on the consideration of the cases are different.</w:t>
      </w:r>
      <w:r w:rsidR="00042298">
        <w:rPr>
          <w:rFonts w:ascii="Times New Roman" w:hAnsi="Times New Roman" w:cs="Times New Roman"/>
          <w:color w:val="000000"/>
          <w:sz w:val="24"/>
          <w:szCs w:val="24"/>
          <w:lang w:val="en-US"/>
        </w:rPr>
        <w:t xml:space="preserve"> </w:t>
      </w:r>
      <w:r w:rsidR="00042298" w:rsidRPr="00042298">
        <w:rPr>
          <w:rFonts w:ascii="Times New Roman" w:hAnsi="Times New Roman" w:cs="Times New Roman"/>
          <w:color w:val="000000"/>
          <w:sz w:val="24"/>
          <w:szCs w:val="24"/>
          <w:lang w:val="en-US"/>
        </w:rPr>
        <w:t xml:space="preserve">The court emphasised that similarity of </w:t>
      </w:r>
      <w:r w:rsidR="00042298" w:rsidRPr="00042298">
        <w:rPr>
          <w:rFonts w:ascii="Times New Roman" w:hAnsi="Times New Roman" w:cs="Times New Roman"/>
          <w:color w:val="000000"/>
          <w:sz w:val="24"/>
          <w:szCs w:val="24"/>
          <w:lang w:val="en-US"/>
        </w:rPr>
        <w:lastRenderedPageBreak/>
        <w:t>legal relations means, in particular, the identity of the object and subject of legal regulation, as well as the conditions for application of legal norms. The content of legal relations for the purpose of determining their similarity in different decisions of the court of cassation is determined by the circumstances of each particular case. Thus, the Supreme Court introduces a practice when in the text of the resolution it demonstrates the differences between the case under consideration and the case in which a certain conclusion was previously formulated and does so in order to make it clear why different decisions were made.</w:t>
      </w:r>
    </w:p>
    <w:p w:rsidR="00042298" w:rsidRDefault="00042298" w:rsidP="0086299B">
      <w:pPr>
        <w:jc w:val="both"/>
        <w:rPr>
          <w:rFonts w:ascii="Times New Roman" w:hAnsi="Times New Roman" w:cs="Times New Roman"/>
          <w:color w:val="000000"/>
          <w:sz w:val="24"/>
          <w:szCs w:val="24"/>
          <w:lang w:val="en-US"/>
        </w:rPr>
      </w:pPr>
      <w:r w:rsidRPr="00042298">
        <w:rPr>
          <w:rFonts w:ascii="Times New Roman" w:hAnsi="Times New Roman" w:cs="Times New Roman"/>
          <w:color w:val="000000"/>
          <w:sz w:val="24"/>
          <w:szCs w:val="24"/>
          <w:lang w:val="en-US"/>
        </w:rPr>
        <w:t>Vasyl Krat, judge of the Civil Court of Cassation of the Supreme Court, drew attention to certain aspects faced by courts when considering cases on the provision of medical services at the scientific and practical conference dedicated to the 30th anniversary of the adoption of the Law of Ukraine "Fundamentals of Healthcare Legisla</w:t>
      </w:r>
      <w:r w:rsidR="0086299B">
        <w:rPr>
          <w:rFonts w:ascii="Times New Roman" w:hAnsi="Times New Roman" w:cs="Times New Roman"/>
          <w:color w:val="000000"/>
          <w:sz w:val="24"/>
          <w:szCs w:val="24"/>
          <w:lang w:val="en-US"/>
        </w:rPr>
        <w:t>tion of Ukraine"</w:t>
      </w:r>
      <w:r w:rsidR="0086299B" w:rsidRPr="0086299B">
        <w:rPr>
          <w:rStyle w:val="a5"/>
          <w:rFonts w:ascii="Times New Roman" w:hAnsi="Times New Roman" w:cs="Times New Roman"/>
          <w:color w:val="000000"/>
          <w:sz w:val="24"/>
          <w:szCs w:val="24"/>
        </w:rPr>
        <w:footnoteReference w:id="30"/>
      </w:r>
      <w:r w:rsidR="0086299B" w:rsidRPr="0086299B">
        <w:rPr>
          <w:rFonts w:ascii="Times New Roman" w:hAnsi="Times New Roman" w:cs="Times New Roman"/>
          <w:color w:val="000000"/>
          <w:sz w:val="24"/>
          <w:szCs w:val="24"/>
          <w:lang w:val="en-US"/>
        </w:rPr>
        <w:t>.</w:t>
      </w:r>
      <w:r w:rsidR="0086299B">
        <w:rPr>
          <w:rFonts w:ascii="Times New Roman" w:hAnsi="Times New Roman" w:cs="Times New Roman"/>
          <w:color w:val="000000"/>
          <w:sz w:val="24"/>
          <w:szCs w:val="24"/>
          <w:lang w:val="en-US"/>
        </w:rPr>
        <w:t xml:space="preserve"> </w:t>
      </w:r>
      <w:r w:rsidR="0086299B" w:rsidRPr="0086299B">
        <w:rPr>
          <w:rFonts w:ascii="Times New Roman" w:hAnsi="Times New Roman" w:cs="Times New Roman"/>
          <w:color w:val="000000"/>
          <w:sz w:val="24"/>
          <w:szCs w:val="24"/>
          <w:lang w:val="en-US"/>
        </w:rPr>
        <w:t>Using the example of the court case that is the subject of our study, he pointed out that the court of first instance proceeded from the fact that the applicant had not proved that she had entered into a contract with the business entity for the provision of medical services, and this made it impossible to protect her interests in a civil law manner. Since there was no contract, the court considered the case under tort liability.</w:t>
      </w:r>
      <w:r w:rsidR="0086299B">
        <w:rPr>
          <w:rFonts w:ascii="Times New Roman" w:hAnsi="Times New Roman" w:cs="Times New Roman"/>
          <w:color w:val="000000"/>
          <w:sz w:val="24"/>
          <w:szCs w:val="24"/>
          <w:lang w:val="en-US"/>
        </w:rPr>
        <w:t xml:space="preserve"> </w:t>
      </w:r>
      <w:r w:rsidR="0086299B" w:rsidRPr="0086299B">
        <w:rPr>
          <w:rFonts w:ascii="Times New Roman" w:hAnsi="Times New Roman" w:cs="Times New Roman"/>
          <w:color w:val="000000"/>
          <w:sz w:val="24"/>
          <w:szCs w:val="24"/>
          <w:lang w:val="en-US"/>
        </w:rPr>
        <w:t>Instead, the appellate court took into account evidence such as the witness's explanations and screenshots of the applicant's phone screen showing the correspondence between the applicant and the defendant, and concluded that the parties had a contractual relationship and that the applicant suffered damage due to the defendant's fault. The panel of judges further qualified the relationship as a tort relationship and ruled to recover pecuniary and non-pecuniary damage from the defendant in favour of the applicant.</w:t>
      </w:r>
    </w:p>
    <w:p w:rsidR="00634F82" w:rsidRDefault="00634F82" w:rsidP="00634F82">
      <w:pPr>
        <w:jc w:val="both"/>
        <w:rPr>
          <w:rFonts w:ascii="Times New Roman" w:hAnsi="Times New Roman" w:cs="Times New Roman"/>
          <w:color w:val="000000"/>
          <w:sz w:val="24"/>
          <w:szCs w:val="24"/>
          <w:lang w:val="en-US"/>
        </w:rPr>
      </w:pPr>
      <w:r w:rsidRPr="00634F82">
        <w:rPr>
          <w:rFonts w:ascii="Times New Roman" w:hAnsi="Times New Roman" w:cs="Times New Roman"/>
          <w:color w:val="000000"/>
          <w:sz w:val="24"/>
          <w:szCs w:val="24"/>
          <w:lang w:val="en-US"/>
        </w:rPr>
        <w:t>As for the combination of contract and tort, the judge proposes to distinguish between the spheres: the contract should be the first, and in exceptional cases - the tort, and noted that it would be logical to provide for a contract for the provision of medical services in the relevant chapter of the Civil Code of Ukraine. The judge believes that such a contract has a civil nature and that it can be subject to separate rules, with more requirements for a doctor or a medical institution, for example, regarding the maintenance of medical records.</w:t>
      </w:r>
      <w:r>
        <w:rPr>
          <w:rFonts w:ascii="Times New Roman" w:hAnsi="Times New Roman" w:cs="Times New Roman"/>
          <w:color w:val="000000"/>
          <w:sz w:val="24"/>
          <w:szCs w:val="24"/>
          <w:lang w:val="en-US"/>
        </w:rPr>
        <w:t xml:space="preserve"> </w:t>
      </w:r>
      <w:r w:rsidRPr="00634F82">
        <w:rPr>
          <w:rFonts w:ascii="Times New Roman" w:hAnsi="Times New Roman" w:cs="Times New Roman"/>
          <w:color w:val="000000"/>
          <w:sz w:val="24"/>
          <w:szCs w:val="24"/>
          <w:lang w:val="en-US"/>
        </w:rPr>
        <w:t>In his opinion, the patient is always the weaker party in such relationships, so it is necessary to create mechanisms that will help protect the patient's rights in case of improper performance of the contract or even a transition to tort. The judge suggests that the contractor should be obliged to keep appropriate medical records of treatment. Such documentation should include, inter alia, information collected as a result of previous conversations with the patient, research or consultations, information on the patient's consent and information re</w:t>
      </w:r>
      <w:r>
        <w:rPr>
          <w:rFonts w:ascii="Times New Roman" w:hAnsi="Times New Roman" w:cs="Times New Roman"/>
          <w:color w:val="000000"/>
          <w:sz w:val="24"/>
          <w:szCs w:val="24"/>
          <w:lang w:val="en-US"/>
        </w:rPr>
        <w:t>lating to the services provided</w:t>
      </w:r>
      <w:r w:rsidRPr="00634F82">
        <w:rPr>
          <w:rStyle w:val="a5"/>
          <w:rFonts w:ascii="Times New Roman" w:hAnsi="Times New Roman" w:cs="Times New Roman"/>
          <w:color w:val="000000"/>
          <w:sz w:val="24"/>
          <w:szCs w:val="24"/>
        </w:rPr>
        <w:footnoteReference w:id="31"/>
      </w:r>
      <w:r w:rsidRPr="00634F82">
        <w:rPr>
          <w:rFonts w:ascii="Times New Roman" w:hAnsi="Times New Roman" w:cs="Times New Roman"/>
          <w:color w:val="000000"/>
          <w:sz w:val="24"/>
          <w:szCs w:val="24"/>
          <w:lang w:val="en-US"/>
        </w:rPr>
        <w:t xml:space="preserve">. </w:t>
      </w:r>
    </w:p>
    <w:p w:rsidR="00634F82" w:rsidRDefault="00634F82" w:rsidP="00442220">
      <w:pPr>
        <w:jc w:val="both"/>
        <w:rPr>
          <w:rFonts w:cstheme="minorHAnsi"/>
          <w:color w:val="000000"/>
          <w:lang w:val="en-US"/>
        </w:rPr>
      </w:pPr>
      <w:r w:rsidRPr="00634F82">
        <w:rPr>
          <w:rFonts w:ascii="Times New Roman" w:hAnsi="Times New Roman" w:cs="Times New Roman"/>
          <w:color w:val="000000"/>
          <w:sz w:val="24"/>
          <w:szCs w:val="24"/>
          <w:lang w:val="en-US"/>
        </w:rPr>
        <w:t>Highlighting certain issues related to pre-trial investigation and court proceedings in medical cases, Iryna Seniuta notes that the field of health care is vulnerable, due to both the risks associated with medical practice, the complexity of the human body, and the permanent transformations of the healthcare sector, which give rise to new challenges, conflicts and gaps: from lawmaking to law enforcement and law application.</w:t>
      </w:r>
      <w:r>
        <w:rPr>
          <w:rFonts w:ascii="Times New Roman" w:hAnsi="Times New Roman" w:cs="Times New Roman"/>
          <w:color w:val="000000"/>
          <w:sz w:val="24"/>
          <w:szCs w:val="24"/>
          <w:lang w:val="en-US"/>
        </w:rPr>
        <w:t xml:space="preserve"> </w:t>
      </w:r>
      <w:r w:rsidRPr="00634F82">
        <w:rPr>
          <w:rFonts w:ascii="Times New Roman" w:hAnsi="Times New Roman" w:cs="Times New Roman"/>
          <w:color w:val="000000"/>
          <w:sz w:val="24"/>
          <w:szCs w:val="24"/>
          <w:lang w:val="en-US"/>
        </w:rPr>
        <w:t xml:space="preserve">The study on the healthcare sector is very illustrative, reinforced by the severity of the consequences, the sensitivity of values and the complexity of restoring justice. The kaleidoscope of problems highlighted with a focus on medical cases, where human rights are particularly relevant, as the most important values - life and health </w:t>
      </w:r>
      <w:r w:rsidRPr="00634F82">
        <w:rPr>
          <w:rFonts w:ascii="Times New Roman" w:hAnsi="Times New Roman" w:cs="Times New Roman"/>
          <w:color w:val="000000"/>
          <w:sz w:val="24"/>
          <w:szCs w:val="24"/>
          <w:lang w:val="en-US"/>
        </w:rPr>
        <w:lastRenderedPageBreak/>
        <w:t>- balance on the scales of justice, demonstrates the need for systemic and comprehensive changes in Ukrainian legislation a</w:t>
      </w:r>
      <w:r w:rsidR="00DA630E">
        <w:rPr>
          <w:rFonts w:ascii="Times New Roman" w:hAnsi="Times New Roman" w:cs="Times New Roman"/>
          <w:color w:val="000000"/>
          <w:sz w:val="24"/>
          <w:szCs w:val="24"/>
          <w:lang w:val="en-US"/>
        </w:rPr>
        <w:t>nd professional law enforcement</w:t>
      </w:r>
      <w:r w:rsidR="00DA630E" w:rsidRPr="00DA630E">
        <w:rPr>
          <w:rStyle w:val="a5"/>
          <w:rFonts w:ascii="Times New Roman" w:hAnsi="Times New Roman" w:cs="Times New Roman"/>
          <w:color w:val="000000"/>
          <w:sz w:val="24"/>
          <w:szCs w:val="24"/>
        </w:rPr>
        <w:footnoteReference w:id="32"/>
      </w:r>
      <w:r w:rsidR="00DA630E" w:rsidRPr="00DA630E">
        <w:rPr>
          <w:rFonts w:ascii="Times New Roman" w:hAnsi="Times New Roman" w:cs="Times New Roman"/>
          <w:color w:val="000000"/>
          <w:sz w:val="24"/>
          <w:szCs w:val="24"/>
          <w:lang w:val="en-US"/>
        </w:rPr>
        <w:t xml:space="preserve">. </w:t>
      </w:r>
    </w:p>
    <w:p w:rsidR="00442220" w:rsidRPr="00442220" w:rsidRDefault="00442220" w:rsidP="00442220">
      <w:pPr>
        <w:jc w:val="both"/>
        <w:rPr>
          <w:rFonts w:cstheme="minorHAnsi"/>
          <w:color w:val="000000"/>
          <w:lang w:val="en-US"/>
        </w:rPr>
      </w:pPr>
    </w:p>
    <w:p w:rsidR="00727AE8" w:rsidRPr="00442220" w:rsidRDefault="00442220" w:rsidP="00727AE8">
      <w:pPr>
        <w:jc w:val="both"/>
        <w:rPr>
          <w:rFonts w:ascii="Times New Roman" w:hAnsi="Times New Roman" w:cs="Times New Roman"/>
          <w:b/>
          <w:color w:val="000000"/>
          <w:sz w:val="24"/>
          <w:szCs w:val="24"/>
          <w:lang w:val="en-US"/>
        </w:rPr>
      </w:pPr>
      <w:r w:rsidRPr="00442220">
        <w:rPr>
          <w:rFonts w:ascii="Times New Roman" w:hAnsi="Times New Roman" w:cs="Times New Roman"/>
          <w:b/>
          <w:color w:val="000000"/>
          <w:sz w:val="24"/>
          <w:szCs w:val="24"/>
          <w:lang w:val="en-US"/>
        </w:rPr>
        <w:t>4 CONCLUSIONS</w:t>
      </w:r>
    </w:p>
    <w:p w:rsidR="00B376E8" w:rsidRDefault="00442220" w:rsidP="00F052F6">
      <w:pPr>
        <w:jc w:val="both"/>
        <w:rPr>
          <w:rFonts w:ascii="Times New Roman" w:hAnsi="Times New Roman" w:cs="Times New Roman"/>
          <w:color w:val="000000"/>
          <w:sz w:val="24"/>
          <w:szCs w:val="24"/>
          <w:lang w:val="en-US"/>
        </w:rPr>
      </w:pPr>
      <w:r w:rsidRPr="00442220">
        <w:rPr>
          <w:rFonts w:ascii="Times New Roman" w:hAnsi="Times New Roman" w:cs="Times New Roman"/>
          <w:color w:val="000000"/>
          <w:sz w:val="24"/>
          <w:szCs w:val="24"/>
          <w:lang w:val="en-US"/>
        </w:rPr>
        <w:t>The analysis suggests that today lawmaking cannot objectively foresee all the nuances that require legal regulation in the healthcare sector and will arise in the process of providing medical care. Instead, the Supreme Court, based on the circumstances of a particular case, the nature of the disputed legal relationship and the content of the claims, can provide not only a sample interpretation of a regulatory prescription, which is mandatory for lower courts to take into account when resolving similar cases, but also has every reason to serve as a guide for healthcare professionals in their professional activities aimed at preventing, diagnosing and treating patients.</w:t>
      </w:r>
      <w:r w:rsidR="00727AE8">
        <w:rPr>
          <w:rFonts w:ascii="Times New Roman" w:hAnsi="Times New Roman" w:cs="Times New Roman"/>
          <w:color w:val="000000"/>
          <w:sz w:val="24"/>
          <w:szCs w:val="24"/>
          <w:lang w:val="en-US"/>
        </w:rPr>
        <w:t xml:space="preserve"> </w:t>
      </w:r>
      <w:r w:rsidR="00727AE8" w:rsidRPr="00727AE8">
        <w:rPr>
          <w:rFonts w:ascii="Times New Roman" w:hAnsi="Times New Roman" w:cs="Times New Roman"/>
          <w:color w:val="000000"/>
          <w:sz w:val="24"/>
          <w:szCs w:val="24"/>
          <w:lang w:val="en-US"/>
        </w:rPr>
        <w:t>The court focused on a number of key responsibilities of a healthcare professional, such as demonstrating professionalism and care for the patient, proper medical records, and obtaining informed consent for medical intervention.</w:t>
      </w:r>
    </w:p>
    <w:p w:rsidR="00727AE8" w:rsidRDefault="00727AE8" w:rsidP="00F052F6">
      <w:pPr>
        <w:jc w:val="both"/>
        <w:rPr>
          <w:rFonts w:ascii="Times New Roman" w:hAnsi="Times New Roman" w:cs="Times New Roman"/>
          <w:color w:val="000000"/>
          <w:sz w:val="24"/>
          <w:szCs w:val="24"/>
          <w:lang w:val="en-US"/>
        </w:rPr>
      </w:pPr>
      <w:r w:rsidRPr="00727AE8">
        <w:rPr>
          <w:rFonts w:ascii="Times New Roman" w:hAnsi="Times New Roman" w:cs="Times New Roman"/>
          <w:color w:val="000000"/>
          <w:sz w:val="24"/>
          <w:szCs w:val="24"/>
          <w:lang w:val="en-US"/>
        </w:rPr>
        <w:t>Thus, judicial practice has the potential to demonstrate flexibility, efficiency, connection with everyday life and rapid adaptation of law to changing social circumstances. In fact, there are circumstances when judicial practice participates in shaping law enforcement practice and indirectly influences rulemaking practice. Such mechanisms have been used to protect human rights not so long ago, but are gradually gaining ground. Each decision in such a case becomes a precedent and plays a prominent role in the progressive movement for human rights and the development of a relatively young branch of law - medical law.</w:t>
      </w:r>
    </w:p>
    <w:p w:rsidR="00727AE8" w:rsidRDefault="00727AE8" w:rsidP="00F052F6">
      <w:pPr>
        <w:jc w:val="both"/>
        <w:rPr>
          <w:rFonts w:ascii="Times New Roman" w:hAnsi="Times New Roman" w:cs="Times New Roman"/>
          <w:color w:val="000000"/>
          <w:sz w:val="24"/>
          <w:szCs w:val="24"/>
          <w:lang w:val="en-US"/>
        </w:rPr>
      </w:pPr>
      <w:r w:rsidRPr="00727AE8">
        <w:rPr>
          <w:rFonts w:ascii="Times New Roman" w:hAnsi="Times New Roman" w:cs="Times New Roman"/>
          <w:color w:val="000000"/>
          <w:sz w:val="24"/>
          <w:szCs w:val="24"/>
          <w:lang w:val="en-US"/>
        </w:rPr>
        <w:t>The analysis of the court dispute concerning compensation for pecuniary and non-pecuniary damage for improper provision of medical services gives grounds to consider the decision of the Supreme Court - the highest court in the judicial system of Ukraine - in civil case No. 344/3764/21 in the context of a landmark case in medical law, as an additional regulator of medical legal relations and as a judicial precedent that provides a response to important problems in society and the state, and puts on the agenda the issue of applying precedent in Ukraine as a source of law.</w:t>
      </w:r>
    </w:p>
    <w:p w:rsidR="002F6F65" w:rsidRPr="00727AE8" w:rsidRDefault="00727AE8" w:rsidP="00727AE8">
      <w:pPr>
        <w:jc w:val="both"/>
        <w:rPr>
          <w:rFonts w:ascii="Times New Roman" w:hAnsi="Times New Roman" w:cs="Times New Roman"/>
          <w:color w:val="000000"/>
          <w:sz w:val="24"/>
          <w:szCs w:val="24"/>
          <w:lang w:val="en-US"/>
        </w:rPr>
      </w:pPr>
      <w:r w:rsidRPr="00727AE8">
        <w:rPr>
          <w:rFonts w:ascii="Times New Roman" w:hAnsi="Times New Roman" w:cs="Times New Roman"/>
          <w:color w:val="000000"/>
          <w:sz w:val="24"/>
          <w:szCs w:val="24"/>
          <w:lang w:val="en-US"/>
        </w:rPr>
        <w:t>It is likely that soon the National Health Service of Ukraine (NHSU) will become one of the parties in court disputes over the improper provision of medical care to patients, as a newly created central executive body that implements state policy in the field of state financial guarantees of medical care for the population under the medical guarantees programme and manages budget funds for the purchase of medical services from healthcare institutions (in the interests of patients). Perhaps, then society will observe a completely different picture, which is likely to be of interest to scholars and practitioners and will be the subject of further scientific research.</w:t>
      </w:r>
    </w:p>
    <w:p w:rsidR="002F6F65" w:rsidRDefault="002F6F65" w:rsidP="00AF0242">
      <w:pPr>
        <w:jc w:val="both"/>
        <w:rPr>
          <w:rFonts w:ascii="Times New Roman" w:hAnsi="Times New Roman" w:cs="Times New Roman"/>
          <w:sz w:val="24"/>
          <w:szCs w:val="24"/>
          <w:lang w:val="en-US"/>
        </w:rPr>
      </w:pPr>
    </w:p>
    <w:p w:rsidR="002F6F65" w:rsidRDefault="002F6F65" w:rsidP="00727AE8">
      <w:pPr>
        <w:ind w:firstLine="0"/>
        <w:jc w:val="both"/>
        <w:rPr>
          <w:rFonts w:ascii="Times New Roman" w:hAnsi="Times New Roman" w:cs="Times New Roman"/>
          <w:sz w:val="24"/>
          <w:szCs w:val="24"/>
          <w:lang w:val="en-US"/>
        </w:rPr>
      </w:pPr>
    </w:p>
    <w:p w:rsidR="00634145" w:rsidRPr="00634145" w:rsidRDefault="00634145" w:rsidP="002F6F65">
      <w:pPr>
        <w:ind w:firstLine="0"/>
        <w:rPr>
          <w:rFonts w:ascii="Times New Roman" w:hAnsi="Times New Roman" w:cs="Times New Roman"/>
          <w:i/>
          <w:sz w:val="24"/>
          <w:szCs w:val="24"/>
          <w:lang w:val="en-US"/>
        </w:rPr>
      </w:pPr>
    </w:p>
    <w:sectPr w:rsidR="00634145" w:rsidRPr="006341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020" w:rsidRDefault="00002020" w:rsidP="00CA5BF1">
      <w:pPr>
        <w:spacing w:after="0" w:line="240" w:lineRule="auto"/>
      </w:pPr>
      <w:r>
        <w:separator/>
      </w:r>
    </w:p>
  </w:endnote>
  <w:endnote w:type="continuationSeparator" w:id="0">
    <w:p w:rsidR="00002020" w:rsidRDefault="00002020" w:rsidP="00CA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020" w:rsidRDefault="00002020" w:rsidP="00CA5BF1">
      <w:pPr>
        <w:spacing w:after="0" w:line="240" w:lineRule="auto"/>
      </w:pPr>
      <w:r>
        <w:separator/>
      </w:r>
    </w:p>
  </w:footnote>
  <w:footnote w:type="continuationSeparator" w:id="0">
    <w:p w:rsidR="00002020" w:rsidRDefault="00002020" w:rsidP="00CA5BF1">
      <w:pPr>
        <w:spacing w:after="0" w:line="240" w:lineRule="auto"/>
      </w:pPr>
      <w:r>
        <w:continuationSeparator/>
      </w:r>
    </w:p>
  </w:footnote>
  <w:footnote w:id="1">
    <w:p w:rsidR="00CA5BF1" w:rsidRPr="00CF6568" w:rsidRDefault="00CA5BF1" w:rsidP="00CA5BF1">
      <w:pPr>
        <w:pStyle w:val="a3"/>
        <w:ind w:firstLine="709"/>
        <w:rPr>
          <w:rFonts w:ascii="Times New Roman" w:hAnsi="Times New Roman" w:cs="Times New Roman"/>
          <w:sz w:val="16"/>
          <w:szCs w:val="16"/>
          <w:lang w:val="en-US"/>
        </w:rPr>
      </w:pPr>
      <w:r w:rsidRPr="00CF6568">
        <w:rPr>
          <w:rStyle w:val="a5"/>
          <w:rFonts w:ascii="Times New Roman" w:hAnsi="Times New Roman" w:cs="Times New Roman"/>
          <w:sz w:val="16"/>
          <w:szCs w:val="16"/>
        </w:rPr>
        <w:footnoteRef/>
      </w:r>
      <w:r w:rsidRPr="00CF6568">
        <w:rPr>
          <w:rFonts w:ascii="Times New Roman" w:hAnsi="Times New Roman" w:cs="Times New Roman"/>
          <w:sz w:val="16"/>
          <w:szCs w:val="16"/>
          <w:lang w:val="en-US"/>
        </w:rPr>
        <w:t xml:space="preserve"> </w:t>
      </w:r>
      <w:r w:rsidRPr="00CF6568">
        <w:rPr>
          <w:rFonts w:ascii="Times New Roman" w:hAnsi="Times New Roman" w:cs="Times New Roman"/>
          <w:sz w:val="16"/>
          <w:szCs w:val="16"/>
        </w:rPr>
        <w:t>‘</w:t>
      </w:r>
      <w:r w:rsidRPr="00CF6568">
        <w:rPr>
          <w:rFonts w:ascii="Times New Roman" w:hAnsi="Times New Roman" w:cs="Times New Roman"/>
          <w:sz w:val="16"/>
          <w:szCs w:val="16"/>
          <w:lang w:val="en-US"/>
        </w:rPr>
        <w:t>Five avoidable deaths per minute shows urgent need for action on patient safety</w:t>
      </w:r>
      <w:r w:rsidRPr="00CF6568">
        <w:rPr>
          <w:rFonts w:ascii="Times New Roman" w:hAnsi="Times New Roman" w:cs="Times New Roman"/>
          <w:sz w:val="16"/>
          <w:szCs w:val="16"/>
        </w:rPr>
        <w:t>’</w:t>
      </w:r>
      <w:r w:rsidRPr="00CF6568">
        <w:rPr>
          <w:rFonts w:ascii="Times New Roman" w:hAnsi="Times New Roman" w:cs="Times New Roman"/>
          <w:sz w:val="16"/>
          <w:szCs w:val="16"/>
          <w:lang w:val="en-US"/>
        </w:rPr>
        <w:t xml:space="preserve"> (News.UN.org, 17 September 2019) </w:t>
      </w:r>
      <w:hyperlink r:id="rId1" w:history="1">
        <w:r w:rsidR="00CF6568" w:rsidRPr="00683CDF">
          <w:rPr>
            <w:rStyle w:val="a6"/>
            <w:rFonts w:ascii="Times New Roman" w:hAnsi="Times New Roman" w:cs="Times New Roman"/>
            <w:sz w:val="16"/>
            <w:szCs w:val="16"/>
            <w:lang w:val="en-US"/>
          </w:rPr>
          <w:t>https://news.un.org/en/story/2019/09/1046552</w:t>
        </w:r>
      </w:hyperlink>
      <w:r w:rsidR="00CF6568">
        <w:rPr>
          <w:rFonts w:ascii="Times New Roman" w:hAnsi="Times New Roman" w:cs="Times New Roman"/>
          <w:sz w:val="16"/>
          <w:szCs w:val="16"/>
          <w:lang w:val="en-US"/>
        </w:rPr>
        <w:t xml:space="preserve"> </w:t>
      </w:r>
      <w:r w:rsidRPr="00CF6568">
        <w:rPr>
          <w:rFonts w:ascii="Times New Roman" w:hAnsi="Times New Roman" w:cs="Times New Roman"/>
          <w:sz w:val="16"/>
          <w:szCs w:val="16"/>
          <w:lang w:val="en-US"/>
        </w:rPr>
        <w:t>accessed 05 August 2023</w:t>
      </w:r>
    </w:p>
  </w:footnote>
  <w:footnote w:id="2">
    <w:p w:rsidR="00CA5BF1" w:rsidRPr="00CF6568" w:rsidRDefault="00CA5BF1" w:rsidP="00CA5BF1">
      <w:pPr>
        <w:pStyle w:val="a3"/>
        <w:ind w:firstLine="709"/>
        <w:rPr>
          <w:rFonts w:ascii="Times New Roman" w:hAnsi="Times New Roman" w:cs="Times New Roman"/>
          <w:sz w:val="16"/>
          <w:szCs w:val="16"/>
          <w:lang w:val="en-US"/>
        </w:rPr>
      </w:pPr>
      <w:r w:rsidRPr="00CF6568">
        <w:rPr>
          <w:rStyle w:val="a5"/>
          <w:rFonts w:ascii="Times New Roman" w:hAnsi="Times New Roman" w:cs="Times New Roman"/>
          <w:sz w:val="16"/>
          <w:szCs w:val="16"/>
        </w:rPr>
        <w:footnoteRef/>
      </w:r>
      <w:r w:rsidRPr="00CF6568">
        <w:rPr>
          <w:rFonts w:ascii="Times New Roman" w:hAnsi="Times New Roman" w:cs="Times New Roman"/>
          <w:sz w:val="16"/>
          <w:szCs w:val="16"/>
          <w:lang w:val="en-US"/>
        </w:rPr>
        <w:t xml:space="preserve"> ‘WHO calls for urgent action to reduce patient harm in healthcare’ (WHO.int, 13 September 2019) </w:t>
      </w:r>
      <w:hyperlink r:id="rId2" w:history="1">
        <w:r w:rsidR="00CF6568" w:rsidRPr="00683CDF">
          <w:rPr>
            <w:rStyle w:val="a6"/>
            <w:rFonts w:ascii="Times New Roman" w:hAnsi="Times New Roman" w:cs="Times New Roman"/>
            <w:sz w:val="16"/>
            <w:szCs w:val="16"/>
            <w:lang w:val="en-US"/>
          </w:rPr>
          <w:t>https://www.who.int/news/item/13-09-2019-who-calls-for-urgent-action-to-reduce-patient-harm-in-healthcare</w:t>
        </w:r>
      </w:hyperlink>
      <w:r w:rsidR="00CF6568">
        <w:rPr>
          <w:rFonts w:ascii="Times New Roman" w:hAnsi="Times New Roman" w:cs="Times New Roman"/>
          <w:sz w:val="16"/>
          <w:szCs w:val="16"/>
          <w:lang w:val="en-US"/>
        </w:rPr>
        <w:t xml:space="preserve"> </w:t>
      </w:r>
      <w:r w:rsidRPr="00CF6568">
        <w:rPr>
          <w:rFonts w:ascii="Times New Roman" w:hAnsi="Times New Roman" w:cs="Times New Roman"/>
          <w:sz w:val="16"/>
          <w:szCs w:val="16"/>
          <w:lang w:val="en-US"/>
        </w:rPr>
        <w:t>accessed 05 August 2023</w:t>
      </w:r>
    </w:p>
  </w:footnote>
  <w:footnote w:id="3">
    <w:p w:rsidR="00CA5BF1" w:rsidRPr="003C2822" w:rsidRDefault="00CA5BF1" w:rsidP="00CA5BF1">
      <w:pPr>
        <w:pStyle w:val="a3"/>
        <w:ind w:firstLine="709"/>
        <w:rPr>
          <w:rFonts w:ascii="Times New Roman" w:hAnsi="Times New Roman" w:cs="Times New Roman"/>
          <w:sz w:val="16"/>
          <w:szCs w:val="16"/>
          <w:lang w:val="en-US"/>
        </w:rPr>
      </w:pPr>
      <w:r w:rsidRPr="00CF6568">
        <w:rPr>
          <w:rStyle w:val="a5"/>
          <w:rFonts w:ascii="Times New Roman" w:hAnsi="Times New Roman" w:cs="Times New Roman"/>
          <w:sz w:val="16"/>
          <w:szCs w:val="16"/>
        </w:rPr>
        <w:footnoteRef/>
      </w:r>
      <w:r w:rsidRPr="00CF6568">
        <w:rPr>
          <w:rFonts w:ascii="Times New Roman" w:hAnsi="Times New Roman" w:cs="Times New Roman"/>
          <w:sz w:val="16"/>
          <w:szCs w:val="16"/>
          <w:lang w:val="en-US"/>
        </w:rPr>
        <w:t xml:space="preserve"> ‘Patient safety’ (WHO.int, 9 March 2019) </w:t>
      </w:r>
      <w:hyperlink r:id="rId3" w:history="1">
        <w:r w:rsidR="00CF6568" w:rsidRPr="00683CDF">
          <w:rPr>
            <w:rStyle w:val="a6"/>
            <w:rFonts w:ascii="Times New Roman" w:hAnsi="Times New Roman" w:cs="Times New Roman"/>
            <w:sz w:val="16"/>
            <w:szCs w:val="16"/>
            <w:lang w:val="en-US"/>
          </w:rPr>
          <w:t>https://www.who.int/news-room/facts-in-pictures/detail/patient-safety</w:t>
        </w:r>
      </w:hyperlink>
      <w:r w:rsidR="00CF6568">
        <w:rPr>
          <w:rFonts w:ascii="Times New Roman" w:hAnsi="Times New Roman" w:cs="Times New Roman"/>
          <w:sz w:val="16"/>
          <w:szCs w:val="16"/>
          <w:lang w:val="en-US"/>
        </w:rPr>
        <w:t xml:space="preserve"> accessed 5</w:t>
      </w:r>
      <w:bookmarkStart w:id="0" w:name="_GoBack"/>
      <w:bookmarkEnd w:id="0"/>
      <w:r w:rsidRPr="00CF6568">
        <w:rPr>
          <w:rFonts w:ascii="Times New Roman" w:hAnsi="Times New Roman" w:cs="Times New Roman"/>
          <w:sz w:val="16"/>
          <w:szCs w:val="16"/>
          <w:lang w:val="en-US"/>
        </w:rPr>
        <w:t xml:space="preserve"> August 2023</w:t>
      </w:r>
    </w:p>
  </w:footnote>
  <w:footnote w:id="4">
    <w:p w:rsidR="00CA5BF1" w:rsidRPr="00CF6568" w:rsidRDefault="00CA5BF1" w:rsidP="00CA5BF1">
      <w:pPr>
        <w:pStyle w:val="a3"/>
        <w:ind w:firstLine="709"/>
        <w:rPr>
          <w:rFonts w:ascii="Times New Roman" w:hAnsi="Times New Roman" w:cs="Times New Roman"/>
          <w:sz w:val="16"/>
          <w:szCs w:val="16"/>
          <w:lang w:val="en-US"/>
        </w:rPr>
      </w:pPr>
      <w:r w:rsidRPr="00CF6568">
        <w:rPr>
          <w:rStyle w:val="a5"/>
          <w:rFonts w:ascii="Times New Roman" w:hAnsi="Times New Roman" w:cs="Times New Roman"/>
          <w:sz w:val="16"/>
          <w:szCs w:val="16"/>
        </w:rPr>
        <w:footnoteRef/>
      </w:r>
      <w:r w:rsidRPr="00CF6568">
        <w:rPr>
          <w:rFonts w:ascii="Times New Roman" w:hAnsi="Times New Roman" w:cs="Times New Roman"/>
          <w:sz w:val="16"/>
          <w:szCs w:val="16"/>
          <w:lang w:val="en-US"/>
        </w:rPr>
        <w:t xml:space="preserve"> Nicole Dimetman, ‘35+ Medical Malpractice Statistics for 2022’ (JustGreatLawyers.com, 26 January 2022) </w:t>
      </w:r>
      <w:hyperlink r:id="rId4" w:history="1">
        <w:r w:rsidR="00CF6568" w:rsidRPr="00683CDF">
          <w:rPr>
            <w:rStyle w:val="a6"/>
            <w:rFonts w:ascii="Times New Roman" w:hAnsi="Times New Roman" w:cs="Times New Roman"/>
            <w:sz w:val="16"/>
            <w:szCs w:val="16"/>
            <w:lang w:val="en-US"/>
          </w:rPr>
          <w:t>https://www.justgreatlawyers.com/legal-guides/medical-malpractice-statistics</w:t>
        </w:r>
      </w:hyperlink>
      <w:r w:rsidR="00CF6568">
        <w:rPr>
          <w:rFonts w:ascii="Times New Roman" w:hAnsi="Times New Roman" w:cs="Times New Roman"/>
          <w:sz w:val="16"/>
          <w:szCs w:val="16"/>
          <w:lang w:val="en-US"/>
        </w:rPr>
        <w:t xml:space="preserve"> </w:t>
      </w:r>
      <w:r w:rsidRPr="00CF6568">
        <w:rPr>
          <w:rFonts w:ascii="Times New Roman" w:hAnsi="Times New Roman" w:cs="Times New Roman"/>
          <w:sz w:val="16"/>
          <w:szCs w:val="16"/>
          <w:lang w:val="en-US"/>
        </w:rPr>
        <w:t>accessed 05 August 2023</w:t>
      </w:r>
    </w:p>
  </w:footnote>
  <w:footnote w:id="5">
    <w:p w:rsidR="00CA5BF1" w:rsidRPr="00CF6568" w:rsidRDefault="00CA5BF1" w:rsidP="00CA5BF1">
      <w:pPr>
        <w:pStyle w:val="a3"/>
        <w:ind w:firstLine="709"/>
        <w:rPr>
          <w:rFonts w:ascii="Times New Roman" w:hAnsi="Times New Roman" w:cs="Times New Roman"/>
          <w:sz w:val="16"/>
          <w:szCs w:val="16"/>
        </w:rPr>
      </w:pPr>
      <w:r w:rsidRPr="00CF6568">
        <w:rPr>
          <w:rStyle w:val="a5"/>
          <w:rFonts w:ascii="Times New Roman" w:hAnsi="Times New Roman" w:cs="Times New Roman"/>
          <w:sz w:val="16"/>
          <w:szCs w:val="16"/>
        </w:rPr>
        <w:footnoteRef/>
      </w:r>
      <w:r w:rsidRPr="00CF6568">
        <w:rPr>
          <w:rFonts w:ascii="Times New Roman" w:hAnsi="Times New Roman" w:cs="Times New Roman"/>
          <w:sz w:val="16"/>
          <w:szCs w:val="16"/>
          <w:lang w:val="en-US"/>
        </w:rPr>
        <w:t xml:space="preserve"> MA Makary, M Daniel, ‘Medical error—the third leading cause of death in the US’ (2016) 353 BMJ &lt;</w:t>
      </w:r>
      <w:hyperlink r:id="rId5" w:history="1">
        <w:r w:rsidRPr="00CF6568">
          <w:rPr>
            <w:rStyle w:val="a6"/>
            <w:rFonts w:ascii="Times New Roman" w:hAnsi="Times New Roman" w:cs="Times New Roman"/>
            <w:sz w:val="16"/>
            <w:szCs w:val="16"/>
            <w:lang w:val="en-US"/>
          </w:rPr>
          <w:t>https://doi.org/10.1136/bmj.i2139</w:t>
        </w:r>
      </w:hyperlink>
      <w:r w:rsidRPr="00CF6568">
        <w:rPr>
          <w:rFonts w:ascii="Times New Roman" w:hAnsi="Times New Roman" w:cs="Times New Roman"/>
          <w:sz w:val="16"/>
          <w:szCs w:val="16"/>
          <w:lang w:val="en-US"/>
        </w:rPr>
        <w:t>&gt;</w:t>
      </w:r>
      <w:r w:rsidRPr="00CF6568">
        <w:rPr>
          <w:rFonts w:ascii="Times New Roman" w:hAnsi="Times New Roman" w:cs="Times New Roman"/>
          <w:sz w:val="16"/>
          <w:szCs w:val="16"/>
        </w:rPr>
        <w:t xml:space="preserve"> </w:t>
      </w:r>
      <w:r w:rsidRPr="00CF6568">
        <w:rPr>
          <w:rFonts w:ascii="Times New Roman" w:hAnsi="Times New Roman" w:cs="Times New Roman"/>
          <w:sz w:val="16"/>
          <w:szCs w:val="16"/>
          <w:lang w:val="en-US"/>
        </w:rPr>
        <w:t>accessed 05 August 2023</w:t>
      </w:r>
    </w:p>
  </w:footnote>
  <w:footnote w:id="6">
    <w:p w:rsidR="00AF0242" w:rsidRPr="00CF6568" w:rsidRDefault="00AF0242" w:rsidP="00AF0242">
      <w:pPr>
        <w:pStyle w:val="a3"/>
        <w:ind w:firstLine="709"/>
        <w:rPr>
          <w:rFonts w:ascii="Times New Roman" w:hAnsi="Times New Roman" w:cs="Times New Roman"/>
          <w:sz w:val="16"/>
          <w:szCs w:val="16"/>
          <w:lang w:val="en-US"/>
        </w:rPr>
      </w:pPr>
      <w:r w:rsidRPr="00CF6568">
        <w:rPr>
          <w:rStyle w:val="a5"/>
          <w:rFonts w:ascii="Times New Roman" w:hAnsi="Times New Roman" w:cs="Times New Roman"/>
          <w:sz w:val="16"/>
          <w:szCs w:val="16"/>
        </w:rPr>
        <w:footnoteRef/>
      </w:r>
      <w:r w:rsidRPr="00CF6568">
        <w:rPr>
          <w:rFonts w:ascii="Times New Roman" w:hAnsi="Times New Roman" w:cs="Times New Roman"/>
          <w:sz w:val="16"/>
          <w:szCs w:val="16"/>
          <w:lang w:val="en-US"/>
        </w:rPr>
        <w:t xml:space="preserve"> RA Elliott, E Camacho, D Jankovic, et al, ‘Economic analysis of the prevalence and clinical and economic burden of medication error in England’ (2021) 30 BMJ Quality &amp; Safety </w:t>
      </w:r>
      <w:hyperlink r:id="rId6" w:history="1">
        <w:r w:rsidR="00CF6568" w:rsidRPr="00683CDF">
          <w:rPr>
            <w:rStyle w:val="a6"/>
            <w:rFonts w:ascii="Times New Roman" w:hAnsi="Times New Roman" w:cs="Times New Roman"/>
            <w:sz w:val="16"/>
            <w:szCs w:val="16"/>
            <w:lang w:val="en-US"/>
          </w:rPr>
          <w:t>http://doi.org/10.1136/bmjqs-2019-010206</w:t>
        </w:r>
      </w:hyperlink>
      <w:r w:rsidR="00CF6568">
        <w:rPr>
          <w:rFonts w:ascii="Times New Roman" w:hAnsi="Times New Roman" w:cs="Times New Roman"/>
          <w:sz w:val="16"/>
          <w:szCs w:val="16"/>
          <w:lang w:val="en-US"/>
        </w:rPr>
        <w:t xml:space="preserve"> </w:t>
      </w:r>
      <w:r w:rsidRPr="00CF6568">
        <w:rPr>
          <w:rFonts w:ascii="Times New Roman" w:hAnsi="Times New Roman" w:cs="Times New Roman"/>
          <w:sz w:val="16"/>
          <w:szCs w:val="16"/>
          <w:lang w:val="en-US"/>
        </w:rPr>
        <w:t>accessed 05 August 2023</w:t>
      </w:r>
    </w:p>
  </w:footnote>
  <w:footnote w:id="7">
    <w:p w:rsidR="003C2822" w:rsidRPr="00CF6568" w:rsidRDefault="003C2822" w:rsidP="003C2822">
      <w:pPr>
        <w:pStyle w:val="a3"/>
        <w:ind w:firstLine="709"/>
        <w:rPr>
          <w:rFonts w:ascii="Times New Roman" w:hAnsi="Times New Roman" w:cs="Times New Roman"/>
          <w:sz w:val="16"/>
          <w:szCs w:val="16"/>
          <w:lang w:val="en-US"/>
        </w:rPr>
      </w:pPr>
      <w:r w:rsidRPr="00CF6568">
        <w:rPr>
          <w:rStyle w:val="a5"/>
          <w:rFonts w:ascii="Times New Roman" w:hAnsi="Times New Roman" w:cs="Times New Roman"/>
          <w:sz w:val="16"/>
          <w:szCs w:val="16"/>
        </w:rPr>
        <w:footnoteRef/>
      </w:r>
      <w:r w:rsidRPr="00CF6568">
        <w:rPr>
          <w:rFonts w:ascii="Times New Roman" w:hAnsi="Times New Roman" w:cs="Times New Roman"/>
          <w:sz w:val="16"/>
          <w:szCs w:val="16"/>
          <w:lang w:val="en-US"/>
        </w:rPr>
        <w:t xml:space="preserve"> </w:t>
      </w:r>
      <w:r w:rsidRPr="00CF6568">
        <w:rPr>
          <w:rFonts w:ascii="Times New Roman" w:hAnsi="Times New Roman" w:cs="Times New Roman"/>
          <w:sz w:val="16"/>
          <w:szCs w:val="16"/>
        </w:rPr>
        <w:t xml:space="preserve">E Bergamin, A Fiorillo, VM Grassi, M Lodise, G Vetrugno, F De-Giorgio F, ‘Medical Professional Liability in Obstetrics and Gynecology: A Pilot Study of Criminal Proceedings in the Public Prosecutor’s Office at the Court of Rome’ (2023) 11 Healthcare </w:t>
      </w:r>
      <w:hyperlink r:id="rId7" w:history="1">
        <w:r w:rsidR="00CF6568" w:rsidRPr="00683CDF">
          <w:rPr>
            <w:rStyle w:val="a6"/>
            <w:rFonts w:ascii="Times New Roman" w:hAnsi="Times New Roman" w:cs="Times New Roman"/>
            <w:sz w:val="16"/>
            <w:szCs w:val="16"/>
          </w:rPr>
          <w:t>http://dx.doi.org/10.3390/healthcare11091331</w:t>
        </w:r>
      </w:hyperlink>
      <w:r w:rsidR="00CF6568">
        <w:rPr>
          <w:rFonts w:ascii="Times New Roman" w:hAnsi="Times New Roman" w:cs="Times New Roman"/>
          <w:sz w:val="16"/>
          <w:szCs w:val="16"/>
          <w:lang w:val="en-US"/>
        </w:rPr>
        <w:t xml:space="preserve"> </w:t>
      </w:r>
      <w:r w:rsidRPr="00CF6568">
        <w:rPr>
          <w:rFonts w:ascii="Times New Roman" w:hAnsi="Times New Roman" w:cs="Times New Roman"/>
          <w:sz w:val="16"/>
          <w:szCs w:val="16"/>
          <w:lang w:val="en-US"/>
        </w:rPr>
        <w:t>accessed 05 August 2023</w:t>
      </w:r>
    </w:p>
  </w:footnote>
  <w:footnote w:id="8">
    <w:p w:rsidR="003C2822" w:rsidRPr="00CF6568" w:rsidRDefault="003C2822" w:rsidP="003C2822">
      <w:pPr>
        <w:pStyle w:val="a3"/>
        <w:ind w:firstLine="709"/>
        <w:rPr>
          <w:rFonts w:ascii="Times New Roman" w:hAnsi="Times New Roman" w:cs="Times New Roman"/>
          <w:sz w:val="16"/>
          <w:szCs w:val="16"/>
          <w:lang w:val="en-US"/>
        </w:rPr>
      </w:pPr>
      <w:r w:rsidRPr="00CF6568">
        <w:rPr>
          <w:rStyle w:val="a5"/>
          <w:rFonts w:ascii="Times New Roman" w:hAnsi="Times New Roman" w:cs="Times New Roman"/>
          <w:sz w:val="16"/>
          <w:szCs w:val="16"/>
        </w:rPr>
        <w:footnoteRef/>
      </w:r>
      <w:r w:rsidRPr="00CF6568">
        <w:rPr>
          <w:rFonts w:ascii="Times New Roman" w:hAnsi="Times New Roman" w:cs="Times New Roman"/>
          <w:sz w:val="16"/>
          <w:szCs w:val="16"/>
          <w:lang w:val="en-US"/>
        </w:rPr>
        <w:t xml:space="preserve"> </w:t>
      </w:r>
      <w:r w:rsidRPr="00CF6568">
        <w:rPr>
          <w:rFonts w:ascii="Times New Roman" w:hAnsi="Times New Roman" w:cs="Times New Roman"/>
          <w:sz w:val="16"/>
          <w:szCs w:val="16"/>
        </w:rPr>
        <w:t xml:space="preserve">C Schumann, S Wiege, ‘Medical liability and criminal law in emergency medicine’ (2022) 117  Med Klin Intensivmed Notfmed </w:t>
      </w:r>
      <w:hyperlink r:id="rId8" w:history="1">
        <w:r w:rsidR="00CF6568" w:rsidRPr="00683CDF">
          <w:rPr>
            <w:rStyle w:val="a6"/>
            <w:rFonts w:ascii="Times New Roman" w:hAnsi="Times New Roman" w:cs="Times New Roman"/>
            <w:sz w:val="16"/>
            <w:szCs w:val="16"/>
          </w:rPr>
          <w:t>http://dx.doi.org/10.1007/s00063-022-00920-w</w:t>
        </w:r>
      </w:hyperlink>
      <w:r w:rsidR="00CF6568">
        <w:rPr>
          <w:rFonts w:ascii="Times New Roman" w:hAnsi="Times New Roman" w:cs="Times New Roman"/>
          <w:sz w:val="16"/>
          <w:szCs w:val="16"/>
          <w:lang w:val="en-US"/>
        </w:rPr>
        <w:t xml:space="preserve"> </w:t>
      </w:r>
      <w:r w:rsidRPr="00CF6568">
        <w:rPr>
          <w:rFonts w:ascii="Times New Roman" w:hAnsi="Times New Roman" w:cs="Times New Roman"/>
          <w:sz w:val="16"/>
          <w:szCs w:val="16"/>
          <w:lang w:val="en-US"/>
        </w:rPr>
        <w:t>accessed 05 August 2023</w:t>
      </w:r>
    </w:p>
  </w:footnote>
  <w:footnote w:id="9">
    <w:p w:rsidR="003C2822" w:rsidRPr="00CF6568" w:rsidRDefault="003C2822" w:rsidP="003C2822">
      <w:pPr>
        <w:pStyle w:val="a3"/>
        <w:ind w:firstLine="709"/>
        <w:rPr>
          <w:rFonts w:ascii="Times New Roman" w:hAnsi="Times New Roman" w:cs="Times New Roman"/>
          <w:sz w:val="16"/>
          <w:szCs w:val="16"/>
          <w:lang w:val="en-US"/>
        </w:rPr>
      </w:pPr>
      <w:r w:rsidRPr="00CF6568">
        <w:rPr>
          <w:rStyle w:val="a5"/>
          <w:rFonts w:ascii="Times New Roman" w:hAnsi="Times New Roman" w:cs="Times New Roman"/>
          <w:sz w:val="16"/>
          <w:szCs w:val="16"/>
        </w:rPr>
        <w:footnoteRef/>
      </w:r>
      <w:r w:rsidRPr="00CF6568">
        <w:rPr>
          <w:rFonts w:ascii="Times New Roman" w:hAnsi="Times New Roman" w:cs="Times New Roman"/>
          <w:sz w:val="16"/>
          <w:szCs w:val="16"/>
          <w:lang w:val="en-US"/>
        </w:rPr>
        <w:t xml:space="preserve"> </w:t>
      </w:r>
      <w:r w:rsidRPr="00CF6568">
        <w:rPr>
          <w:rFonts w:ascii="Times New Roman" w:hAnsi="Times New Roman" w:cs="Times New Roman"/>
          <w:sz w:val="16"/>
          <w:szCs w:val="16"/>
        </w:rPr>
        <w:t xml:space="preserve">S Alsaeed, S Aljarallah, A Alarjani, G Alghunaim, A Alanizy, ‘Dental Malpractice Lawsuit Cases in Saudi Arabia: A National Study’ (2022) 34 (8) The Saudi Dental Journal </w:t>
      </w:r>
      <w:hyperlink r:id="rId9" w:history="1">
        <w:r w:rsidR="00CF6568" w:rsidRPr="00683CDF">
          <w:rPr>
            <w:rStyle w:val="a6"/>
            <w:rFonts w:ascii="Times New Roman" w:hAnsi="Times New Roman" w:cs="Times New Roman"/>
            <w:sz w:val="16"/>
            <w:szCs w:val="16"/>
          </w:rPr>
          <w:t>http://dx.doi.org/10.1016/j.sdentj.2022.11.002</w:t>
        </w:r>
      </w:hyperlink>
      <w:r w:rsidR="00CF6568">
        <w:rPr>
          <w:rFonts w:ascii="Times New Roman" w:hAnsi="Times New Roman" w:cs="Times New Roman"/>
          <w:sz w:val="16"/>
          <w:szCs w:val="16"/>
          <w:lang w:val="en-US"/>
        </w:rPr>
        <w:t xml:space="preserve"> </w:t>
      </w:r>
      <w:r w:rsidRPr="00CF6568">
        <w:rPr>
          <w:rFonts w:ascii="Times New Roman" w:hAnsi="Times New Roman" w:cs="Times New Roman"/>
          <w:sz w:val="16"/>
          <w:szCs w:val="16"/>
          <w:lang w:val="en-US"/>
        </w:rPr>
        <w:t>accessed 05 August 2023</w:t>
      </w:r>
    </w:p>
  </w:footnote>
  <w:footnote w:id="10">
    <w:p w:rsidR="003C2822" w:rsidRPr="00CF6568" w:rsidRDefault="003C2822" w:rsidP="003C2822">
      <w:pPr>
        <w:pStyle w:val="a3"/>
        <w:ind w:firstLine="709"/>
        <w:rPr>
          <w:rFonts w:ascii="Times New Roman" w:hAnsi="Times New Roman" w:cs="Times New Roman"/>
          <w:sz w:val="16"/>
          <w:szCs w:val="16"/>
          <w:lang w:val="en-US"/>
        </w:rPr>
      </w:pPr>
      <w:r w:rsidRPr="00CF6568">
        <w:rPr>
          <w:rFonts w:ascii="Times New Roman" w:hAnsi="Times New Roman" w:cs="Times New Roman"/>
          <w:sz w:val="16"/>
          <w:szCs w:val="16"/>
          <w:vertAlign w:val="superscript"/>
        </w:rPr>
        <w:footnoteRef/>
      </w:r>
      <w:r w:rsidRPr="00CF6568">
        <w:rPr>
          <w:rFonts w:ascii="Times New Roman" w:hAnsi="Times New Roman" w:cs="Times New Roman"/>
          <w:sz w:val="16"/>
          <w:szCs w:val="16"/>
          <w:vertAlign w:val="superscript"/>
        </w:rPr>
        <w:t xml:space="preserve"> </w:t>
      </w:r>
      <w:r w:rsidRPr="00CF6568">
        <w:rPr>
          <w:rFonts w:ascii="Times New Roman" w:hAnsi="Times New Roman" w:cs="Times New Roman"/>
          <w:sz w:val="16"/>
          <w:szCs w:val="16"/>
        </w:rPr>
        <w:t xml:space="preserve">K-J Wu, Y-W Chen, C-C Chou, C-F Tseng, F-Y Su, M YP Kuo, ‘Court Decisions in Criminal Proceedings for Dental Malpractice in Taiwan’ (2022) 121 (5) Journal of the Formosan Medical Association </w:t>
      </w:r>
      <w:hyperlink r:id="rId10" w:history="1">
        <w:r w:rsidR="00CF6568" w:rsidRPr="00683CDF">
          <w:rPr>
            <w:rStyle w:val="a6"/>
            <w:rFonts w:ascii="Times New Roman" w:hAnsi="Times New Roman" w:cs="Times New Roman"/>
            <w:sz w:val="16"/>
            <w:szCs w:val="16"/>
          </w:rPr>
          <w:t>http://dx.doi.org/10.1016/j.jfma.2021.09.023</w:t>
        </w:r>
      </w:hyperlink>
      <w:r w:rsidR="00CF6568">
        <w:rPr>
          <w:rFonts w:ascii="Times New Roman" w:hAnsi="Times New Roman" w:cs="Times New Roman"/>
          <w:sz w:val="16"/>
          <w:szCs w:val="16"/>
          <w:lang w:val="en-US"/>
        </w:rPr>
        <w:t xml:space="preserve"> </w:t>
      </w:r>
      <w:r w:rsidRPr="00CF6568">
        <w:rPr>
          <w:rFonts w:ascii="Times New Roman" w:hAnsi="Times New Roman" w:cs="Times New Roman"/>
          <w:sz w:val="16"/>
          <w:szCs w:val="16"/>
          <w:lang w:val="en-US"/>
        </w:rPr>
        <w:t>accessed 05 August 2023</w:t>
      </w:r>
    </w:p>
  </w:footnote>
  <w:footnote w:id="11">
    <w:p w:rsidR="003C2822" w:rsidRPr="00CF6568" w:rsidRDefault="003C2822" w:rsidP="003C2822">
      <w:pPr>
        <w:pStyle w:val="a3"/>
        <w:ind w:firstLine="709"/>
        <w:rPr>
          <w:rFonts w:ascii="Times New Roman" w:hAnsi="Times New Roman" w:cs="Times New Roman"/>
          <w:sz w:val="16"/>
          <w:szCs w:val="16"/>
          <w:lang w:val="en-US"/>
        </w:rPr>
      </w:pPr>
      <w:r w:rsidRPr="00CF6568">
        <w:rPr>
          <w:rFonts w:ascii="Times New Roman" w:hAnsi="Times New Roman" w:cs="Times New Roman"/>
          <w:sz w:val="16"/>
          <w:szCs w:val="16"/>
        </w:rPr>
        <w:footnoteRef/>
      </w:r>
      <w:r w:rsidRPr="00CF6568">
        <w:rPr>
          <w:rFonts w:ascii="Times New Roman" w:hAnsi="Times New Roman" w:cs="Times New Roman"/>
          <w:sz w:val="16"/>
          <w:szCs w:val="16"/>
        </w:rPr>
        <w:t xml:space="preserve"> F Schwendicke, SR Herbst, ‘Health Economic Evaluation of Endodontic Therapies’ (2023) 56(Suppl. 2) International Endodontic Journal </w:t>
      </w:r>
      <w:hyperlink r:id="rId11" w:history="1">
        <w:r w:rsidR="00CF6568" w:rsidRPr="00683CDF">
          <w:rPr>
            <w:rStyle w:val="a6"/>
            <w:rFonts w:ascii="Times New Roman" w:hAnsi="Times New Roman" w:cs="Times New Roman"/>
            <w:sz w:val="16"/>
            <w:szCs w:val="16"/>
          </w:rPr>
          <w:t>http://dx.doi.org/10.1111/iej.13757</w:t>
        </w:r>
      </w:hyperlink>
      <w:r w:rsidR="00CF6568">
        <w:rPr>
          <w:rFonts w:ascii="Times New Roman" w:hAnsi="Times New Roman" w:cs="Times New Roman"/>
          <w:sz w:val="16"/>
          <w:szCs w:val="16"/>
          <w:lang w:val="en-US"/>
        </w:rPr>
        <w:t xml:space="preserve"> a</w:t>
      </w:r>
      <w:r w:rsidRPr="00CF6568">
        <w:rPr>
          <w:rFonts w:ascii="Times New Roman" w:hAnsi="Times New Roman" w:cs="Times New Roman"/>
          <w:sz w:val="16"/>
          <w:szCs w:val="16"/>
          <w:lang w:val="en-US"/>
        </w:rPr>
        <w:t>ccessed 05 August 2023</w:t>
      </w:r>
    </w:p>
  </w:footnote>
  <w:footnote w:id="12">
    <w:p w:rsidR="003C2822" w:rsidRPr="00CF6568" w:rsidRDefault="003C2822" w:rsidP="003C2822">
      <w:pPr>
        <w:pStyle w:val="a3"/>
        <w:ind w:firstLine="709"/>
        <w:rPr>
          <w:rFonts w:ascii="Times New Roman" w:hAnsi="Times New Roman" w:cs="Times New Roman"/>
          <w:sz w:val="16"/>
          <w:szCs w:val="16"/>
          <w:lang w:val="en-US"/>
        </w:rPr>
      </w:pPr>
      <w:r w:rsidRPr="00CF6568">
        <w:rPr>
          <w:rStyle w:val="a5"/>
          <w:rFonts w:ascii="Times New Roman" w:hAnsi="Times New Roman" w:cs="Times New Roman"/>
          <w:sz w:val="16"/>
          <w:szCs w:val="16"/>
        </w:rPr>
        <w:footnoteRef/>
      </w:r>
      <w:r w:rsidRPr="00CF6568">
        <w:rPr>
          <w:rFonts w:ascii="Times New Roman" w:hAnsi="Times New Roman" w:cs="Times New Roman"/>
          <w:sz w:val="16"/>
          <w:szCs w:val="16"/>
          <w:lang w:val="en-US"/>
        </w:rPr>
        <w:t xml:space="preserve"> </w:t>
      </w:r>
      <w:r w:rsidRPr="00CF6568">
        <w:rPr>
          <w:rFonts w:ascii="Times New Roman" w:hAnsi="Times New Roman" w:cs="Times New Roman"/>
          <w:sz w:val="16"/>
          <w:szCs w:val="16"/>
          <w:bdr w:val="none" w:sz="0" w:space="0" w:color="auto" w:frame="1"/>
          <w:shd w:val="clear" w:color="auto" w:fill="FFFFFF"/>
        </w:rPr>
        <w:t xml:space="preserve">N Avramova. Self-Perceived Sources of Stress and Burnout Determinants in Dentistry - A Systematic Review (2023) 30 (1) Galician Medical Journal </w:t>
      </w:r>
      <w:hyperlink r:id="rId12" w:history="1">
        <w:r w:rsidR="00CF6568" w:rsidRPr="00683CDF">
          <w:rPr>
            <w:rStyle w:val="a6"/>
            <w:rFonts w:ascii="Times New Roman" w:hAnsi="Times New Roman" w:cs="Times New Roman"/>
            <w:sz w:val="16"/>
            <w:szCs w:val="16"/>
            <w:bdr w:val="none" w:sz="0" w:space="0" w:color="auto" w:frame="1"/>
            <w:shd w:val="clear" w:color="auto" w:fill="FFFFFF"/>
          </w:rPr>
          <w:t>https://doi.org/10.21802/gmj.2023.1.7</w:t>
        </w:r>
      </w:hyperlink>
      <w:r w:rsidR="00CF6568">
        <w:rPr>
          <w:rFonts w:ascii="Times New Roman" w:hAnsi="Times New Roman" w:cs="Times New Roman"/>
          <w:sz w:val="16"/>
          <w:szCs w:val="16"/>
          <w:bdr w:val="none" w:sz="0" w:space="0" w:color="auto" w:frame="1"/>
          <w:shd w:val="clear" w:color="auto" w:fill="FFFFFF"/>
          <w:lang w:val="en-US"/>
        </w:rPr>
        <w:t xml:space="preserve"> </w:t>
      </w:r>
      <w:r w:rsidRPr="00CF6568">
        <w:rPr>
          <w:rFonts w:ascii="Times New Roman" w:hAnsi="Times New Roman" w:cs="Times New Roman"/>
          <w:sz w:val="16"/>
          <w:szCs w:val="16"/>
          <w:lang w:val="en-US"/>
        </w:rPr>
        <w:t>accessed 05 August 2023</w:t>
      </w:r>
    </w:p>
  </w:footnote>
  <w:footnote w:id="13">
    <w:p w:rsidR="00A26537" w:rsidRPr="00A52B39" w:rsidRDefault="00A26537" w:rsidP="00A26537">
      <w:pPr>
        <w:autoSpaceDE w:val="0"/>
        <w:autoSpaceDN w:val="0"/>
        <w:adjustRightInd w:val="0"/>
        <w:jc w:val="both"/>
        <w:rPr>
          <w:sz w:val="16"/>
          <w:szCs w:val="16"/>
          <w:lang w:val="en-US"/>
        </w:rPr>
      </w:pPr>
      <w:r w:rsidRPr="00CF6568">
        <w:rPr>
          <w:rStyle w:val="a5"/>
          <w:rFonts w:ascii="Times New Roman" w:hAnsi="Times New Roman" w:cs="Times New Roman"/>
          <w:sz w:val="16"/>
          <w:szCs w:val="16"/>
        </w:rPr>
        <w:footnoteRef/>
      </w:r>
      <w:r w:rsidRPr="00CF6568">
        <w:rPr>
          <w:rFonts w:ascii="Times New Roman" w:hAnsi="Times New Roman" w:cs="Times New Roman"/>
          <w:sz w:val="16"/>
          <w:szCs w:val="16"/>
          <w:lang w:val="en-US"/>
        </w:rPr>
        <w:t xml:space="preserve"> </w:t>
      </w:r>
      <w:r w:rsidRPr="00CF6568">
        <w:rPr>
          <w:rFonts w:ascii="Times New Roman" w:hAnsi="Times New Roman" w:cs="Times New Roman"/>
          <w:sz w:val="16"/>
          <w:szCs w:val="16"/>
          <w:bdr w:val="none" w:sz="0" w:space="0" w:color="auto" w:frame="1"/>
          <w:shd w:val="clear" w:color="auto" w:fill="FFFFFF"/>
          <w:lang w:val="en-US"/>
        </w:rPr>
        <w:t xml:space="preserve">N Kozan, V Voloshynovych, V Kotsyubynska, H Zelenchuk, A Tsikhivskyi.  </w:t>
      </w:r>
      <w:r w:rsidRPr="00CF6568">
        <w:rPr>
          <w:rFonts w:ascii="Times New Roman" w:hAnsi="Times New Roman" w:cs="Times New Roman"/>
          <w:sz w:val="16"/>
          <w:szCs w:val="16"/>
          <w:lang w:val="en-US"/>
        </w:rPr>
        <w:t>‘</w:t>
      </w:r>
      <w:r w:rsidRPr="00CF6568">
        <w:rPr>
          <w:rFonts w:ascii="Times New Roman" w:hAnsi="Times New Roman" w:cs="Times New Roman"/>
          <w:sz w:val="16"/>
          <w:szCs w:val="16"/>
          <w:bdr w:val="none" w:sz="0" w:space="0" w:color="auto" w:frame="1"/>
          <w:shd w:val="clear" w:color="auto" w:fill="FFFFFF"/>
          <w:lang w:val="en-US"/>
        </w:rPr>
        <w:t>Analysis of commission forensic-medical examinations performed in cases concerning the responsibility of surgical professional doctors</w:t>
      </w:r>
      <w:r w:rsidRPr="00CF6568">
        <w:rPr>
          <w:rFonts w:ascii="Times New Roman" w:hAnsi="Times New Roman" w:cs="Times New Roman"/>
          <w:sz w:val="16"/>
          <w:szCs w:val="16"/>
          <w:lang w:val="en-US"/>
        </w:rPr>
        <w:t>’</w:t>
      </w:r>
      <w:r w:rsidRPr="00CF6568">
        <w:rPr>
          <w:rFonts w:ascii="Times New Roman" w:hAnsi="Times New Roman" w:cs="Times New Roman"/>
          <w:sz w:val="16"/>
          <w:szCs w:val="16"/>
          <w:bdr w:val="none" w:sz="0" w:space="0" w:color="auto" w:frame="1"/>
          <w:shd w:val="clear" w:color="auto" w:fill="FFFFFF"/>
          <w:lang w:val="en-US"/>
        </w:rPr>
        <w:t xml:space="preserve"> (2020) 27 (2) Galician Medical Journal </w:t>
      </w:r>
      <w:hyperlink r:id="rId13" w:history="1">
        <w:r w:rsidR="00CF6568" w:rsidRPr="00683CDF">
          <w:rPr>
            <w:rStyle w:val="a6"/>
            <w:rFonts w:ascii="Times New Roman" w:hAnsi="Times New Roman" w:cs="Times New Roman"/>
            <w:sz w:val="16"/>
            <w:szCs w:val="16"/>
            <w:bdr w:val="none" w:sz="0" w:space="0" w:color="auto" w:frame="1"/>
            <w:shd w:val="clear" w:color="auto" w:fill="FFFFFF"/>
            <w:lang w:val="en-US"/>
          </w:rPr>
          <w:t>http://dx.doi.org/10.21802/gmj.2020.2.10</w:t>
        </w:r>
      </w:hyperlink>
      <w:r w:rsidR="00CF6568">
        <w:rPr>
          <w:rFonts w:ascii="Times New Roman" w:hAnsi="Times New Roman" w:cs="Times New Roman"/>
          <w:sz w:val="16"/>
          <w:szCs w:val="16"/>
          <w:bdr w:val="none" w:sz="0" w:space="0" w:color="auto" w:frame="1"/>
          <w:shd w:val="clear" w:color="auto" w:fill="FFFFFF"/>
          <w:lang w:val="en-US"/>
        </w:rPr>
        <w:t xml:space="preserve"> </w:t>
      </w:r>
      <w:r w:rsidRPr="00CF6568">
        <w:rPr>
          <w:rFonts w:ascii="Times New Roman" w:hAnsi="Times New Roman" w:cs="Times New Roman"/>
          <w:sz w:val="16"/>
          <w:szCs w:val="16"/>
          <w:lang w:val="en-US"/>
        </w:rPr>
        <w:t>accessed 05 August 2023</w:t>
      </w:r>
    </w:p>
  </w:footnote>
  <w:footnote w:id="14">
    <w:p w:rsidR="008A51FC" w:rsidRDefault="008A51FC" w:rsidP="008A51FC">
      <w:pPr>
        <w:pStyle w:val="a3"/>
        <w:ind w:firstLine="709"/>
        <w:jc w:val="both"/>
        <w:rPr>
          <w:rFonts w:ascii="Times New Roman" w:hAnsi="Times New Roman" w:cs="Times New Roman"/>
          <w:sz w:val="16"/>
          <w:szCs w:val="16"/>
          <w:bdr w:val="none" w:sz="0" w:space="0" w:color="auto" w:frame="1"/>
          <w:shd w:val="clear" w:color="auto" w:fill="FFFFFF"/>
        </w:rPr>
      </w:pPr>
      <w:r w:rsidRPr="00CF6568">
        <w:rPr>
          <w:rStyle w:val="a5"/>
          <w:rFonts w:ascii="Times New Roman" w:hAnsi="Times New Roman" w:cs="Times New Roman"/>
          <w:sz w:val="16"/>
          <w:szCs w:val="16"/>
        </w:rPr>
        <w:footnoteRef/>
      </w:r>
      <w:r w:rsidRPr="00CF6568">
        <w:rPr>
          <w:rFonts w:ascii="Times New Roman" w:hAnsi="Times New Roman" w:cs="Times New Roman"/>
          <w:sz w:val="16"/>
          <w:szCs w:val="16"/>
        </w:rPr>
        <w:t xml:space="preserve"> </w:t>
      </w:r>
      <w:r w:rsidRPr="00CF6568">
        <w:rPr>
          <w:rFonts w:ascii="Times New Roman" w:hAnsi="Times New Roman" w:cs="Times New Roman"/>
          <w:sz w:val="16"/>
          <w:szCs w:val="16"/>
          <w:bdr w:val="none" w:sz="0" w:space="0" w:color="auto" w:frame="1"/>
          <w:shd w:val="clear" w:color="auto" w:fill="FFFFFF"/>
        </w:rPr>
        <w:t>N Kozan, V Voloshynovych, Yu Kotsiubynska, G Zelenchuk, V Chadyuk, ‘Struktura sudovo-medichnykh ekspertyz stosovno prytyahnennia do vidpovidalnosti likariv khirurhichnoho profiliu’ Pravovi problemy suchasnoi transformatsii okhorony zdorov’ia: vseukrainska naukovo-praktychna konferentsiia z mizhnarodnoiu uchastiu, 27-28 travnia 2021 r. : materialy konferentsii (Zaporizhzhia, 2021).</w:t>
      </w:r>
    </w:p>
    <w:p w:rsidR="00CF6568" w:rsidRPr="00CF6568" w:rsidRDefault="00CF6568" w:rsidP="008A51FC">
      <w:pPr>
        <w:pStyle w:val="a3"/>
        <w:ind w:firstLine="709"/>
        <w:jc w:val="both"/>
        <w:rPr>
          <w:rFonts w:ascii="Times New Roman" w:hAnsi="Times New Roman" w:cs="Times New Roman"/>
          <w:sz w:val="16"/>
          <w:szCs w:val="16"/>
        </w:rPr>
      </w:pPr>
    </w:p>
  </w:footnote>
  <w:footnote w:id="15">
    <w:p w:rsidR="0005601A" w:rsidRPr="00CF6568" w:rsidRDefault="0005601A" w:rsidP="0005601A">
      <w:pPr>
        <w:jc w:val="both"/>
        <w:rPr>
          <w:rFonts w:ascii="Times New Roman" w:hAnsi="Times New Roman" w:cs="Times New Roman"/>
          <w:color w:val="000000"/>
          <w:sz w:val="16"/>
          <w:szCs w:val="16"/>
        </w:rPr>
      </w:pPr>
      <w:r w:rsidRPr="00CF6568">
        <w:rPr>
          <w:rStyle w:val="a5"/>
          <w:rFonts w:ascii="Times New Roman" w:hAnsi="Times New Roman" w:cs="Times New Roman"/>
          <w:sz w:val="16"/>
          <w:szCs w:val="16"/>
        </w:rPr>
        <w:footnoteRef/>
      </w:r>
      <w:r w:rsidRPr="00CF6568">
        <w:rPr>
          <w:rFonts w:ascii="Times New Roman" w:hAnsi="Times New Roman" w:cs="Times New Roman"/>
          <w:sz w:val="16"/>
          <w:szCs w:val="16"/>
          <w:lang w:val="en-US"/>
        </w:rPr>
        <w:t xml:space="preserve"> </w:t>
      </w:r>
      <w:r w:rsidR="00CF6568" w:rsidRPr="00CF6568">
        <w:rPr>
          <w:rFonts w:ascii="Times New Roman" w:hAnsi="Times New Roman" w:cs="Times New Roman"/>
          <w:sz w:val="16"/>
          <w:szCs w:val="16"/>
          <w:lang w:val="en-US"/>
        </w:rPr>
        <w:t xml:space="preserve">Dictionary of the Ukrainian Language: Academic Explanatory Dictionary (1970-1980). </w:t>
      </w:r>
      <w:hyperlink r:id="rId14" w:history="1">
        <w:r w:rsidR="00CF6568" w:rsidRPr="00683CDF">
          <w:rPr>
            <w:rStyle w:val="a6"/>
            <w:rFonts w:ascii="Times New Roman" w:hAnsi="Times New Roman" w:cs="Times New Roman"/>
            <w:sz w:val="16"/>
            <w:szCs w:val="16"/>
          </w:rPr>
          <w:t>http://sum.in.ua/</w:t>
        </w:r>
      </w:hyperlink>
      <w:r w:rsidR="00CF6568">
        <w:rPr>
          <w:rFonts w:ascii="Times New Roman" w:hAnsi="Times New Roman" w:cs="Times New Roman"/>
          <w:sz w:val="16"/>
          <w:szCs w:val="16"/>
        </w:rPr>
        <w:t xml:space="preserve"> </w:t>
      </w:r>
      <w:r w:rsidR="00CF6568" w:rsidRPr="00CF6568">
        <w:rPr>
          <w:rFonts w:ascii="Times New Roman" w:hAnsi="Times New Roman" w:cs="Times New Roman"/>
          <w:sz w:val="16"/>
          <w:szCs w:val="16"/>
        </w:rPr>
        <w:t>text available on 25.07.2023</w:t>
      </w:r>
    </w:p>
  </w:footnote>
  <w:footnote w:id="16">
    <w:p w:rsidR="0005601A" w:rsidRPr="00CF6568" w:rsidRDefault="0005601A" w:rsidP="0005601A">
      <w:pPr>
        <w:jc w:val="both"/>
        <w:rPr>
          <w:rFonts w:ascii="Times New Roman" w:hAnsi="Times New Roman" w:cs="Times New Roman"/>
          <w:color w:val="000000"/>
          <w:sz w:val="16"/>
          <w:szCs w:val="16"/>
          <w:lang w:val="en-US"/>
        </w:rPr>
      </w:pPr>
      <w:r w:rsidRPr="00CF6568">
        <w:rPr>
          <w:rStyle w:val="a5"/>
          <w:rFonts w:ascii="Times New Roman" w:hAnsi="Times New Roman" w:cs="Times New Roman"/>
          <w:sz w:val="16"/>
          <w:szCs w:val="16"/>
        </w:rPr>
        <w:footnoteRef/>
      </w:r>
      <w:r w:rsidRPr="00CF6568">
        <w:rPr>
          <w:rFonts w:ascii="Times New Roman" w:hAnsi="Times New Roman" w:cs="Times New Roman"/>
          <w:sz w:val="16"/>
          <w:szCs w:val="16"/>
          <w:lang w:val="en-US"/>
        </w:rPr>
        <w:t xml:space="preserve"> </w:t>
      </w:r>
      <w:r w:rsidR="00CF6568" w:rsidRPr="00CF6568">
        <w:rPr>
          <w:rFonts w:ascii="Times New Roman" w:hAnsi="Times New Roman" w:cs="Times New Roman"/>
          <w:sz w:val="16"/>
          <w:szCs w:val="16"/>
          <w:lang w:val="en-US"/>
        </w:rPr>
        <w:t xml:space="preserve">On the Execution of Judgements and Application of the Case Law of the European Court of Human Rights: Law of Ukraine of 23 February 2006, No. 3477-IV </w:t>
      </w:r>
      <w:hyperlink r:id="rId15" w:history="1">
        <w:r w:rsidR="00CF6568" w:rsidRPr="00683CDF">
          <w:rPr>
            <w:rStyle w:val="a6"/>
            <w:rFonts w:ascii="Times New Roman" w:hAnsi="Times New Roman" w:cs="Times New Roman"/>
            <w:sz w:val="16"/>
            <w:szCs w:val="16"/>
            <w:lang w:val="en-US"/>
          </w:rPr>
          <w:t>https://zakon.rada.gov.ua/laws/show/3477-15#Text</w:t>
        </w:r>
      </w:hyperlink>
      <w:r w:rsidR="00CF6568">
        <w:rPr>
          <w:rFonts w:ascii="Times New Roman" w:hAnsi="Times New Roman" w:cs="Times New Roman"/>
          <w:sz w:val="16"/>
          <w:szCs w:val="16"/>
          <w:lang w:val="en-US"/>
        </w:rPr>
        <w:t xml:space="preserve"> text a</w:t>
      </w:r>
      <w:r w:rsidR="00CF6568" w:rsidRPr="00CF6568">
        <w:rPr>
          <w:rFonts w:ascii="Times New Roman" w:hAnsi="Times New Roman" w:cs="Times New Roman"/>
          <w:sz w:val="16"/>
          <w:szCs w:val="16"/>
          <w:lang w:val="en-US"/>
        </w:rPr>
        <w:t>ccessed 25.07.2023</w:t>
      </w:r>
    </w:p>
  </w:footnote>
  <w:footnote w:id="17">
    <w:p w:rsidR="0077762C" w:rsidRPr="00CF6568" w:rsidRDefault="0077762C" w:rsidP="00CF6568">
      <w:pPr>
        <w:jc w:val="both"/>
        <w:rPr>
          <w:rFonts w:ascii="Times New Roman" w:hAnsi="Times New Roman" w:cs="Times New Roman"/>
          <w:sz w:val="16"/>
          <w:szCs w:val="16"/>
          <w:lang w:val="en-US"/>
        </w:rPr>
      </w:pPr>
      <w:r w:rsidRPr="00CF6568">
        <w:rPr>
          <w:rStyle w:val="a5"/>
          <w:rFonts w:ascii="Times New Roman" w:hAnsi="Times New Roman" w:cs="Times New Roman"/>
          <w:sz w:val="16"/>
          <w:szCs w:val="16"/>
        </w:rPr>
        <w:footnoteRef/>
      </w:r>
      <w:r w:rsidRPr="00CF6568">
        <w:rPr>
          <w:rFonts w:ascii="Times New Roman" w:hAnsi="Times New Roman" w:cs="Times New Roman"/>
          <w:sz w:val="16"/>
          <w:szCs w:val="16"/>
          <w:lang w:val="en-US"/>
        </w:rPr>
        <w:t xml:space="preserve"> </w:t>
      </w:r>
      <w:r w:rsidR="00CF6568" w:rsidRPr="00CF6568">
        <w:rPr>
          <w:rFonts w:ascii="Times New Roman" w:hAnsi="Times New Roman" w:cs="Times New Roman"/>
          <w:sz w:val="16"/>
          <w:szCs w:val="16"/>
          <w:lang w:val="en-US"/>
        </w:rPr>
        <w:t>The Constitution of Ukraine: Law of Ukraine of 28 Ju</w:t>
      </w:r>
      <w:r w:rsidR="00CF6568">
        <w:rPr>
          <w:rFonts w:ascii="Times New Roman" w:hAnsi="Times New Roman" w:cs="Times New Roman"/>
          <w:sz w:val="16"/>
          <w:szCs w:val="16"/>
          <w:lang w:val="en-US"/>
        </w:rPr>
        <w:t xml:space="preserve">ne 1996, </w:t>
      </w:r>
      <w:r w:rsidR="00CF6568" w:rsidRPr="00CF6568">
        <w:rPr>
          <w:rFonts w:ascii="Times New Roman" w:hAnsi="Times New Roman" w:cs="Times New Roman"/>
          <w:sz w:val="16"/>
          <w:szCs w:val="16"/>
          <w:lang w:val="en-US"/>
        </w:rPr>
        <w:t>No. 254</w:t>
      </w:r>
      <w:r w:rsidR="00CF6568" w:rsidRPr="00CF6568">
        <w:rPr>
          <w:rFonts w:ascii="Times New Roman" w:hAnsi="Times New Roman" w:cs="Times New Roman"/>
          <w:sz w:val="16"/>
          <w:szCs w:val="16"/>
        </w:rPr>
        <w:t>к</w:t>
      </w:r>
      <w:r w:rsidR="00CF6568" w:rsidRPr="00CF6568">
        <w:rPr>
          <w:rFonts w:ascii="Times New Roman" w:hAnsi="Times New Roman" w:cs="Times New Roman"/>
          <w:sz w:val="16"/>
          <w:szCs w:val="16"/>
          <w:lang w:val="en-US"/>
        </w:rPr>
        <w:t>/96-</w:t>
      </w:r>
      <w:r w:rsidR="00CF6568" w:rsidRPr="00CF6568">
        <w:rPr>
          <w:rFonts w:ascii="Times New Roman" w:hAnsi="Times New Roman" w:cs="Times New Roman"/>
          <w:sz w:val="16"/>
          <w:szCs w:val="16"/>
        </w:rPr>
        <w:t>ВР</w:t>
      </w:r>
      <w:r w:rsidR="00CF6568" w:rsidRPr="00CF6568">
        <w:rPr>
          <w:rFonts w:ascii="Times New Roman" w:hAnsi="Times New Roman" w:cs="Times New Roman"/>
          <w:sz w:val="16"/>
          <w:szCs w:val="16"/>
          <w:lang w:val="en-US"/>
        </w:rPr>
        <w:t xml:space="preserve"> </w:t>
      </w:r>
      <w:hyperlink r:id="rId16" w:history="1">
        <w:r w:rsidR="00CF6568" w:rsidRPr="00683CDF">
          <w:rPr>
            <w:rStyle w:val="a6"/>
            <w:rFonts w:ascii="Times New Roman" w:hAnsi="Times New Roman" w:cs="Times New Roman"/>
            <w:sz w:val="16"/>
            <w:szCs w:val="16"/>
            <w:lang w:val="en-US"/>
          </w:rPr>
          <w:t>https://zakon.rada.gov.ua/laws/show/254%D0%BA/96-%D0%B2%D1%80#Text</w:t>
        </w:r>
      </w:hyperlink>
      <w:r w:rsidR="00CF6568">
        <w:rPr>
          <w:rFonts w:ascii="Times New Roman" w:hAnsi="Times New Roman" w:cs="Times New Roman"/>
          <w:sz w:val="16"/>
          <w:szCs w:val="16"/>
          <w:lang w:val="en-US"/>
        </w:rPr>
        <w:t xml:space="preserve"> text </w:t>
      </w:r>
      <w:r w:rsidR="00CF6568" w:rsidRPr="00CF6568">
        <w:rPr>
          <w:rFonts w:ascii="Times New Roman" w:hAnsi="Times New Roman" w:cs="Times New Roman"/>
          <w:sz w:val="16"/>
          <w:szCs w:val="16"/>
          <w:lang w:val="en-US"/>
        </w:rPr>
        <w:t>accessed 25.07.2023</w:t>
      </w:r>
    </w:p>
  </w:footnote>
  <w:footnote w:id="18">
    <w:p w:rsidR="0077762C" w:rsidRPr="00A57D15" w:rsidRDefault="0077762C" w:rsidP="0077762C">
      <w:pPr>
        <w:jc w:val="both"/>
        <w:rPr>
          <w:rFonts w:ascii="Times New Roman" w:hAnsi="Times New Roman" w:cs="Times New Roman"/>
          <w:color w:val="000000"/>
          <w:sz w:val="16"/>
          <w:szCs w:val="16"/>
          <w:lang w:val="en-US"/>
        </w:rPr>
      </w:pPr>
      <w:r w:rsidRPr="00A57D15">
        <w:rPr>
          <w:rStyle w:val="a5"/>
          <w:rFonts w:ascii="Times New Roman" w:hAnsi="Times New Roman" w:cs="Times New Roman"/>
          <w:sz w:val="16"/>
          <w:szCs w:val="16"/>
        </w:rPr>
        <w:footnoteRef/>
      </w:r>
      <w:r w:rsidR="00A57D15" w:rsidRPr="00A57D15">
        <w:rPr>
          <w:rFonts w:ascii="Times New Roman" w:hAnsi="Times New Roman" w:cs="Times New Roman"/>
          <w:sz w:val="16"/>
          <w:szCs w:val="16"/>
          <w:lang w:val="en-US"/>
        </w:rPr>
        <w:t xml:space="preserve"> Fundamentals of the legislation of Ukraine on health care: Law of Ukraine of 19 November 1992, No. 2801-XII </w:t>
      </w:r>
      <w:hyperlink r:id="rId17" w:history="1">
        <w:r w:rsidR="00CF6568" w:rsidRPr="00683CDF">
          <w:rPr>
            <w:rStyle w:val="a6"/>
            <w:rFonts w:ascii="Times New Roman" w:hAnsi="Times New Roman" w:cs="Times New Roman"/>
            <w:sz w:val="16"/>
            <w:szCs w:val="16"/>
            <w:lang w:val="en-US"/>
          </w:rPr>
          <w:t>https://zakon.rada.gov.ua/laws/show/2801-12#Text</w:t>
        </w:r>
      </w:hyperlink>
      <w:r w:rsidR="00CF6568">
        <w:rPr>
          <w:rFonts w:ascii="Times New Roman" w:hAnsi="Times New Roman" w:cs="Times New Roman"/>
          <w:sz w:val="16"/>
          <w:szCs w:val="16"/>
          <w:lang w:val="en-US"/>
        </w:rPr>
        <w:t xml:space="preserve"> </w:t>
      </w:r>
      <w:r w:rsidR="00A57D15" w:rsidRPr="00A57D15">
        <w:rPr>
          <w:rFonts w:ascii="Times New Roman" w:hAnsi="Times New Roman" w:cs="Times New Roman"/>
          <w:sz w:val="16"/>
          <w:szCs w:val="16"/>
          <w:lang w:val="en-US"/>
        </w:rPr>
        <w:t>text accessed 25.07.2023</w:t>
      </w:r>
    </w:p>
  </w:footnote>
  <w:footnote w:id="19">
    <w:p w:rsidR="005A367D" w:rsidRPr="00A57D15" w:rsidRDefault="005A367D" w:rsidP="005A367D">
      <w:pPr>
        <w:jc w:val="both"/>
        <w:rPr>
          <w:rFonts w:ascii="Times New Roman" w:hAnsi="Times New Roman" w:cs="Times New Roman"/>
          <w:color w:val="000000"/>
          <w:sz w:val="16"/>
          <w:szCs w:val="16"/>
          <w:lang w:val="en-US"/>
        </w:rPr>
      </w:pPr>
      <w:r w:rsidRPr="00A57D15">
        <w:rPr>
          <w:rStyle w:val="a5"/>
          <w:rFonts w:ascii="Times New Roman" w:hAnsi="Times New Roman" w:cs="Times New Roman"/>
          <w:sz w:val="16"/>
          <w:szCs w:val="16"/>
        </w:rPr>
        <w:footnoteRef/>
      </w:r>
      <w:r w:rsidRPr="00A57D15">
        <w:rPr>
          <w:rFonts w:ascii="Times New Roman" w:hAnsi="Times New Roman" w:cs="Times New Roman"/>
          <w:sz w:val="16"/>
          <w:szCs w:val="16"/>
          <w:lang w:val="en-US"/>
        </w:rPr>
        <w:t xml:space="preserve"> </w:t>
      </w:r>
      <w:r w:rsidRPr="00A57D15">
        <w:rPr>
          <w:rFonts w:ascii="Times New Roman" w:hAnsi="Times New Roman" w:cs="Times New Roman"/>
          <w:color w:val="000000"/>
          <w:sz w:val="16"/>
          <w:szCs w:val="16"/>
          <w:lang w:val="en-US"/>
        </w:rPr>
        <w:t>T Yamnenko, I Litvinova, ‘Judical domestic practice in medical criminal proceedings and civil cases’ (2018) 4 (62) Derzava ta regioni. Seria: Pravo 51</w:t>
      </w:r>
    </w:p>
  </w:footnote>
  <w:footnote w:id="20">
    <w:p w:rsidR="004A160D" w:rsidRPr="00A57D15" w:rsidRDefault="004A160D" w:rsidP="004A160D">
      <w:pPr>
        <w:jc w:val="both"/>
        <w:rPr>
          <w:rFonts w:ascii="Times New Roman" w:hAnsi="Times New Roman" w:cs="Times New Roman"/>
          <w:color w:val="000000"/>
          <w:sz w:val="16"/>
          <w:szCs w:val="16"/>
          <w:lang w:val="en-US"/>
        </w:rPr>
      </w:pPr>
      <w:r w:rsidRPr="00A57D15">
        <w:rPr>
          <w:rStyle w:val="a5"/>
          <w:rFonts w:ascii="Times New Roman" w:hAnsi="Times New Roman" w:cs="Times New Roman"/>
          <w:sz w:val="16"/>
          <w:szCs w:val="16"/>
        </w:rPr>
        <w:footnoteRef/>
      </w:r>
      <w:r w:rsidRPr="00A57D15">
        <w:rPr>
          <w:rFonts w:ascii="Times New Roman" w:hAnsi="Times New Roman" w:cs="Times New Roman"/>
          <w:sz w:val="16"/>
          <w:szCs w:val="16"/>
          <w:lang w:val="en-US"/>
        </w:rPr>
        <w:t xml:space="preserve"> </w:t>
      </w:r>
      <w:r w:rsidRPr="00A57D15">
        <w:rPr>
          <w:rFonts w:ascii="Times New Roman" w:hAnsi="Times New Roman" w:cs="Times New Roman"/>
          <w:color w:val="000000"/>
          <w:sz w:val="16"/>
          <w:szCs w:val="16"/>
          <w:lang w:val="en-US"/>
        </w:rPr>
        <w:t>SB Buletsi and MV Mendzhul, ‘Medychne pravo’ (TOV "RIK-U" 2021) 640</w:t>
      </w:r>
    </w:p>
  </w:footnote>
  <w:footnote w:id="21">
    <w:p w:rsidR="002A2922" w:rsidRPr="00A57D15" w:rsidRDefault="002A2922" w:rsidP="002A2922">
      <w:pPr>
        <w:jc w:val="both"/>
        <w:rPr>
          <w:rFonts w:ascii="Times New Roman" w:hAnsi="Times New Roman" w:cs="Times New Roman"/>
          <w:color w:val="000000"/>
          <w:sz w:val="16"/>
          <w:szCs w:val="16"/>
          <w:lang w:val="en-US"/>
        </w:rPr>
      </w:pPr>
      <w:r w:rsidRPr="00A57D15">
        <w:rPr>
          <w:rStyle w:val="a5"/>
          <w:rFonts w:ascii="Times New Roman" w:hAnsi="Times New Roman" w:cs="Times New Roman"/>
          <w:sz w:val="16"/>
          <w:szCs w:val="16"/>
        </w:rPr>
        <w:footnoteRef/>
      </w:r>
      <w:r w:rsidRPr="00A57D15">
        <w:rPr>
          <w:rFonts w:ascii="Times New Roman" w:hAnsi="Times New Roman" w:cs="Times New Roman"/>
          <w:sz w:val="16"/>
          <w:szCs w:val="16"/>
          <w:lang w:val="en-US"/>
        </w:rPr>
        <w:t xml:space="preserve"> </w:t>
      </w:r>
      <w:r w:rsidR="00A57D15" w:rsidRPr="00A57D15">
        <w:rPr>
          <w:rFonts w:ascii="Times New Roman" w:hAnsi="Times New Roman" w:cs="Times New Roman"/>
          <w:sz w:val="16"/>
          <w:szCs w:val="16"/>
          <w:lang w:val="en-US"/>
        </w:rPr>
        <w:t xml:space="preserve">On the Protection of Consumer Rights: Law of Ukraine of 12 May 1991, No. 1223-XII </w:t>
      </w:r>
      <w:hyperlink r:id="rId18" w:history="1">
        <w:r w:rsidR="00A57D15" w:rsidRPr="00683CDF">
          <w:rPr>
            <w:rStyle w:val="a6"/>
            <w:rFonts w:ascii="Times New Roman" w:hAnsi="Times New Roman" w:cs="Times New Roman"/>
            <w:sz w:val="16"/>
            <w:szCs w:val="16"/>
            <w:lang w:val="en-US"/>
          </w:rPr>
          <w:t>https://zakon.rada.gov.ua/laws/show/1023-12#Text</w:t>
        </w:r>
      </w:hyperlink>
      <w:r w:rsidR="00A57D15">
        <w:rPr>
          <w:rFonts w:ascii="Times New Roman" w:hAnsi="Times New Roman" w:cs="Times New Roman"/>
          <w:sz w:val="16"/>
          <w:szCs w:val="16"/>
          <w:lang w:val="en-US"/>
        </w:rPr>
        <w:t xml:space="preserve"> text </w:t>
      </w:r>
      <w:r w:rsidR="00A57D15" w:rsidRPr="00A57D15">
        <w:rPr>
          <w:rFonts w:ascii="Times New Roman" w:hAnsi="Times New Roman" w:cs="Times New Roman"/>
          <w:sz w:val="16"/>
          <w:szCs w:val="16"/>
          <w:lang w:val="en-US"/>
        </w:rPr>
        <w:t>accessed 25.07.2023</w:t>
      </w:r>
    </w:p>
  </w:footnote>
  <w:footnote w:id="22">
    <w:p w:rsidR="002A2922" w:rsidRPr="00A57D15" w:rsidRDefault="002A2922" w:rsidP="002A2922">
      <w:pPr>
        <w:pStyle w:val="a3"/>
        <w:ind w:firstLine="709"/>
        <w:rPr>
          <w:rFonts w:ascii="Times New Roman" w:hAnsi="Times New Roman" w:cs="Times New Roman"/>
          <w:sz w:val="16"/>
          <w:szCs w:val="16"/>
        </w:rPr>
      </w:pPr>
      <w:r w:rsidRPr="00A57D15">
        <w:rPr>
          <w:rStyle w:val="a5"/>
          <w:rFonts w:ascii="Times New Roman" w:hAnsi="Times New Roman" w:cs="Times New Roman"/>
          <w:sz w:val="16"/>
          <w:szCs w:val="16"/>
        </w:rPr>
        <w:footnoteRef/>
      </w:r>
      <w:r w:rsidRPr="00A57D15">
        <w:rPr>
          <w:rFonts w:ascii="Times New Roman" w:hAnsi="Times New Roman" w:cs="Times New Roman"/>
          <w:sz w:val="16"/>
          <w:szCs w:val="16"/>
          <w:lang w:val="en-US"/>
        </w:rPr>
        <w:t xml:space="preserve"> </w:t>
      </w:r>
      <w:r w:rsidRPr="00A57D15">
        <w:rPr>
          <w:rFonts w:ascii="Times New Roman" w:hAnsi="Times New Roman" w:cs="Times New Roman"/>
          <w:color w:val="000000"/>
          <w:sz w:val="16"/>
          <w:szCs w:val="16"/>
        </w:rPr>
        <w:t>R Maydanyk, ‘Pytannia tsyvilno-pravovoi vidpovidalnosti za dohovorom pro nadannia medychnykh posluh’ (2011) (11-12) Legal journal «Law of Ukraine» 82</w:t>
      </w:r>
    </w:p>
  </w:footnote>
  <w:footnote w:id="23">
    <w:p w:rsidR="00AE43E0" w:rsidRPr="00A57D15" w:rsidRDefault="00AE43E0" w:rsidP="00AE43E0">
      <w:pPr>
        <w:jc w:val="both"/>
        <w:rPr>
          <w:rFonts w:ascii="Times New Roman" w:hAnsi="Times New Roman" w:cs="Times New Roman"/>
          <w:color w:val="000000"/>
          <w:sz w:val="16"/>
          <w:szCs w:val="16"/>
          <w:lang w:val="en-US"/>
        </w:rPr>
      </w:pPr>
      <w:r w:rsidRPr="00A57D15">
        <w:rPr>
          <w:rStyle w:val="a5"/>
          <w:rFonts w:ascii="Times New Roman" w:hAnsi="Times New Roman" w:cs="Times New Roman"/>
          <w:sz w:val="16"/>
          <w:szCs w:val="16"/>
        </w:rPr>
        <w:footnoteRef/>
      </w:r>
      <w:r w:rsidRPr="00A57D15">
        <w:rPr>
          <w:rFonts w:ascii="Times New Roman" w:hAnsi="Times New Roman" w:cs="Times New Roman"/>
          <w:sz w:val="16"/>
          <w:szCs w:val="16"/>
          <w:lang w:val="en-US"/>
        </w:rPr>
        <w:t xml:space="preserve"> </w:t>
      </w:r>
      <w:r w:rsidR="00A57D15" w:rsidRPr="00A57D15">
        <w:rPr>
          <w:rFonts w:ascii="Times New Roman" w:hAnsi="Times New Roman" w:cs="Times New Roman"/>
          <w:sz w:val="16"/>
          <w:szCs w:val="16"/>
          <w:lang w:val="en-US"/>
        </w:rPr>
        <w:t>Overview of the data on decisions made by the Supreme Court from 2019 to 2022 in disputes related to the application of the Law of Ukraine "On Protection of Consumer Rights" (Unified State Register of Court Decisions 2019-2022</w:t>
      </w:r>
      <w:r w:rsidR="00A57D15">
        <w:rPr>
          <w:rFonts w:ascii="Times New Roman" w:hAnsi="Times New Roman" w:cs="Times New Roman"/>
          <w:sz w:val="16"/>
          <w:szCs w:val="16"/>
          <w:lang w:val="en-US"/>
        </w:rPr>
        <w:t xml:space="preserve">) </w:t>
      </w:r>
      <w:hyperlink r:id="rId19" w:history="1">
        <w:r w:rsidR="00A57D15" w:rsidRPr="00683CDF">
          <w:rPr>
            <w:rStyle w:val="a6"/>
            <w:rFonts w:ascii="Times New Roman" w:hAnsi="Times New Roman" w:cs="Times New Roman"/>
            <w:sz w:val="16"/>
            <w:szCs w:val="16"/>
            <w:lang w:val="en-US"/>
          </w:rPr>
          <w:t>https://reyestr.court.gov.ua/</w:t>
        </w:r>
      </w:hyperlink>
      <w:r w:rsidR="00A57D15">
        <w:rPr>
          <w:rFonts w:ascii="Times New Roman" w:hAnsi="Times New Roman" w:cs="Times New Roman"/>
          <w:sz w:val="16"/>
          <w:szCs w:val="16"/>
          <w:lang w:val="en-US"/>
        </w:rPr>
        <w:t xml:space="preserve"> </w:t>
      </w:r>
      <w:r w:rsidR="00A57D15" w:rsidRPr="00A57D15">
        <w:rPr>
          <w:rFonts w:ascii="Times New Roman" w:hAnsi="Times New Roman" w:cs="Times New Roman"/>
          <w:sz w:val="16"/>
          <w:szCs w:val="16"/>
          <w:lang w:val="en-US"/>
        </w:rPr>
        <w:t>text accessed 25.07.2023</w:t>
      </w:r>
    </w:p>
  </w:footnote>
  <w:footnote w:id="24">
    <w:p w:rsidR="009342A5" w:rsidRPr="00A57D15" w:rsidRDefault="009342A5" w:rsidP="009342A5">
      <w:pPr>
        <w:jc w:val="both"/>
        <w:rPr>
          <w:rFonts w:ascii="Times New Roman" w:hAnsi="Times New Roman" w:cs="Times New Roman"/>
          <w:color w:val="000000"/>
          <w:sz w:val="16"/>
          <w:szCs w:val="16"/>
          <w:lang w:val="en-US"/>
        </w:rPr>
      </w:pPr>
      <w:r w:rsidRPr="00A57D15">
        <w:rPr>
          <w:rStyle w:val="a5"/>
          <w:rFonts w:ascii="Times New Roman" w:hAnsi="Times New Roman" w:cs="Times New Roman"/>
          <w:sz w:val="16"/>
          <w:szCs w:val="16"/>
        </w:rPr>
        <w:footnoteRef/>
      </w:r>
      <w:r w:rsidRPr="00A57D15">
        <w:rPr>
          <w:rFonts w:ascii="Times New Roman" w:hAnsi="Times New Roman" w:cs="Times New Roman"/>
          <w:sz w:val="16"/>
          <w:szCs w:val="16"/>
          <w:lang w:val="en-US"/>
        </w:rPr>
        <w:t xml:space="preserve"> </w:t>
      </w:r>
      <w:r w:rsidR="00A57D15" w:rsidRPr="00A57D15">
        <w:rPr>
          <w:rFonts w:ascii="Times New Roman" w:hAnsi="Times New Roman" w:cs="Times New Roman"/>
          <w:sz w:val="16"/>
          <w:szCs w:val="16"/>
          <w:lang w:val="en-US"/>
        </w:rPr>
        <w:t xml:space="preserve">Review of the case law of the Civil Court of Cassation within the Supreme Court in cases of disputes arising in the field of healthcare. Decisions entered into the Unified State Register of Court Decisions for February 2018 - July 2021 (Supreme Court 2021) </w:t>
      </w:r>
      <w:hyperlink r:id="rId20" w:history="1">
        <w:r w:rsidR="00A57D15" w:rsidRPr="00683CDF">
          <w:rPr>
            <w:rStyle w:val="a6"/>
            <w:rFonts w:ascii="Times New Roman" w:hAnsi="Times New Roman" w:cs="Times New Roman"/>
            <w:sz w:val="16"/>
            <w:szCs w:val="16"/>
            <w:lang w:val="en-US"/>
          </w:rPr>
          <w:t>https://supreme.court.gov.ua/supreme/pres-centr/news/1235015/</w:t>
        </w:r>
      </w:hyperlink>
      <w:r w:rsidR="00A57D15">
        <w:rPr>
          <w:rFonts w:ascii="Times New Roman" w:hAnsi="Times New Roman" w:cs="Times New Roman"/>
          <w:sz w:val="16"/>
          <w:szCs w:val="16"/>
          <w:lang w:val="en-US"/>
        </w:rPr>
        <w:t xml:space="preserve"> </w:t>
      </w:r>
      <w:r w:rsidR="00A57D15" w:rsidRPr="00A57D15">
        <w:rPr>
          <w:rFonts w:ascii="Times New Roman" w:hAnsi="Times New Roman" w:cs="Times New Roman"/>
          <w:sz w:val="16"/>
          <w:szCs w:val="16"/>
          <w:lang w:val="en-US"/>
        </w:rPr>
        <w:t>text available on 25.07.2023</w:t>
      </w:r>
    </w:p>
    <w:p w:rsidR="009342A5" w:rsidRPr="00304B70" w:rsidRDefault="009342A5" w:rsidP="009342A5">
      <w:pPr>
        <w:pStyle w:val="a3"/>
      </w:pPr>
    </w:p>
  </w:footnote>
  <w:footnote w:id="25">
    <w:p w:rsidR="009342A5" w:rsidRPr="00A57D15" w:rsidRDefault="009342A5" w:rsidP="00332FB5">
      <w:pPr>
        <w:jc w:val="both"/>
        <w:rPr>
          <w:rFonts w:ascii="Times New Roman" w:hAnsi="Times New Roman" w:cs="Times New Roman"/>
          <w:color w:val="000000"/>
          <w:sz w:val="16"/>
          <w:szCs w:val="16"/>
          <w:lang w:val="en-US"/>
        </w:rPr>
      </w:pPr>
      <w:r w:rsidRPr="00A57D15">
        <w:rPr>
          <w:rStyle w:val="a5"/>
          <w:rFonts w:ascii="Times New Roman" w:hAnsi="Times New Roman" w:cs="Times New Roman"/>
          <w:sz w:val="16"/>
          <w:szCs w:val="16"/>
        </w:rPr>
        <w:footnoteRef/>
      </w:r>
      <w:r w:rsidRPr="00A57D15">
        <w:rPr>
          <w:rFonts w:ascii="Times New Roman" w:hAnsi="Times New Roman" w:cs="Times New Roman"/>
          <w:sz w:val="16"/>
          <w:szCs w:val="16"/>
          <w:lang w:val="en-US"/>
        </w:rPr>
        <w:t xml:space="preserve"> </w:t>
      </w:r>
      <w:r w:rsidR="00A57D15" w:rsidRPr="00A57D15">
        <w:rPr>
          <w:rFonts w:ascii="Times New Roman" w:hAnsi="Times New Roman" w:cs="Times New Roman"/>
          <w:sz w:val="16"/>
          <w:szCs w:val="16"/>
          <w:lang w:val="en-US"/>
        </w:rPr>
        <w:t xml:space="preserve">"Ukrainian legislation does not enshrine the concept of precedent, but this does not mean that it does not exist de facto", Dmytro Hudyma (Supreme Court 2019) </w:t>
      </w:r>
      <w:hyperlink r:id="rId21" w:history="1">
        <w:r w:rsidR="00A57D15" w:rsidRPr="00683CDF">
          <w:rPr>
            <w:rStyle w:val="a6"/>
            <w:rFonts w:ascii="Times New Roman" w:hAnsi="Times New Roman" w:cs="Times New Roman"/>
            <w:sz w:val="16"/>
            <w:szCs w:val="16"/>
            <w:lang w:val="en-US"/>
          </w:rPr>
          <w:t>https://supreme.court.gov.ua/supreme/pres-centr/news/659262</w:t>
        </w:r>
      </w:hyperlink>
      <w:r w:rsidR="00A57D15">
        <w:rPr>
          <w:rFonts w:ascii="Times New Roman" w:hAnsi="Times New Roman" w:cs="Times New Roman"/>
          <w:sz w:val="16"/>
          <w:szCs w:val="16"/>
          <w:lang w:val="en-US"/>
        </w:rPr>
        <w:t xml:space="preserve"> </w:t>
      </w:r>
      <w:r w:rsidR="00A57D15" w:rsidRPr="00A57D15">
        <w:rPr>
          <w:rFonts w:ascii="Times New Roman" w:hAnsi="Times New Roman" w:cs="Times New Roman"/>
          <w:sz w:val="16"/>
          <w:szCs w:val="16"/>
          <w:lang w:val="en-US"/>
        </w:rPr>
        <w:t>text accessed 25.07.2023.</w:t>
      </w:r>
    </w:p>
  </w:footnote>
  <w:footnote w:id="26">
    <w:p w:rsidR="00332FB5" w:rsidRPr="00A57D15" w:rsidRDefault="00332FB5" w:rsidP="00332FB5">
      <w:pPr>
        <w:jc w:val="both"/>
        <w:rPr>
          <w:rFonts w:ascii="Times New Roman" w:hAnsi="Times New Roman" w:cs="Times New Roman"/>
          <w:color w:val="000000"/>
          <w:sz w:val="16"/>
          <w:szCs w:val="16"/>
          <w:lang w:val="en-US"/>
        </w:rPr>
      </w:pPr>
      <w:r w:rsidRPr="00A57D15">
        <w:rPr>
          <w:rStyle w:val="a5"/>
          <w:rFonts w:ascii="Times New Roman" w:hAnsi="Times New Roman" w:cs="Times New Roman"/>
          <w:sz w:val="16"/>
          <w:szCs w:val="16"/>
        </w:rPr>
        <w:footnoteRef/>
      </w:r>
      <w:r w:rsidRPr="00A57D15">
        <w:rPr>
          <w:rFonts w:ascii="Times New Roman" w:hAnsi="Times New Roman" w:cs="Times New Roman"/>
          <w:sz w:val="16"/>
          <w:szCs w:val="16"/>
          <w:lang w:val="en-US"/>
        </w:rPr>
        <w:t xml:space="preserve"> </w:t>
      </w:r>
      <w:r w:rsidR="00A57D15" w:rsidRPr="00A57D15">
        <w:rPr>
          <w:rFonts w:ascii="Times New Roman" w:hAnsi="Times New Roman" w:cs="Times New Roman"/>
          <w:sz w:val="16"/>
          <w:szCs w:val="16"/>
          <w:lang w:val="en-US"/>
        </w:rPr>
        <w:t xml:space="preserve">Ruling of the Supreme Court as part of the panel of judges of the Third Judicial Chamber of the Civil Court of Cassation of 30 November 2022 in case No. 344/3764/21 &lt; </w:t>
      </w:r>
      <w:hyperlink r:id="rId22" w:history="1">
        <w:r w:rsidR="00A57D15" w:rsidRPr="00683CDF">
          <w:rPr>
            <w:rStyle w:val="a6"/>
            <w:rFonts w:ascii="Times New Roman" w:hAnsi="Times New Roman" w:cs="Times New Roman"/>
            <w:sz w:val="16"/>
            <w:szCs w:val="16"/>
            <w:lang w:val="en-US"/>
          </w:rPr>
          <w:t>https://reyestr.court.gov.ua/Review/107878096</w:t>
        </w:r>
      </w:hyperlink>
      <w:r w:rsidR="00A57D15">
        <w:rPr>
          <w:rFonts w:ascii="Times New Roman" w:hAnsi="Times New Roman" w:cs="Times New Roman"/>
          <w:sz w:val="16"/>
          <w:szCs w:val="16"/>
          <w:lang w:val="en-US"/>
        </w:rPr>
        <w:t xml:space="preserve">&gt; </w:t>
      </w:r>
      <w:r w:rsidR="00A57D15" w:rsidRPr="00A57D15">
        <w:rPr>
          <w:rFonts w:ascii="Times New Roman" w:hAnsi="Times New Roman" w:cs="Times New Roman"/>
          <w:sz w:val="16"/>
          <w:szCs w:val="16"/>
          <w:lang w:val="en-US"/>
        </w:rPr>
        <w:t>(accessed 25.07.2023)</w:t>
      </w:r>
    </w:p>
    <w:p w:rsidR="00332FB5" w:rsidRPr="00304B70" w:rsidRDefault="00332FB5" w:rsidP="00332FB5">
      <w:pPr>
        <w:pStyle w:val="a3"/>
      </w:pPr>
    </w:p>
  </w:footnote>
  <w:footnote w:id="27">
    <w:p w:rsidR="00B376E8" w:rsidRPr="009071D3" w:rsidRDefault="009071D3" w:rsidP="007A270B">
      <w:pPr>
        <w:jc w:val="both"/>
        <w:rPr>
          <w:rFonts w:ascii="Times New Roman" w:hAnsi="Times New Roman" w:cs="Times New Roman"/>
          <w:color w:val="000000"/>
          <w:sz w:val="16"/>
          <w:szCs w:val="16"/>
          <w:lang w:val="en-US"/>
        </w:rPr>
      </w:pPr>
      <w:r>
        <w:rPr>
          <w:rStyle w:val="a5"/>
          <w:rFonts w:ascii="Times New Roman" w:hAnsi="Times New Roman" w:cs="Times New Roman"/>
          <w:sz w:val="16"/>
          <w:szCs w:val="16"/>
          <w:lang w:val="en-US"/>
        </w:rPr>
        <w:t xml:space="preserve">27 </w:t>
      </w:r>
      <w:r w:rsidRPr="009071D3">
        <w:rPr>
          <w:rFonts w:ascii="Times New Roman" w:hAnsi="Times New Roman" w:cs="Times New Roman"/>
          <w:sz w:val="16"/>
          <w:szCs w:val="16"/>
          <w:lang w:val="en-US"/>
        </w:rPr>
        <w:t xml:space="preserve">Decision of the Ivano-Frankivsk City Court of Ivano-Frankivsk Region of 5 October 2021 in case No. 344/3764/21 </w:t>
      </w:r>
      <w:hyperlink r:id="rId23" w:history="1">
        <w:r w:rsidRPr="00683CDF">
          <w:rPr>
            <w:rStyle w:val="a6"/>
            <w:rFonts w:ascii="Times New Roman" w:hAnsi="Times New Roman" w:cs="Times New Roman"/>
            <w:sz w:val="16"/>
            <w:szCs w:val="16"/>
            <w:lang w:val="en-US"/>
          </w:rPr>
          <w:t>https://reyestr.court.gov.ua/Review/100211355</w:t>
        </w:r>
      </w:hyperlink>
      <w:r>
        <w:rPr>
          <w:rFonts w:ascii="Times New Roman" w:hAnsi="Times New Roman" w:cs="Times New Roman"/>
          <w:sz w:val="16"/>
          <w:szCs w:val="16"/>
          <w:lang w:val="en-US"/>
        </w:rPr>
        <w:t xml:space="preserve"> </w:t>
      </w:r>
      <w:r w:rsidRPr="009071D3">
        <w:rPr>
          <w:rFonts w:ascii="Times New Roman" w:hAnsi="Times New Roman" w:cs="Times New Roman"/>
          <w:sz w:val="16"/>
          <w:szCs w:val="16"/>
          <w:lang w:val="en-US"/>
        </w:rPr>
        <w:t>(accessed 25.07.2023)</w:t>
      </w:r>
    </w:p>
  </w:footnote>
  <w:footnote w:id="28">
    <w:p w:rsidR="00FA20FE" w:rsidRPr="00A57D15" w:rsidRDefault="00FA20FE" w:rsidP="009071D3">
      <w:pPr>
        <w:jc w:val="both"/>
        <w:rPr>
          <w:rFonts w:ascii="Times New Roman" w:hAnsi="Times New Roman" w:cs="Times New Roman"/>
          <w:sz w:val="16"/>
          <w:szCs w:val="16"/>
          <w:lang w:val="en-US"/>
        </w:rPr>
      </w:pPr>
      <w:r w:rsidRPr="00A57D15">
        <w:rPr>
          <w:rStyle w:val="a5"/>
          <w:rFonts w:ascii="Times New Roman" w:hAnsi="Times New Roman" w:cs="Times New Roman"/>
          <w:sz w:val="16"/>
          <w:szCs w:val="16"/>
        </w:rPr>
        <w:footnoteRef/>
      </w:r>
      <w:r w:rsidRPr="00A57D15">
        <w:rPr>
          <w:rFonts w:ascii="Times New Roman" w:hAnsi="Times New Roman" w:cs="Times New Roman"/>
          <w:sz w:val="16"/>
          <w:szCs w:val="16"/>
          <w:lang w:val="en-US"/>
        </w:rPr>
        <w:t xml:space="preserve"> </w:t>
      </w:r>
      <w:r w:rsidR="009071D3" w:rsidRPr="00A57D15">
        <w:rPr>
          <w:rFonts w:ascii="Times New Roman" w:hAnsi="Times New Roman" w:cs="Times New Roman"/>
          <w:sz w:val="16"/>
          <w:szCs w:val="16"/>
          <w:lang w:val="en-US"/>
        </w:rPr>
        <w:t xml:space="preserve">Ruling of the Ivano-Frankivsk Court of Appeal of 11 January 2021 in case No. 344/3764/21 </w:t>
      </w:r>
      <w:hyperlink r:id="rId24" w:history="1">
        <w:r w:rsidR="009071D3" w:rsidRPr="00A57D15">
          <w:rPr>
            <w:rStyle w:val="a6"/>
            <w:rFonts w:ascii="Times New Roman" w:hAnsi="Times New Roman" w:cs="Times New Roman"/>
            <w:sz w:val="16"/>
            <w:szCs w:val="16"/>
            <w:lang w:val="en-US"/>
          </w:rPr>
          <w:t>https://reyestr.court.gov.ua/Review/102616292</w:t>
        </w:r>
      </w:hyperlink>
      <w:r w:rsidR="009071D3" w:rsidRPr="00A57D15">
        <w:rPr>
          <w:rFonts w:ascii="Times New Roman" w:hAnsi="Times New Roman" w:cs="Times New Roman"/>
          <w:sz w:val="16"/>
          <w:szCs w:val="16"/>
          <w:lang w:val="en-US"/>
        </w:rPr>
        <w:t xml:space="preserve"> (accessed 25.07.2023)</w:t>
      </w:r>
    </w:p>
  </w:footnote>
  <w:footnote w:id="29">
    <w:p w:rsidR="00EC6AE5" w:rsidRPr="00A57D15" w:rsidRDefault="00EC6AE5" w:rsidP="00EC6AE5">
      <w:pPr>
        <w:jc w:val="both"/>
        <w:rPr>
          <w:rFonts w:ascii="Times New Roman" w:hAnsi="Times New Roman" w:cs="Times New Roman"/>
          <w:color w:val="000000"/>
          <w:sz w:val="16"/>
          <w:szCs w:val="16"/>
          <w:lang w:val="en-US"/>
        </w:rPr>
      </w:pPr>
      <w:r w:rsidRPr="00A57D15">
        <w:rPr>
          <w:rStyle w:val="a5"/>
          <w:rFonts w:ascii="Times New Roman" w:hAnsi="Times New Roman" w:cs="Times New Roman"/>
          <w:sz w:val="16"/>
          <w:szCs w:val="16"/>
        </w:rPr>
        <w:footnoteRef/>
      </w:r>
      <w:r w:rsidRPr="00A57D15">
        <w:rPr>
          <w:rFonts w:ascii="Times New Roman" w:hAnsi="Times New Roman" w:cs="Times New Roman"/>
          <w:sz w:val="16"/>
          <w:szCs w:val="16"/>
          <w:lang w:val="en-US"/>
        </w:rPr>
        <w:t xml:space="preserve"> </w:t>
      </w:r>
      <w:r w:rsidR="00A57D15" w:rsidRPr="00A57D15">
        <w:rPr>
          <w:rFonts w:ascii="Times New Roman" w:hAnsi="Times New Roman" w:cs="Times New Roman"/>
          <w:sz w:val="16"/>
          <w:szCs w:val="16"/>
          <w:lang w:val="en-US"/>
        </w:rPr>
        <w:t xml:space="preserve">Ruling of the Supreme Court as part of the panel of judges of the Third Judicial Chamber of the Civil Court of Cassation of 30 November 2022 in case No. 344/3764/21 &lt; </w:t>
      </w:r>
      <w:hyperlink r:id="rId25" w:history="1">
        <w:r w:rsidR="00A57D15" w:rsidRPr="00683CDF">
          <w:rPr>
            <w:rStyle w:val="a6"/>
            <w:rFonts w:ascii="Times New Roman" w:hAnsi="Times New Roman" w:cs="Times New Roman"/>
            <w:sz w:val="16"/>
            <w:szCs w:val="16"/>
            <w:lang w:val="en-US"/>
          </w:rPr>
          <w:t>https://reyestr.court.gov.ua/Review/107878096</w:t>
        </w:r>
      </w:hyperlink>
      <w:r w:rsidR="00A57D15">
        <w:rPr>
          <w:rFonts w:ascii="Times New Roman" w:hAnsi="Times New Roman" w:cs="Times New Roman"/>
          <w:sz w:val="16"/>
          <w:szCs w:val="16"/>
          <w:lang w:val="en-US"/>
        </w:rPr>
        <w:t xml:space="preserve">&gt; </w:t>
      </w:r>
      <w:r w:rsidR="00A57D15" w:rsidRPr="00A57D15">
        <w:rPr>
          <w:rFonts w:ascii="Times New Roman" w:hAnsi="Times New Roman" w:cs="Times New Roman"/>
          <w:sz w:val="16"/>
          <w:szCs w:val="16"/>
          <w:lang w:val="en-US"/>
        </w:rPr>
        <w:t>(accessed 25.07.2023)</w:t>
      </w:r>
    </w:p>
    <w:p w:rsidR="00EC6AE5" w:rsidRPr="00304B70" w:rsidRDefault="00EC6AE5" w:rsidP="00EC6AE5">
      <w:pPr>
        <w:pStyle w:val="a3"/>
      </w:pPr>
    </w:p>
  </w:footnote>
  <w:footnote w:id="30">
    <w:p w:rsidR="0086299B" w:rsidRDefault="0086299B" w:rsidP="0086299B">
      <w:pPr>
        <w:pStyle w:val="a3"/>
        <w:ind w:firstLine="709"/>
        <w:jc w:val="both"/>
        <w:rPr>
          <w:rFonts w:ascii="Times New Roman" w:hAnsi="Times New Roman" w:cs="Times New Roman"/>
          <w:sz w:val="16"/>
          <w:szCs w:val="16"/>
        </w:rPr>
      </w:pPr>
      <w:r w:rsidRPr="009071D3">
        <w:rPr>
          <w:rStyle w:val="a5"/>
          <w:rFonts w:ascii="Times New Roman" w:hAnsi="Times New Roman" w:cs="Times New Roman"/>
          <w:sz w:val="16"/>
          <w:szCs w:val="16"/>
        </w:rPr>
        <w:footnoteRef/>
      </w:r>
      <w:r w:rsidRPr="009071D3">
        <w:rPr>
          <w:rFonts w:ascii="Times New Roman" w:hAnsi="Times New Roman" w:cs="Times New Roman"/>
          <w:sz w:val="16"/>
          <w:szCs w:val="16"/>
        </w:rPr>
        <w:t xml:space="preserve"> </w:t>
      </w:r>
      <w:r w:rsidR="009071D3" w:rsidRPr="009071D3">
        <w:rPr>
          <w:rFonts w:ascii="Times New Roman" w:hAnsi="Times New Roman" w:cs="Times New Roman"/>
          <w:sz w:val="16"/>
          <w:szCs w:val="16"/>
        </w:rPr>
        <w:t xml:space="preserve">V. Krat spoke about the contract and tort in the provision of medical services (Supreme Court 2022) </w:t>
      </w:r>
      <w:hyperlink r:id="rId26" w:history="1">
        <w:r w:rsidR="009071D3" w:rsidRPr="00683CDF">
          <w:rPr>
            <w:rStyle w:val="a6"/>
            <w:rFonts w:ascii="Times New Roman" w:hAnsi="Times New Roman" w:cs="Times New Roman"/>
            <w:sz w:val="16"/>
            <w:szCs w:val="16"/>
          </w:rPr>
          <w:t>https://supreme.court.gov.ua/supreme/pres-centr/news/1348838/</w:t>
        </w:r>
      </w:hyperlink>
      <w:r w:rsidR="009071D3">
        <w:rPr>
          <w:rFonts w:ascii="Times New Roman" w:hAnsi="Times New Roman" w:cs="Times New Roman"/>
          <w:sz w:val="16"/>
          <w:szCs w:val="16"/>
        </w:rPr>
        <w:t xml:space="preserve"> </w:t>
      </w:r>
      <w:r w:rsidR="009071D3" w:rsidRPr="009071D3">
        <w:rPr>
          <w:rFonts w:ascii="Times New Roman" w:hAnsi="Times New Roman" w:cs="Times New Roman"/>
          <w:sz w:val="16"/>
          <w:szCs w:val="16"/>
        </w:rPr>
        <w:t>text accessed 25.07.2023.</w:t>
      </w:r>
    </w:p>
    <w:p w:rsidR="00A57D15" w:rsidRPr="009071D3" w:rsidRDefault="00A57D15" w:rsidP="0086299B">
      <w:pPr>
        <w:pStyle w:val="a3"/>
        <w:ind w:firstLine="709"/>
        <w:jc w:val="both"/>
        <w:rPr>
          <w:rFonts w:ascii="Times New Roman" w:hAnsi="Times New Roman" w:cs="Times New Roman"/>
          <w:sz w:val="16"/>
          <w:szCs w:val="16"/>
        </w:rPr>
      </w:pPr>
    </w:p>
  </w:footnote>
  <w:footnote w:id="31">
    <w:p w:rsidR="00634F82" w:rsidRPr="009071D3" w:rsidRDefault="00634F82" w:rsidP="00634F82">
      <w:pPr>
        <w:jc w:val="both"/>
        <w:rPr>
          <w:rFonts w:ascii="Times New Roman" w:hAnsi="Times New Roman" w:cs="Times New Roman"/>
          <w:color w:val="000000"/>
          <w:sz w:val="16"/>
          <w:szCs w:val="16"/>
          <w:lang w:val="en-US"/>
        </w:rPr>
      </w:pPr>
      <w:r w:rsidRPr="009071D3">
        <w:rPr>
          <w:rStyle w:val="a5"/>
          <w:rFonts w:ascii="Times New Roman" w:hAnsi="Times New Roman" w:cs="Times New Roman"/>
          <w:sz w:val="16"/>
          <w:szCs w:val="16"/>
        </w:rPr>
        <w:footnoteRef/>
      </w:r>
      <w:r w:rsidRPr="009071D3">
        <w:rPr>
          <w:rFonts w:ascii="Times New Roman" w:hAnsi="Times New Roman" w:cs="Times New Roman"/>
          <w:sz w:val="16"/>
          <w:szCs w:val="16"/>
          <w:lang w:val="en-US"/>
        </w:rPr>
        <w:t xml:space="preserve"> </w:t>
      </w:r>
      <w:r w:rsidR="009071D3" w:rsidRPr="009071D3">
        <w:rPr>
          <w:rFonts w:ascii="Times New Roman" w:hAnsi="Times New Roman" w:cs="Times New Roman"/>
          <w:sz w:val="16"/>
          <w:szCs w:val="16"/>
          <w:lang w:val="en-US"/>
        </w:rPr>
        <w:t xml:space="preserve">"V. Krat spoke about the contract and tort in the provision of medical services" (Supreme Court 2022) </w:t>
      </w:r>
      <w:hyperlink r:id="rId27" w:history="1">
        <w:r w:rsidR="009071D3" w:rsidRPr="00683CDF">
          <w:rPr>
            <w:rStyle w:val="a6"/>
            <w:rFonts w:ascii="Times New Roman" w:hAnsi="Times New Roman" w:cs="Times New Roman"/>
            <w:sz w:val="16"/>
            <w:szCs w:val="16"/>
            <w:lang w:val="en-US"/>
          </w:rPr>
          <w:t>https://supreme.court.gov.ua/supreme/pres-centr/news/1348838/</w:t>
        </w:r>
      </w:hyperlink>
      <w:r w:rsidR="009071D3">
        <w:rPr>
          <w:rFonts w:ascii="Times New Roman" w:hAnsi="Times New Roman" w:cs="Times New Roman"/>
          <w:sz w:val="16"/>
          <w:szCs w:val="16"/>
          <w:lang w:val="en-US"/>
        </w:rPr>
        <w:t xml:space="preserve"> </w:t>
      </w:r>
      <w:r w:rsidR="009071D3" w:rsidRPr="009071D3">
        <w:rPr>
          <w:rFonts w:ascii="Times New Roman" w:hAnsi="Times New Roman" w:cs="Times New Roman"/>
          <w:sz w:val="16"/>
          <w:szCs w:val="16"/>
          <w:lang w:val="en-US"/>
        </w:rPr>
        <w:t xml:space="preserve"> text accessed 25.07.2023.</w:t>
      </w:r>
    </w:p>
    <w:p w:rsidR="00634F82" w:rsidRPr="00304B70" w:rsidRDefault="00634F82" w:rsidP="00634F82">
      <w:pPr>
        <w:pStyle w:val="a3"/>
      </w:pPr>
    </w:p>
  </w:footnote>
  <w:footnote w:id="32">
    <w:p w:rsidR="00DA630E" w:rsidRPr="009071D3" w:rsidRDefault="00DA630E" w:rsidP="00727AE8">
      <w:pPr>
        <w:ind w:firstLine="0"/>
        <w:jc w:val="both"/>
        <w:rPr>
          <w:rFonts w:ascii="Times New Roman" w:hAnsi="Times New Roman" w:cs="Times New Roman"/>
          <w:color w:val="000000"/>
          <w:sz w:val="16"/>
          <w:szCs w:val="16"/>
          <w:lang w:val="en-US"/>
        </w:rPr>
      </w:pPr>
      <w:r w:rsidRPr="009071D3">
        <w:rPr>
          <w:rStyle w:val="a5"/>
          <w:rFonts w:ascii="Times New Roman" w:hAnsi="Times New Roman" w:cs="Times New Roman"/>
          <w:sz w:val="16"/>
          <w:szCs w:val="16"/>
        </w:rPr>
        <w:footnoteRef/>
      </w:r>
      <w:r w:rsidRPr="009071D3">
        <w:rPr>
          <w:rFonts w:ascii="Times New Roman" w:hAnsi="Times New Roman" w:cs="Times New Roman"/>
          <w:sz w:val="16"/>
          <w:szCs w:val="16"/>
          <w:lang w:val="en-US"/>
        </w:rPr>
        <w:t xml:space="preserve"> </w:t>
      </w:r>
      <w:r w:rsidRPr="009071D3">
        <w:rPr>
          <w:rFonts w:ascii="Times New Roman" w:hAnsi="Times New Roman" w:cs="Times New Roman"/>
          <w:color w:val="000000"/>
          <w:sz w:val="16"/>
          <w:szCs w:val="16"/>
          <w:lang w:val="en-US"/>
        </w:rPr>
        <w:t>I Senyuta, ‘Selected issues of pre-trial investigation and court proceedings in medical cases’ (2020) (3) Legal journal «Law of Ukraine» 171</w:t>
      </w:r>
    </w:p>
    <w:p w:rsidR="00DA630E" w:rsidRPr="00304B70" w:rsidRDefault="00DA630E" w:rsidP="00DA630E">
      <w:pPr>
        <w:pStyle w:val="a3"/>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5D9"/>
    <w:rsid w:val="00002020"/>
    <w:rsid w:val="00021F58"/>
    <w:rsid w:val="00042298"/>
    <w:rsid w:val="0005601A"/>
    <w:rsid w:val="00131AE6"/>
    <w:rsid w:val="001C1E01"/>
    <w:rsid w:val="001C584F"/>
    <w:rsid w:val="002015F2"/>
    <w:rsid w:val="00210123"/>
    <w:rsid w:val="00275CD5"/>
    <w:rsid w:val="002A2922"/>
    <w:rsid w:val="002F6F65"/>
    <w:rsid w:val="00300206"/>
    <w:rsid w:val="00332FB5"/>
    <w:rsid w:val="003C2822"/>
    <w:rsid w:val="0040287C"/>
    <w:rsid w:val="004306B7"/>
    <w:rsid w:val="00442220"/>
    <w:rsid w:val="004A160D"/>
    <w:rsid w:val="005012E3"/>
    <w:rsid w:val="00553E18"/>
    <w:rsid w:val="005A367D"/>
    <w:rsid w:val="00634145"/>
    <w:rsid w:val="00634F82"/>
    <w:rsid w:val="00724C56"/>
    <w:rsid w:val="00727AE8"/>
    <w:rsid w:val="0077762C"/>
    <w:rsid w:val="007A270B"/>
    <w:rsid w:val="0086299B"/>
    <w:rsid w:val="008A51FC"/>
    <w:rsid w:val="008E48C1"/>
    <w:rsid w:val="008F313F"/>
    <w:rsid w:val="009071D3"/>
    <w:rsid w:val="00916723"/>
    <w:rsid w:val="009342A5"/>
    <w:rsid w:val="00A17758"/>
    <w:rsid w:val="00A26537"/>
    <w:rsid w:val="00A57D15"/>
    <w:rsid w:val="00AE43E0"/>
    <w:rsid w:val="00AF0242"/>
    <w:rsid w:val="00B01DF3"/>
    <w:rsid w:val="00B376E8"/>
    <w:rsid w:val="00C21A79"/>
    <w:rsid w:val="00CA5BF1"/>
    <w:rsid w:val="00CE7945"/>
    <w:rsid w:val="00CF6568"/>
    <w:rsid w:val="00D05459"/>
    <w:rsid w:val="00DA630E"/>
    <w:rsid w:val="00DE5D42"/>
    <w:rsid w:val="00EC6AE5"/>
    <w:rsid w:val="00EF15D9"/>
    <w:rsid w:val="00F052F6"/>
    <w:rsid w:val="00FA2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0DF6"/>
  <w15:chartTrackingRefBased/>
  <w15:docId w15:val="{13CC3714-99BF-4A58-93E7-0348578B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758"/>
    <w:pPr>
      <w:ind w:firstLine="709"/>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список,Сноска макета,Текст сноски макета,Сноска j,Ñíîñêà ìàêåòà,Òåêñò ñíîñêè ìàêåòà,Ñíîñêà j,Òåêñò ñíîñêè Çíàê Çíàê,Òåêñò ñíîñêè Çíàê Çíàê Çíàê Çíàê Çíàê,Òåêñò ñíîñêè Çíàê Çíàê Çíàê Çíàê Çíàê Çíàê Çíàê Çíàê,Òåêñò ñíîñêè-FN,Текст сноски-FN"/>
    <w:basedOn w:val="a"/>
    <w:link w:val="a4"/>
    <w:uiPriority w:val="99"/>
    <w:unhideWhenUsed/>
    <w:rsid w:val="00CA5BF1"/>
    <w:pPr>
      <w:spacing w:after="0" w:line="240" w:lineRule="auto"/>
      <w:ind w:firstLine="0"/>
    </w:pPr>
    <w:rPr>
      <w:sz w:val="20"/>
      <w:szCs w:val="20"/>
      <w:lang w:val="uk-UA"/>
    </w:rPr>
  </w:style>
  <w:style w:type="character" w:customStyle="1" w:styleId="a4">
    <w:name w:val="Текст сноски Знак"/>
    <w:aliases w:val="список Знак,Сноска макета Знак,Текст сноски макета Знак,Сноска j Знак,Ñíîñêà ìàêåòà Знак,Òåêñò ñíîñêè ìàêåòà Знак,Ñíîñêà j Знак,Òåêñò ñíîñêè Çíàê Çíàê Знак,Òåêñò ñíîñêè Çíàê Çíàê Çíàê Çíàê Çíàê Знак,Òåêñò ñíîñêè-FN Знак"/>
    <w:basedOn w:val="a0"/>
    <w:link w:val="a3"/>
    <w:uiPriority w:val="99"/>
    <w:rsid w:val="00CA5BF1"/>
    <w:rPr>
      <w:sz w:val="20"/>
      <w:szCs w:val="20"/>
      <w:lang w:val="uk-UA"/>
    </w:rPr>
  </w:style>
  <w:style w:type="character" w:styleId="a5">
    <w:name w:val="footnote reference"/>
    <w:basedOn w:val="a0"/>
    <w:uiPriority w:val="99"/>
    <w:unhideWhenUsed/>
    <w:qFormat/>
    <w:rsid w:val="00CA5BF1"/>
    <w:rPr>
      <w:vertAlign w:val="superscript"/>
    </w:rPr>
  </w:style>
  <w:style w:type="character" w:styleId="a6">
    <w:name w:val="Hyperlink"/>
    <w:basedOn w:val="a0"/>
    <w:uiPriority w:val="99"/>
    <w:unhideWhenUsed/>
    <w:rsid w:val="00CA5B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dx.doi.org/10.1007/s00063-022-00920-w" TargetMode="External"/><Relationship Id="rId13" Type="http://schemas.openxmlformats.org/officeDocument/2006/relationships/hyperlink" Target="http://dx.doi.org/10.21802/gmj.2020.2.10" TargetMode="External"/><Relationship Id="rId18" Type="http://schemas.openxmlformats.org/officeDocument/2006/relationships/hyperlink" Target="https://zakon.rada.gov.ua/laws/show/1023-12#Text" TargetMode="External"/><Relationship Id="rId26" Type="http://schemas.openxmlformats.org/officeDocument/2006/relationships/hyperlink" Target="https://supreme.court.gov.ua/supreme/pres-centr/news/1348838/" TargetMode="External"/><Relationship Id="rId3" Type="http://schemas.openxmlformats.org/officeDocument/2006/relationships/hyperlink" Target="https://www.who.int/news-room/facts-in-pictures/detail/patient-safety" TargetMode="External"/><Relationship Id="rId21" Type="http://schemas.openxmlformats.org/officeDocument/2006/relationships/hyperlink" Target="https://supreme.court.gov.ua/supreme/pres-centr/news/659262" TargetMode="External"/><Relationship Id="rId7" Type="http://schemas.openxmlformats.org/officeDocument/2006/relationships/hyperlink" Target="http://dx.doi.org/10.3390/healthcare11091331" TargetMode="External"/><Relationship Id="rId12" Type="http://schemas.openxmlformats.org/officeDocument/2006/relationships/hyperlink" Target="https://doi.org/10.21802/gmj.2023.1.7" TargetMode="External"/><Relationship Id="rId17" Type="http://schemas.openxmlformats.org/officeDocument/2006/relationships/hyperlink" Target="https://zakon.rada.gov.ua/laws/show/2801-12#Text" TargetMode="External"/><Relationship Id="rId25" Type="http://schemas.openxmlformats.org/officeDocument/2006/relationships/hyperlink" Target="https://reyestr.court.gov.ua/Review/107878096" TargetMode="External"/><Relationship Id="rId2" Type="http://schemas.openxmlformats.org/officeDocument/2006/relationships/hyperlink" Target="https://www.who.int/news/item/13-09-2019-who-calls-for-urgent-action-to-reduce-patient-harm-in-healthcare" TargetMode="External"/><Relationship Id="rId16" Type="http://schemas.openxmlformats.org/officeDocument/2006/relationships/hyperlink" Target="https://zakon.rada.gov.ua/laws/show/254%D0%BA/96-%D0%B2%D1%80#Text" TargetMode="External"/><Relationship Id="rId20" Type="http://schemas.openxmlformats.org/officeDocument/2006/relationships/hyperlink" Target="https://supreme.court.gov.ua/supreme/pres-centr/news/1235015/" TargetMode="External"/><Relationship Id="rId1" Type="http://schemas.openxmlformats.org/officeDocument/2006/relationships/hyperlink" Target="https://news.un.org/en/story/2019/09/1046552" TargetMode="External"/><Relationship Id="rId6" Type="http://schemas.openxmlformats.org/officeDocument/2006/relationships/hyperlink" Target="http://doi.org/10.1136/bmjqs-2019-010206" TargetMode="External"/><Relationship Id="rId11" Type="http://schemas.openxmlformats.org/officeDocument/2006/relationships/hyperlink" Target="http://dx.doi.org/10.1111/iej.13757" TargetMode="External"/><Relationship Id="rId24" Type="http://schemas.openxmlformats.org/officeDocument/2006/relationships/hyperlink" Target="https://reyestr.court.gov.ua/Review/102616292" TargetMode="External"/><Relationship Id="rId5" Type="http://schemas.openxmlformats.org/officeDocument/2006/relationships/hyperlink" Target="https://doi.org/10.1136/bmj.i2139" TargetMode="External"/><Relationship Id="rId15" Type="http://schemas.openxmlformats.org/officeDocument/2006/relationships/hyperlink" Target="https://zakon.rada.gov.ua/laws/show/3477-15#Text" TargetMode="External"/><Relationship Id="rId23" Type="http://schemas.openxmlformats.org/officeDocument/2006/relationships/hyperlink" Target="https://reyestr.court.gov.ua/Review/100211355" TargetMode="External"/><Relationship Id="rId10" Type="http://schemas.openxmlformats.org/officeDocument/2006/relationships/hyperlink" Target="http://dx.doi.org/10.1016/j.jfma.2021.09.023" TargetMode="External"/><Relationship Id="rId19" Type="http://schemas.openxmlformats.org/officeDocument/2006/relationships/hyperlink" Target="https://reyestr.court.gov.ua/" TargetMode="External"/><Relationship Id="rId4" Type="http://schemas.openxmlformats.org/officeDocument/2006/relationships/hyperlink" Target="https://www.justgreatlawyers.com/legal-guides/medical-malpractice-statistics" TargetMode="External"/><Relationship Id="rId9" Type="http://schemas.openxmlformats.org/officeDocument/2006/relationships/hyperlink" Target="http://dx.doi.org/10.1016/j.sdentj.2022.11.002" TargetMode="External"/><Relationship Id="rId14" Type="http://schemas.openxmlformats.org/officeDocument/2006/relationships/hyperlink" Target="http://sum.in.ua/" TargetMode="External"/><Relationship Id="rId22" Type="http://schemas.openxmlformats.org/officeDocument/2006/relationships/hyperlink" Target="https://reyestr.court.gov.ua/Review/107878096" TargetMode="External"/><Relationship Id="rId27" Type="http://schemas.openxmlformats.org/officeDocument/2006/relationships/hyperlink" Target="https://supreme.court.gov.ua/supreme/pres-centr/news/13488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5616</TotalTime>
  <Pages>10</Pages>
  <Words>5012</Words>
  <Characters>28575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cp:revision>
  <dcterms:created xsi:type="dcterms:W3CDTF">2023-10-02T14:58:00Z</dcterms:created>
  <dcterms:modified xsi:type="dcterms:W3CDTF">2023-10-06T20:10:00Z</dcterms:modified>
</cp:coreProperties>
</file>