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pageBreakBefore w:val="0"/>
        <w:rPr/>
      </w:pPr>
      <w:r w:rsidDel="00000000" w:rsidR="00000000" w:rsidRPr="00000000">
        <w:rPr>
          <w:rtl w:val="0"/>
        </w:rPr>
        <w:t xml:space="preserve">Возвращение рынка </w:t>
      </w:r>
      <w:r w:rsidDel="00000000" w:rsidR="00000000" w:rsidRPr="00000000">
        <w:rPr>
          <w:rtl w:val="0"/>
        </w:rPr>
        <w:t xml:space="preserve">краудфандинга</w:t>
      </w:r>
      <w:r w:rsidDel="00000000" w:rsidR="00000000" w:rsidRPr="00000000">
        <w:rPr>
          <w:rtl w:val="0"/>
        </w:rPr>
        <w:t xml:space="preserve"> ICO — возможно ли?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  <w:t xml:space="preserve">Initial Coin Offering (ICO) как механизм раннего финансирования криптовалютных стартапов появился в 2014 году. Пик его развития пришелся на середину 2018 года, после которого всего за полгода уровень инвестиций упал с нескольких миллиардов до нескольких десятков миллионов долларов в месяц, еще через год рынок почти умер. Дальше мы попробуем разобраться, почему так произошло, проводятся ли сейчас ICO и что может возродить этот вид краудфандинга.</w:t>
      </w:r>
    </w:p>
    <w:p w:rsidR="00000000" w:rsidDel="00000000" w:rsidP="00000000" w:rsidRDefault="00000000" w:rsidRPr="00000000" w14:paraId="00000003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Причины краха рынка ICO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  <w:t xml:space="preserve">Как и любое сложное финансово-социальное явление, падение рынка первичного размещения монет произошло не по одной причине, а из-за сочетания нескольких факторов. В данном случае ключевыми причинами были следующие вещи.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Снижение качества проектов</w:t>
      </w:r>
      <w:r w:rsidDel="00000000" w:rsidR="00000000" w:rsidRPr="00000000">
        <w:rPr>
          <w:rtl w:val="0"/>
        </w:rPr>
        <w:t xml:space="preserve">. Механизм ICO возник в результате поиска возможностей привлечения средств для раннего финансирования проектов на базе блокчейна. При этом большинством из тех, кто запускал и финансировал такие стартапы в те годы, были гики-криптографы, взволнованные появлением новой технологии, с которой они могли поиграть. Вначале именно они двигали рынок. 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  <w:t xml:space="preserve">Но так продолжалось недолго. Стремительный рост стоимости Bitcoin и практически полное отсутствие барьеров на вход в ICO для разработчиков привлекли множество людей, у которых была лишь идея и желание как можно быстрее получить деньги инвесторов. В результате качество приводимых ICO сильно снизилось: 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в 2018 году 71% проектов запускались</w:t>
        </w:r>
      </w:hyperlink>
      <w:r w:rsidDel="00000000" w:rsidR="00000000" w:rsidRPr="00000000">
        <w:rPr>
          <w:rtl w:val="0"/>
        </w:rPr>
        <w:t xml:space="preserve"> без рабочего продукта или хотя бы его прототипа.</w:t>
      </w:r>
    </w:p>
    <w:p w:rsidR="00000000" w:rsidDel="00000000" w:rsidP="00000000" w:rsidRDefault="00000000" w:rsidRPr="00000000" w14:paraId="00000007">
      <w:pPr>
        <w:pageBreakBefore w:val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6120455" cy="3238500"/>
            <wp:effectExtent b="0" l="0" r="0" t="0"/>
            <wp:docPr descr="Chart" id="4" name="image1.png"/>
            <a:graphic>
              <a:graphicData uri="http://schemas.openxmlformats.org/drawingml/2006/picture">
                <pic:pic>
                  <pic:nvPicPr>
                    <pic:cNvPr descr="Chart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455" cy="323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rtl w:val="0"/>
        </w:rPr>
        <w:br w:type="textWrapping"/>
        <w:t xml:space="preserve">Сколько ICO-стартапов имели на момент запуска рабочий продукт и прототип, а сколько лишь идею. Источник: </w:t>
      </w:r>
      <w:hyperlink r:id="rId9">
        <w:r w:rsidDel="00000000" w:rsidR="00000000" w:rsidRPr="00000000">
          <w:rPr>
            <w:color w:val="0563c1"/>
            <w:sz w:val="20"/>
            <w:szCs w:val="20"/>
            <w:u w:val="single"/>
            <w:rtl w:val="0"/>
          </w:rPr>
          <w:t xml:space="preserve">EY research: initial coin offerings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Из-за снижения качества ICO падало количество успешных проектов: </w:t>
      </w:r>
      <w:hyperlink r:id="rId10">
        <w:r w:rsidDel="00000000" w:rsidR="00000000" w:rsidRPr="00000000">
          <w:rPr>
            <w:color w:val="0563c1"/>
            <w:u w:val="single"/>
            <w:rtl w:val="0"/>
          </w:rPr>
          <w:t xml:space="preserve">56% таких стартапов умирали</w:t>
        </w:r>
      </w:hyperlink>
      <w:r w:rsidDel="00000000" w:rsidR="00000000" w:rsidRPr="00000000">
        <w:rPr>
          <w:rtl w:val="0"/>
        </w:rPr>
        <w:t xml:space="preserve"> в течение четырех месяцев после краудфандинга, через год оставалось только 5-10%. Как результат, люди теряли деньги, больше не хотели инвестировать в ICO и не советовали это делать всем своим знакомым.</w:t>
      </w:r>
      <w:r w:rsidDel="00000000" w:rsidR="00000000" w:rsidRPr="00000000">
        <w:rPr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Падение курса криптовалют</w:t>
      </w:r>
      <w:r w:rsidDel="00000000" w:rsidR="00000000" w:rsidRPr="00000000">
        <w:rPr>
          <w:rtl w:val="0"/>
        </w:rPr>
        <w:t xml:space="preserve">. Среди инвесторов рынок ICO стал популярным благодаря стремительному росту криптовалют. В частности, Биткоина, который привлек интерес к этой отрасли, и Эфириума, который показал, что баснословно обогатиться на ICOs может любой желающий. Люди смотрели, как 100-долларовые инвестиции через год превращались в миллионные прибыли, и хотели так же! Когда же рынок обвалился и всем казалось, что он больше не восстановится, интерес к ICO у людей пропал, так как они больше не видели возможности быстро заработать.</w:t>
      </w:r>
    </w:p>
    <w:p w:rsidR="00000000" w:rsidDel="00000000" w:rsidP="00000000" w:rsidRDefault="00000000" w:rsidRPr="00000000" w14:paraId="0000000A">
      <w:pPr>
        <w:pageBreakBefore w:val="0"/>
        <w:jc w:val="center"/>
        <w:rPr>
          <w:sz w:val="20"/>
          <w:szCs w:val="20"/>
        </w:rPr>
      </w:pPr>
      <w:r w:rsidDel="00000000" w:rsidR="00000000" w:rsidRPr="00000000">
        <w:rPr/>
        <w:drawing>
          <wp:inline distB="0" distT="0" distL="0" distR="0">
            <wp:extent cx="6120455" cy="33528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455" cy="335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rtl w:val="0"/>
        </w:rPr>
        <w:br w:type="textWrapping"/>
        <w:t xml:space="preserve">Сравнение популярности поисковых запросов «ICO» и «cryptocurrency» в Google Trends (вверху) и динамики курсов криптовалют Биткоина и Эфира в TradingView (внизу)</w:t>
        <w:br w:type="textWrapping"/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Мошенничество (скам)</w:t>
      </w:r>
      <w:r w:rsidDel="00000000" w:rsidR="00000000" w:rsidRPr="00000000">
        <w:rPr>
          <w:rtl w:val="0"/>
        </w:rPr>
        <w:t xml:space="preserve">. Краудфандинг в виде ICO позволяет криптостартапам привлекать большие инвестиции, избегая затрат на посредников и на соблюдение требований регуляторов. Вот только отсутствие регулирования и то, что ICO-токены часто не дают никаких законных прав их держателям, создают отличные условия для запуска мошеннических проектов, которые просто воруют деньги инвесторов. 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  <w:t xml:space="preserve">Компания Satis Group LLC подсчитала, что </w:t>
      </w:r>
      <w:hyperlink r:id="rId12">
        <w:r w:rsidDel="00000000" w:rsidR="00000000" w:rsidRPr="00000000">
          <w:rPr>
            <w:color w:val="0563c1"/>
            <w:u w:val="single"/>
            <w:rtl w:val="0"/>
          </w:rPr>
          <w:t xml:space="preserve">81% ICO были мошенничеством,</w:t>
        </w:r>
      </w:hyperlink>
      <w:r w:rsidDel="00000000" w:rsidR="00000000" w:rsidRPr="00000000">
        <w:rPr>
          <w:rtl w:val="0"/>
        </w:rPr>
        <w:t xml:space="preserve"> и широко сообщалось, что в 2018 году было украдено более 9 миллионов долларов в день или более 3 миллиардов долларов в год. Когда журналисты распространили эту информацию, люди окончательно разуверились в ICO и начали подавать судебные иски. Как результат, отсутствие инвестиций и приход на рынок регуляторов.</w:t>
      </w:r>
    </w:p>
    <w:p w:rsidR="00000000" w:rsidDel="00000000" w:rsidP="00000000" w:rsidRDefault="00000000" w:rsidRPr="00000000" w14:paraId="0000000D">
      <w:pPr>
        <w:pageBreakBefore w:val="0"/>
        <w:jc w:val="center"/>
        <w:rPr>
          <w:sz w:val="20"/>
          <w:szCs w:val="20"/>
        </w:rPr>
      </w:pPr>
      <w:commentRangeStart w:id="0"/>
      <w:r w:rsidDel="00000000" w:rsidR="00000000" w:rsidRPr="00000000">
        <w:rPr>
          <w:sz w:val="20"/>
          <w:szCs w:val="20"/>
        </w:rPr>
        <w:drawing>
          <wp:inline distB="0" distT="0" distL="0" distR="0">
            <wp:extent cx="6120765" cy="3175000"/>
            <wp:effectExtent b="0" l="0" r="0" t="0"/>
            <wp:docPr descr="График дня: 80% всех ICO — это скам" id="2" name="image3.png"/>
            <a:graphic>
              <a:graphicData uri="http://schemas.openxmlformats.org/drawingml/2006/picture">
                <pic:pic>
                  <pic:nvPicPr>
                    <pic:cNvPr descr="График дня: 80% всех ICO — это скам" id="0" name="image3.png"/>
                    <pic:cNvPicPr preferRelativeResize="0"/>
                  </pic:nvPicPr>
                  <pic:blipFill>
                    <a:blip r:embed="rId13"/>
                    <a:srcRect b="6993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7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commentRangeEnd w:id="0"/>
      <w:r w:rsidDel="00000000" w:rsidR="00000000" w:rsidRPr="00000000">
        <w:commentReference w:id="0"/>
      </w:r>
      <w:r w:rsidDel="00000000" w:rsidR="00000000" w:rsidRPr="00000000">
        <w:rPr>
          <w:sz w:val="20"/>
          <w:szCs w:val="20"/>
          <w:rtl w:val="0"/>
        </w:rPr>
        <w:br w:type="textWrapping"/>
        <w:t xml:space="preserve">Более 80% всех ICO-проектов оказались скамом. Источник данных: </w:t>
      </w:r>
      <w:hyperlink r:id="rId14">
        <w:r w:rsidDel="00000000" w:rsidR="00000000" w:rsidRPr="00000000">
          <w:rPr>
            <w:sz w:val="20"/>
            <w:szCs w:val="20"/>
            <w:rtl w:val="0"/>
          </w:rPr>
          <w:t xml:space="preserve">Satis Group LLC</w:t>
        </w:r>
      </w:hyperlink>
      <w:r w:rsidDel="00000000" w:rsidR="00000000" w:rsidRPr="00000000">
        <w:rPr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0E">
      <w:pPr>
        <w:pStyle w:val="Heading2"/>
        <w:pageBreakBefore w:val="0"/>
        <w:rPr/>
      </w:pPr>
      <w:bookmarkStart w:colFirst="0" w:colLast="0" w:name="_nfpf4vdkv21h" w:id="0"/>
      <w:bookmarkEnd w:id="0"/>
      <w:r w:rsidDel="00000000" w:rsidR="00000000" w:rsidRPr="00000000">
        <w:rPr>
          <w:rtl w:val="0"/>
        </w:rPr>
        <w:t xml:space="preserve">Почему ICO трансформировалось в STO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  <w:t xml:space="preserve">Когда на рынок ICO пришли регуляторы (SEC и другие), они потребовали от криптовалютных стартапов соблюдения законов об эмиссии и распространении ценных бумаг, поскольку большинство криптовалют — это не служебные токены, а цифровые ценные бумаги (или security-токены). Многие компании согласились с этим требованием и начали лицензировать свои токены. При этом, чтобы отмежеваться от плохой репутации ICO и выделиться среди конкурентов, зарегистрированные по всем правилам крипто-стартапы стали называть свои краудфандинговые кампании не ICO (Initial coin offering), а STO (Security token offering)</w:t>
      </w:r>
    </w:p>
    <w:p w:rsidR="00000000" w:rsidDel="00000000" w:rsidP="00000000" w:rsidRDefault="00000000" w:rsidRPr="00000000" w14:paraId="00000010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Вот основные различия между ICO, STO и IPO:</w:t>
      </w:r>
      <w:r w:rsidDel="00000000" w:rsidR="00000000" w:rsidRPr="00000000">
        <w:rPr>
          <w:rtl w:val="0"/>
        </w:rPr>
      </w:r>
    </w:p>
    <w:tbl>
      <w:tblPr>
        <w:tblStyle w:val="Table1"/>
        <w:tblW w:w="9615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145"/>
        <w:gridCol w:w="2490"/>
        <w:gridCol w:w="2490"/>
        <w:gridCol w:w="2490"/>
        <w:tblGridChange w:id="0">
          <w:tblGrid>
            <w:gridCol w:w="2145"/>
            <w:gridCol w:w="2490"/>
            <w:gridCol w:w="2490"/>
            <w:gridCol w:w="249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STO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IPO</w:t>
            </w:r>
          </w:p>
        </w:tc>
      </w:tr>
      <w:tr>
        <w:trPr>
          <w:cantSplit w:val="0"/>
          <w:trHeight w:val="747.50000000000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spacing w:after="0" w:line="288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Эмитенты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spacing w:after="0"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Блокчейн-стартапы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spacing w:after="0"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Зарегистрированные блокчейн-стартапы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spacing w:after="0"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Публичные компании</w:t>
            </w:r>
          </w:p>
        </w:tc>
      </w:tr>
      <w:tr>
        <w:trPr>
          <w:cantSplit w:val="0"/>
          <w:trHeight w:val="747.50000000000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spacing w:after="0" w:line="288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Инвесторы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spacing w:after="0"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Кто угодно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ageBreakBefore w:val="0"/>
              <w:spacing w:after="0"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Зависит от страны и формы регистрации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spacing w:after="0"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Аккредитованные инвесторы</w:t>
            </w:r>
          </w:p>
        </w:tc>
      </w:tr>
      <w:tr>
        <w:trPr>
          <w:cantSplit w:val="0"/>
          <w:trHeight w:val="747.50000000000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spacing w:after="0" w:line="288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Регулирование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spacing w:after="0"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spacing w:after="0"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Комплексное (законы + смарт-контракты)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pageBreakBefore w:val="0"/>
              <w:spacing w:after="0"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Комплексное (законы)</w:t>
            </w:r>
          </w:p>
        </w:tc>
      </w:tr>
      <w:tr>
        <w:trPr>
          <w:cantSplit w:val="0"/>
          <w:trHeight w:val="747.50000000000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pageBreakBefore w:val="0"/>
              <w:spacing w:after="0" w:line="288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Носитель ценности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spacing w:after="0"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Utility-токены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spacing w:after="0"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Security-токены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pageBreakBefore w:val="0"/>
              <w:spacing w:after="0"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Акции</w:t>
            </w:r>
          </w:p>
        </w:tc>
      </w:tr>
      <w:tr>
        <w:trPr>
          <w:cantSplit w:val="0"/>
          <w:trHeight w:val="747.50000000000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pageBreakBefore w:val="0"/>
              <w:spacing w:after="0" w:line="288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Защита инвесторов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pageBreakBefore w:val="0"/>
              <w:spacing w:after="0"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Никакой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pageBreakBefore w:val="0"/>
              <w:spacing w:after="0"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Средняя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pageBreakBefore w:val="0"/>
              <w:spacing w:after="0" w:line="288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Высокая</w:t>
            </w:r>
          </w:p>
        </w:tc>
      </w:tr>
    </w:tbl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Проводятся ли сейчас ICO / STO</w:t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  <w:t xml:space="preserve">Да, проводятся, однако не так много, как это было в 2016-2018 годах. Точного количества никто назвать не сможет, поскольку крупные аналитические компании перестали интересоваться этим рынком, а профильные сайты с такой статистикой, например ICObench и ICOData, закрылись или перестали обновляться. Работают только онлайн-доски объявлений: ICOholder, ICODrops, ICOHotList и другие. Если вы хотите узнать об актуальных ICO, зайдите на один из таких сайтов.</w:t>
      </w:r>
    </w:p>
    <w:p w:rsidR="00000000" w:rsidDel="00000000" w:rsidP="00000000" w:rsidRDefault="00000000" w:rsidRPr="00000000" w14:paraId="0000002C">
      <w:pPr>
        <w:pageBreakBefore w:val="0"/>
        <w:rPr/>
      </w:pPr>
      <w:r w:rsidDel="00000000" w:rsidR="00000000" w:rsidRPr="00000000">
        <w:rPr>
          <w:rtl w:val="0"/>
        </w:rPr>
        <w:t xml:space="preserve">Но будьте готовы к тому, что вы не найдете на таких сайтах информацию о действительно серьезных проектах. Большинство из них не публичны и проводятся через закрытые сообщества в Telegram, в</w:t>
      </w:r>
      <w:r w:rsidDel="00000000" w:rsidR="00000000" w:rsidRPr="00000000">
        <w:rPr>
          <w:rtl w:val="0"/>
        </w:rPr>
        <w:t xml:space="preserve"> узких пулах инвесторов (через сарафанное радио или через ангел-инвесторов) или по специальным приглашениям.</w:t>
      </w:r>
    </w:p>
    <w:p w:rsidR="00000000" w:rsidDel="00000000" w:rsidP="00000000" w:rsidRDefault="00000000" w:rsidRPr="00000000" w14:paraId="0000002D">
      <w:pPr>
        <w:pageBreakBefore w:val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6120455" cy="12319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455" cy="123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rtl w:val="0"/>
        </w:rPr>
        <w:t xml:space="preserve"> Количество проектов и объем инвестиций на рынке ICO с 2016 по 2019 год. Источник: </w:t>
      </w:r>
      <w:hyperlink r:id="rId1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6th ICO / STO Report - PwC</w:t>
        </w:r>
      </w:hyperlink>
      <w:r w:rsidDel="00000000" w:rsidR="00000000" w:rsidRPr="00000000">
        <w:rPr>
          <w:sz w:val="20"/>
          <w:szCs w:val="20"/>
          <w:rtl w:val="0"/>
        </w:rPr>
        <w:t xml:space="preserve"> (это последний отчет, больше PwC их не делает)</w:t>
        <w:br w:type="textWrapping"/>
      </w:r>
    </w:p>
    <w:p w:rsidR="00000000" w:rsidDel="00000000" w:rsidP="00000000" w:rsidRDefault="00000000" w:rsidRPr="00000000" w14:paraId="0000002E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Что может вернуть первоначальную модель ICO?</w:t>
      </w:r>
    </w:p>
    <w:p w:rsidR="00000000" w:rsidDel="00000000" w:rsidP="00000000" w:rsidRDefault="00000000" w:rsidRPr="00000000" w14:paraId="0000002F">
      <w:pPr>
        <w:pageBreakBefore w:val="0"/>
        <w:rPr/>
      </w:pPr>
      <w:r w:rsidDel="00000000" w:rsidR="00000000" w:rsidRPr="00000000">
        <w:rPr>
          <w:rtl w:val="0"/>
        </w:rPr>
        <w:t xml:space="preserve">В своей изначальной форме ICO больше никогда не вернутся. Это не нужно ни инвесторам, ни регуляторам, ни нормальным разработчикам. Однако краудфандинг по упрощенной схеме для раннего финансирования блокчейн-проектов снова может стать популярным, если страны проведут регулирование и стандартизацию отрасли, а также если удастся вернуть доверие и интерес инвесторов.</w:t>
      </w:r>
    </w:p>
    <w:p w:rsidR="00000000" w:rsidDel="00000000" w:rsidP="00000000" w:rsidRDefault="00000000" w:rsidRPr="00000000" w14:paraId="00000030">
      <w:pPr>
        <w:pageBreakBefore w:val="0"/>
        <w:rPr/>
      </w:pPr>
      <w:r w:rsidDel="00000000" w:rsidR="00000000" w:rsidRPr="00000000">
        <w:rPr>
          <w:rtl w:val="0"/>
        </w:rPr>
        <w:t xml:space="preserve">Причем законодательное регулирование нужно провести таким образом, чтобы сохранить простоту и доступность ICO. Примером подобного решения является </w:t>
      </w:r>
      <w:hyperlink r:id="rId17">
        <w:r w:rsidDel="00000000" w:rsidR="00000000" w:rsidRPr="00000000">
          <w:rPr>
            <w:color w:val="0563c1"/>
            <w:u w:val="single"/>
            <w:rtl w:val="0"/>
          </w:rPr>
          <w:t xml:space="preserve">инициатива комиссара SEC Хестер Пирс «Safe Harbor»</w:t>
        </w:r>
      </w:hyperlink>
      <w:r w:rsidDel="00000000" w:rsidR="00000000" w:rsidRPr="00000000">
        <w:rPr>
          <w:rtl w:val="0"/>
        </w:rPr>
        <w:t xml:space="preserve">. Согласно ее предложению, криптостартапам предоставят трехлетний льготный период, на протяжении которого продажа токенов не будет рассматриваться как реализация ценных бумаг, а торговые площадки, на которых торгуются такие токены, не будут рассматриваться как биржи, брокеры или дилеры в соответствии с законодательством США о ценных бумагах.</w:t>
      </w:r>
    </w:p>
    <w:p w:rsidR="00000000" w:rsidDel="00000000" w:rsidP="00000000" w:rsidRDefault="00000000" w:rsidRPr="00000000" w14:paraId="00000031">
      <w:pPr>
        <w:pageBreakBefore w:val="0"/>
        <w:rPr/>
      </w:pPr>
      <w:r w:rsidDel="00000000" w:rsidR="00000000" w:rsidRPr="00000000">
        <w:rPr>
          <w:rtl w:val="0"/>
        </w:rPr>
        <w:t xml:space="preserve">Данный льготный период предоставляется для того, чтобы криптовалютная платформа могла развиться из «security»- в «utility»-проект (как это произошло с Ethereum). Кроме того, за это время сеть криптовалюты может стать полностью децентрализованной, что также позволит платформе и дальше существовать без необходимости лицензировать себя как security-компанию, которая занимается эмиссией / распространением ценных бумаг. </w:t>
      </w:r>
    </w:p>
    <w:p w:rsidR="00000000" w:rsidDel="00000000" w:rsidP="00000000" w:rsidRDefault="00000000" w:rsidRPr="00000000" w14:paraId="00000032">
      <w:pPr>
        <w:pageBreakBefore w:val="0"/>
        <w:rPr/>
      </w:pPr>
      <w:r w:rsidDel="00000000" w:rsidR="00000000" w:rsidRPr="00000000">
        <w:rPr>
          <w:rtl w:val="0"/>
        </w:rPr>
        <w:t xml:space="preserve">Помимо этого, ICO должны будут раскрыть информацию об исходном коде, экономике токенов (эмиссия, генерация, распределение и управление), команде разработчиков (состав, опыт, их доля токенов при распределении) и местах продажи токенов (насколько это возможно). Если члены начальной команды разработчиков решат продать более 5% первоначально удерживаемых ими токенов, то эта информация также должна быть публично раскрыта для инвесторов. </w:t>
      </w:r>
    </w:p>
    <w:p w:rsidR="00000000" w:rsidDel="00000000" w:rsidP="00000000" w:rsidRDefault="00000000" w:rsidRPr="00000000" w14:paraId="00000033">
      <w:pPr>
        <w:pageBreakBefore w:val="0"/>
        <w:rPr/>
      </w:pPr>
      <w:r w:rsidDel="00000000" w:rsidR="00000000" w:rsidRPr="00000000">
        <w:rPr>
          <w:rtl w:val="0"/>
        </w:rPr>
        <w:t xml:space="preserve">По мнению комиссара Пирс, при условии принятия такого закона рынок краудфандинга блокчейн-проектов сможет и дальше привлекать средства неаккредитованных инвесторов по упрощенной схеме. Но при этом инвесторы будут достаточно проинформированы об инициаторах ICO и защищены от мошенников.</w:t>
      </w:r>
    </w:p>
    <w:p w:rsidR="00000000" w:rsidDel="00000000" w:rsidP="00000000" w:rsidRDefault="00000000" w:rsidRPr="00000000" w14:paraId="00000034">
      <w:pPr>
        <w:pageBreakBefore w:val="0"/>
        <w:rPr/>
      </w:pPr>
      <w:r w:rsidDel="00000000" w:rsidR="00000000" w:rsidRPr="00000000">
        <w:rPr>
          <w:rtl w:val="0"/>
        </w:rPr>
        <w:t xml:space="preserve">Правда, пока комиссар Пирс и сторонники подобных ее инициативе решений в меньшинстве, а значит, надеяться на восстановление рынка ICO не стоит.</w:t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Riotick Copywriting" w:id="0" w:date="2021-06-01T16:31:03Z"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https://ru.ihodl.com/infographics/2018-03-29/grafik-dnya-80-vseh-ico-eto-skam/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Roboto Slab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ru-RU"/>
      </w:rPr>
    </w:rPrDefault>
    <w:pPrDefault>
      <w:pPr>
        <w:spacing w:after="20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320" w:before="640" w:lineRule="auto"/>
      <w:jc w:val="center"/>
    </w:pPr>
    <w:rPr>
      <w:rFonts w:ascii="Roboto Slab" w:cs="Roboto Slab" w:eastAsia="Roboto Slab" w:hAnsi="Roboto Slab"/>
      <w:b w:val="1"/>
      <w:color w:val="4a86e8"/>
      <w:sz w:val="50"/>
      <w:szCs w:val="5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line="360" w:lineRule="auto"/>
      <w:ind w:right="-301"/>
      <w:jc w:val="center"/>
    </w:pPr>
    <w:rPr>
      <w:rFonts w:ascii="Roboto Slab" w:cs="Roboto Slab" w:eastAsia="Roboto Slab" w:hAnsi="Roboto Slab"/>
      <w:b w:val="1"/>
      <w:color w:val="4a86e8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240" w:before="480" w:line="276" w:lineRule="auto"/>
      <w:jc w:val="center"/>
    </w:pPr>
    <w:rPr>
      <w:rFonts w:ascii="Roboto Slab" w:cs="Roboto Slab" w:eastAsia="Roboto Slab" w:hAnsi="Roboto Slab"/>
      <w:b w:val="1"/>
      <w:color w:val="4a86e8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560" w:lineRule="auto"/>
      <w:ind w:right="-450"/>
      <w:jc w:val="center"/>
    </w:pPr>
    <w:rPr>
      <w:rFonts w:ascii="Roboto Slab" w:cs="Roboto Slab" w:eastAsia="Roboto Slab" w:hAnsi="Roboto Slab"/>
      <w:b w:val="1"/>
      <w:color w:val="4a86e8"/>
      <w:sz w:val="68"/>
      <w:szCs w:val="6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hyperlink" Target="https://www.bloomberg.com/news/articles/2018-07-09/half-of-icos-die-within-four-months-after-token-sales-finalized" TargetMode="External"/><Relationship Id="rId13" Type="http://schemas.openxmlformats.org/officeDocument/2006/relationships/image" Target="media/image3.png"/><Relationship Id="rId12" Type="http://schemas.openxmlformats.org/officeDocument/2006/relationships/hyperlink" Target="https://www.investopedia.com/news/80-icos-are-scams-report/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s://assets.ey.com/content/dam/ey-sites/ey-com/en_gl/news/2018/10/ey-ico-research-web-oct-17-2018.pdf" TargetMode="External"/><Relationship Id="rId15" Type="http://schemas.openxmlformats.org/officeDocument/2006/relationships/image" Target="media/image4.png"/><Relationship Id="rId14" Type="http://schemas.openxmlformats.org/officeDocument/2006/relationships/hyperlink" Target="https://satisgroup.io/" TargetMode="External"/><Relationship Id="rId17" Type="http://schemas.openxmlformats.org/officeDocument/2006/relationships/hyperlink" Target="https://www.sec.gov/news/speech/peirce-remarks-blockress-2020-02-06" TargetMode="External"/><Relationship Id="rId16" Type="http://schemas.openxmlformats.org/officeDocument/2006/relationships/hyperlink" Target="https://www.pwc.com/ee/et/publications/pub/Strategy&amp;_ICO_STO_Study_Version_Spring_2020.pdf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assets.ey.com/content/dam/ey-sites/ey-com/en_gl/news/2018/10/ey-ico-research-web-oct-17-2018.pdf" TargetMode="Externa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Slab-regular.ttf"/><Relationship Id="rId2" Type="http://schemas.openxmlformats.org/officeDocument/2006/relationships/font" Target="fonts/RobotoSlab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