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w:t>
      </w:r>
    </w:p>
    <w:p w:rsidR="00000000" w:rsidDel="00000000" w:rsidP="00000000" w:rsidRDefault="00000000" w:rsidRPr="00000000" w14:paraId="00000002">
      <w:pPr>
        <w:pStyle w:val="Heading2"/>
        <w:rPr>
          <w:rFonts w:ascii="Times New Roman" w:cs="Times New Roman" w:eastAsia="Times New Roman" w:hAnsi="Times New Roman"/>
          <w:b w:val="1"/>
        </w:rPr>
      </w:pPr>
      <w:bookmarkStart w:colFirst="0" w:colLast="0" w:name="_fkrgqe3mj5ml" w:id="0"/>
      <w:bookmarkEnd w:id="0"/>
      <w:r w:rsidDel="00000000" w:rsidR="00000000" w:rsidRPr="00000000">
        <w:rPr>
          <w:rFonts w:ascii="Times New Roman" w:cs="Times New Roman" w:eastAsia="Times New Roman" w:hAnsi="Times New Roman"/>
          <w:b w:val="1"/>
          <w:rtl w:val="0"/>
        </w:rPr>
        <w:t xml:space="preserve">Abschnitt I</w:t>
      </w:r>
    </w:p>
    <w:p w:rsidR="00000000" w:rsidDel="00000000" w:rsidP="00000000" w:rsidRDefault="00000000" w:rsidRPr="00000000" w14:paraId="00000003">
      <w:pPr>
        <w:pStyle w:val="Heading2"/>
        <w:rPr>
          <w:rFonts w:ascii="Times New Roman" w:cs="Times New Roman" w:eastAsia="Times New Roman" w:hAnsi="Times New Roman"/>
          <w:b w:val="1"/>
        </w:rPr>
      </w:pPr>
      <w:bookmarkStart w:colFirst="0" w:colLast="0" w:name="_qfds9p4ieitw" w:id="1"/>
      <w:bookmarkEnd w:id="1"/>
      <w:r w:rsidDel="00000000" w:rsidR="00000000" w:rsidRPr="00000000">
        <w:rPr>
          <w:rFonts w:ascii="Times New Roman" w:cs="Times New Roman" w:eastAsia="Times New Roman" w:hAnsi="Times New Roman"/>
          <w:b w:val="1"/>
          <w:rtl w:val="0"/>
        </w:rPr>
        <w:t xml:space="preserve">Sicherheit in und um die baltischen Staaten</w:t>
      </w:r>
    </w:p>
    <w:p w:rsidR="00000000" w:rsidDel="00000000" w:rsidP="00000000" w:rsidRDefault="00000000" w:rsidRPr="00000000" w14:paraId="0000000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der Nacht vor der Erweiterung von NATO und EU schlägt die Baltic Defence Review erneut vor, über die Fragen nachzudenken, die in den baltischen Staaten sorgfältig durchdacht werden müssen, bevor sie in die neue Phase ihrer Geschichte eintreten. </w:t>
      </w:r>
    </w:p>
    <w:p w:rsidR="00000000" w:rsidDel="00000000" w:rsidP="00000000" w:rsidRDefault="00000000" w:rsidRPr="00000000" w14:paraId="0000000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ersten Artikel bietet Botschafter Torstern Orn eine breite Beschreibung der Ostseeregion sowohl im historischen als auch im zeitgenössischen Kontext und ihrer Bedeutung im neuen und vereinten Europa. Sein eloquenter und aufschlussreicher Bericht über die Transformationen, die die Region durchgemacht hat und immer noch durchmacht, erinnert uns auch an die Fragen, die unsere Aufmerksamkeit erfordern. Einige dieser Fragen sind neu und entspringen aus den neuen Realitäten der Region, andere sind alt, aber immer noch unbeantwortet, was sowohl Veränderung als auch Kontinuität als bestimmendes Merkmal der Entwicklung der Region unterstreicht. Die einfachen, aber kraftvollen Worte des Autors über die Notwendigkeit, die Vergangenheit ohne Nachlässigkeit oder Nostalgie zu bewältigen, beschreiben sehr genau eine der grundlegendsten Herausforderungen, die die gesamte Ostseeregion in den kommenden Jahrzehnten bewältigen muss. </w:t>
      </w:r>
    </w:p>
    <w:p w:rsidR="00000000" w:rsidDel="00000000" w:rsidP="00000000" w:rsidRDefault="00000000" w:rsidRPr="00000000" w14:paraId="0000000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zweiten Artikel dieser Sektion wirft Brigadegeneral Michael H. Clemmesen einen kritischen Blick auf die Erwartungen der neuen NATO-Mitglieder hinsichtlich des Abschreckungswerts der Mitgliedschaft. Er kontrastiert diese Erwartungen mit der Ausrichtung der Militärreformen, die die gesamte Allianz verfolgt. Der Argumentationsrahmen dieses Artikels dreht sich um das Dilemma der neuen Mitglieder, die am Rande der Allianz positioniert sind und einige besondere Sicherheitsbedenken haben. Einerseits müssen sie einen bedeutenden Beitrag zu den Missionen der NATO leisten, die sich darauf vorbereitet, global Macht zu projizieren. Andererseits möchten sie eine effektive Fähigkeit behalten, um ihre eigenen lokalen oder regionalen Sicherheitsrealitäten anzugehen. Unvermeidlich stellt sich die Frage, wie viel der verbündeten Hilfe verfügbar sein würde und welchen Unterschied sie bei der Bewältigung der direkten militärischen Bedrohung machen würde. Der Autor bewertet die von den alten und neuen Mitgliedern der NATO durchgeführten Militärreformen und bietet klare Empfehlungen dazu, wie man die beiden Imperative - einen optimalen Beitrag der neuen Mitglieder zur Allianz und Sicherheit dieser neuen Mitglieder am Rande der NATO durch Anpassungen an die Konzepte und die Ausrichtung der Entwicklung militärischer Fähigkeiten innerhalb der Allianz - ausbalancieren kann.</w:t>
      </w:r>
    </w:p>
    <w:p w:rsidR="00000000" w:rsidDel="00000000" w:rsidP="00000000" w:rsidRDefault="00000000" w:rsidRPr="00000000" w14:paraId="00000007">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7</w:t>
      </w:r>
      <w:r w:rsidDel="00000000" w:rsidR="00000000" w:rsidRPr="00000000">
        <w:rPr>
          <w:rtl w:val="0"/>
        </w:rPr>
      </w:r>
    </w:p>
    <w:p w:rsidR="00000000" w:rsidDel="00000000" w:rsidP="00000000" w:rsidRDefault="00000000" w:rsidRPr="00000000" w14:paraId="00000009">
      <w:pPr>
        <w:pStyle w:val="Heading2"/>
        <w:jc w:val="both"/>
        <w:rPr>
          <w:rFonts w:ascii="Times New Roman" w:cs="Times New Roman" w:eastAsia="Times New Roman" w:hAnsi="Times New Roman"/>
          <w:b w:val="1"/>
        </w:rPr>
      </w:pPr>
      <w:bookmarkStart w:colFirst="0" w:colLast="0" w:name="_ao88ei5l650s" w:id="2"/>
      <w:bookmarkEnd w:id="2"/>
      <w:r w:rsidDel="00000000" w:rsidR="00000000" w:rsidRPr="00000000">
        <w:rPr>
          <w:rFonts w:ascii="Times New Roman" w:cs="Times New Roman" w:eastAsia="Times New Roman" w:hAnsi="Times New Roman"/>
          <w:b w:val="1"/>
          <w:rtl w:val="0"/>
        </w:rPr>
        <w:t xml:space="preserve">Die Ostseeregion - Ein wichtiger wirtschaftlicher und politischer Faktor im neuen Europa</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Ostsee-Region hat eine stürmische Geschichte hinter sich. Sie wurde von den Wikingern, den Kreuzritterorden, den hanseatischen Kaufleuten und den Kriegsmarinen und Armeen unter verschiedenen Flaggen geprägt. In ihrem Kampf um das Dominium Maris Baltici, um den klassischen Ausdruck zu verwenden, hatten fast alle angrenzenden Staaten ihre Momente der Macht und des Ruhms. Aber sehr wenig Ewigkeit.</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diejenigen von uns, die nach 1945 geographisch und politisch herangewachsen sind, war die Ostsee ein Graben im Kalten Krieg. Eine nördliche Verlängerung des Eisernen Vorhangs, deren konkretester Ausdruck die Mauer zwischen Ost- und Westberlin war. Wenige Schweden dachten an Tallinn als die nächstgelegene Hauptstadt Stockholms, noch weniger erinnerten sich daran, dass Riga einst die größte Stadt des schwedischen Reiches gewesen war. Polen war auf die Karte Europas zurückgekehrt, aber kaum in einer Art und Weise, die dieser stolzen und kreativen Nation entsprach. Die nordischen Länder Dänemark, Norwegen, Schweden, Finnland und Island waren in militärischer Hinsicht so gespalten, als ob sie auf dem Balkan oder im Nahen Osten gelegen hätten. Die alte Wahrheit, dass Wasser vereint, schien in ein Museum der Geschichte verbannt worden zu sein. Dies zum Nachteil der meisten Handels- und Kulturzentren rund um die Ostsee, die alle von der Tatsache geprägt sind, wie viel man voneinander lernen kann.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 den großen dramatischen und für einmal friedlichen Veränderungen in Europa um 1990 war auch diese Ewigkeit zu Ende gekommen. Einige Leute redeten davon, dass Zustände wie nach dem Ersten Weltkrieg zurückkehren würden. Das erwies sich jedoch bald als falsche Schlussfolgerung. Einerseits erhielten die drei baltischen Republiken jetzt eine viel wärmere internationale Aufnahme als in den 1920er Jahren. Ein schlechtes Gewissen im Westen spielte sicherlich eine Rolle. Ebenso wie die Balten im Exil.</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Botschafter Torsten Orn (Schweden) ist ehemaliger Leiter der OSZE-Mission in Lettland.</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Jede Epoche in der Geschichte hat ihre eigenen und teilweise sehr unterschiedlichen Herausforderungen. So auch diese neue Periode, die noch nicht einmal einen richtigen Namen hat. </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definieren wir die Ostseeregion? Natürlich Dänemark, Schweden, Finnland, Estland, Lettland und Litauen in ihrer Gesamtheit. Aber wie viel von Russland östlich von Pskov und Novgorod? Wie viel von Polen südlich von Danzig und Stettin? Welche deutschen Länder abgesehen von Mecklenburg-Vorpommern und Schleswig-Holstein? Sollten wir nicht auch aus kulturellen und wirtschaftlichen Gründen Hamburg und Norwegen einbeziehen? Das nordische Island? Belarus? Einige Menschen würden sogar so weit gehen, alle Länder entlang der Flüsse, die in die Ostsee fließen, einzubeziehen. Das ist nicht nur eine Angelegenheit für Geographen. Es hat große Auswirkungen auf die nationalen Agenden, die in Moskau, Warschau und Berlin aufgestellt werden. Wie wichtig sind den Regierungskreisen in diesen Hauptstädten Entwicklungen in unserer Region?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Ereignisse in der Ostseeregion waren auch wichtig für das Ende des Kalten Krieges. Lech Walesa und seine Werftarbeiter in Danzig gehören bereits der Geschichte an. Die Bedeutung des polnischen Papstes Johannes Paul II. wurde von niemand Geringerem als Michail Gorbatschow anerkannt. Und wir sollten sicherlich auch die Singenden Revolutionen in den baltischen Staaten nicht vergessen. Diejenigen, die kritisch über die Finnlandisierung sprachen, als sie versuchten, Finnlands geschicktes Balancieren zwischen Ost und West zu definieren, hatten wahrscheinlich keine Ahnung, was für ein attraktives Modell eine solche Politik für Balten und Polen darstellte. Der Ministerpräsident von Schleswig-Holstein, Björn Engholm, begann nun von einer Neuen Hanse zu sprechen. Welche Bedeutung werden zukünftige Historiker der Tatsache beimessen, dass Wladimir Putin ein gebürtiger Petersburger ist und nicht aus der Ukraine, dem Kaukasus oder Sibirien stammt?</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Viele Dinge sind notwendig, um dieses Jahrhundert für die Bewohner der Ostsee-Region besser zu machen als das letzte. Zunächst müssen Misstrauen und Aufrüstung Hoffnung und Optimismus weichen. Wir müssen alle erkennen, dass wir viel größer, stärker und schöner werden, wenn wir miteinander kooperieren - selbstverständlich mit Respekt für die kulturelle Identität und das Recht auf Existenz des jeweils anderen. Offenheit, Toleranz und freier Handel sind Wege zum Wohlstand und politischen Strukturen, die eine menschlichere Existenz garantieren können.</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Vergangenheitsbewältigung ist wichtig. Die Bewältigung der Vergangenheit ohne Nachlässigkeit oder Nostalgie. Westdeutschland hat in dieser Hinsicht viel erreicht, Ostdeutschland wesentlich weniger. Russland hat kaum damit begonnen. Dies ist auch in den baltischen Staaten wichtig, wenn es um Juden, Nazis und Sowjets während des letzten Jahrhunderts geht. Es betrifft nicht nur professionelle Historiker, sondern praktisch jede Familie. War Ihre geliebte Großmutter eine tapfere Partisanin oder eine opportunistische Mitläuferin? Geschichten über die Dummheit der Nachbarn zu erzählen ist eine Sache. Rassische Verfolgung und ethnische Säuberungen sind jedoch etwas ganz anderes.</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 dem Fall der Berliner Mauer gab es eine allgemeine Bewegung in Richtung Westen. Schweden und Finnland wollten Vollmitglieder der EU werden, Polen verließ den Warschauer Pakt, die baltischen Staaten verließen auch die Sowjetunion. Die Mitgliedschaft in der EU und der NATO war automatisch für Ostdeutschland als Teil der deutschen Wiedervereinigung, aber die Wiedervereinigung selbst war nicht einfach, weder wirtschaftlich noch psychologisch. Die mentale Wiedervereinigung wird vielleicht noch eine weitere Generation dauern.</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Schweden und Finnland traten 1995 der EU bei, aber leider nicht Norwegen,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 eine Mehrheit 1994 dagegen gestimmt hatte. Polen trat 1999 der NATO bei und wird im nächsten Jahr der EU beitreten. Die baltischen Staaten werden ebenfalls nächstes Jahr beitreten. Viel schneller als noch vor wenigen Jahren gedacht! </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 war eine enorme Anstrengung seitens der betroffenen Länder. Andere Länder haben ihnen in ihrem eigenen aufgeklärten Eigeninteresse geholfen. Aber den Großteil musste jeder selbst leisten. Der Weg von totalitärer Diktatur und Planwirtschaft zu pluralistischer Demokratie und Marktwirtschaft ist lang. Der Kurs war trotz vieler Regierungswechsel bemerkenswert stabil. </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Mitgliedschaft in der EU ist kein dauerhafter Zustand, sondern ein Prozess. Es ist eher wie an Bord eines Schiffes zu gehen als in ein Haus einzutreten. Es gibt kein liberum Veto für jeden zu allem. In Fragen von vitalem Interesse für das eigene Land kann man sich zurückhalten, aber in den meisten anderen Fällen nicht. Was wollen die neuen Mitglieder priorisieren? Wir schauen besonders auf Polen, eine der großen historischen Nationen Europas, die in der EU das gleiche Gewicht wie Spanien haben wird. Hoffentlich wird die nördliche Dimension der EU nach dieser Erweiterung stärker betont werden.</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Mitgliedschaft in der EU wird höchstwahrscheinlich auch als nützliches Werkzeug, als Hebel, fungieren, um die Gesellschaften der neuen Mitglieder in einem westlichen Sinn zu modernisieren. Viel würde ohnehin geschehen, aber jetzt wird es schneller passieren. Es wird wahrscheinlich schmerzhaft sein in bestimmten Sektoren, die durch Schutz ohne Wettbewerb verwöhnt wurden. Regierungen müssen in der Lage sein, das berühmte Omelett recht bald als Erklärung für die gebrochenen Eier zu liefern, wenn sie politisch überleben wollen.</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intensivere Zusammenarbeit birgt ein großes Potenzial für wirtschaftliches Wachstum. Eine gemeinsame Währung wird ebenfalls helfen. Leider hat sich eine Mehrheit der Schweden entschieden, zu warten.</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Gleiche gilt für Forschung, Wissenschaft und Kultur. Es gibt viel Boden zu gewinnen nach der langen Zeit des Eisernen Vorhangs.</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Bedrohungen für unsere gemeinsame Ostseeumwelt waren aus offensichtlichen und bedauerlichen Gründen schon vor dem Fall des Kommunismus im Fokus.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Kampf gegen den Handel, den Schmuggel von Drogen und anderen Formen der organisierten internationalen Kriminalität erfordert ebenfalls gemeinsame Anstrengungen. Die meisten von uns haben nicht realisiert, dass die Kriminalität vor allem privatisiert werden würde. Wie viel Korruption können wir in einem Staat tolerieren, der behauptet, demokratisch zu sein? All dies sind ernsthafte Bedrohungen für unsere Gesellschaften, auch wenn sie im Vergleich zu Panzern und Raketen unterschiedlicher Art sind.</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ist wichtig zu bedenken, dass nicht alles auf zwischenstaatlicher Ebene erledigt werden muss. In Europa der Regionen kann durch grenzüberschreitende Regionen verschiedener Länder viel erreicht werden, ohne die nationalen Zentren einzubeziehen. Noch mehr kann von nichtstaatlichen Institutionen und Organisationen, Unternehmen, Vereinen und Einzelpersonen getan werden. Das ist auch das, was uns in der vorherigen Ära besonders gefehlt hat. Moderne Technologie erleichtert es zudem, solche Netzwerke über die Grenzen hinweg aufzubauen. Aber erwarten Sie nicht in allen Bereichen sofortige Ergebnisse. Schauen Sie sich unsere Brücke zwischen Malmö und Kopenhagen an, die seit 2000 besteht. Wir hatten viel Zeit, um synergetische Effekte vorzubereiten, aber wir warten immer noch darauf, dass die meisten von ihnen eintreten.</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welcher Sprache sollen wir kooperieren? Plattdeutsch war im Mittelalter die Lingua Franca in der Ostsee-Region. In der EU ist offiziell Französisch und Englisch die Sprache. Wenn man junge Menschen heute fragt, antworten sie fast überall auf Englisch. Das ist die Sprache, in der sie im Netz surfen. Vielleicht wird das auch die sprachliche Situation in Estland und Lettland erleichtern? Aber diejenigen, die Geschäfte mit Deutschland machen wollen, sollten die Sprache der Hanse nicht vernachlässigen.</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Englisch und Französisch sind keine Muttersprachen in der Ostsee-Region. Aber unser See war noch nie ein mare clausum, das nur für die anliegenden Länder reserviert war. Die Niederländer, Franzosen, Engländer und zuletzt die Amerikaner haben alle eine wichtige Rolle gespielt. Nicht zuletzt, um einen allzu mächtigen Staat in der Region auszugleichen.</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wird aus dem Nordischen Rat, dem Rat der Ostseeanrainerstaaten usw.? Werden sie noch benötigt? Wenn man sich an westeuropäischen Institutionen orientiert, werden sie wahrscheinlich weiterhin in ihren speziellen Bereichen arbeiten, auch wenn niemand sie heute neu gründen würde. Heute zählt nur die EU. Die EU und in militärischen Angelegenheiten die NATO.</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Angesichts der Geschichte unserer Region finde ich es sehr verständlich, dass die meisten Länder rund um die Ostsee jetzt der NATO beitreten möchten, um eine amerikanische Garantie für die Zukunft zu erhalten. Nur Finnland und Schweden, die während oder nach dem Zweiten Weltkrieg keine ausländische Besatzung erlitten haben, ziehen es vor, außerhalb zu bleiben.</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führt mich zur eigentlichen strategischen Herausforderung für die Region. Welche Art von Beziehungen werden wir zu Russland haben? Ein Russland, das nur dank St. Petersburg und Kaliningrad ein Ostseestaat ist.</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Letzteres ist außerdem ein Problem an sich, wie wir alle wissen. Ein typisches Überbleibsel des Imperiums. Es geht nicht nur um Transitrechte. Welche Rolle wird Kaliningrad im Verhältnis zur EU und im Verhältnis zum eigentlichen Russland spielen?</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Aber das Hauptproblem ist Russland selbst. Was will es in Zukunft sein? Ein Teil Europas oder etwas ganz Anderes? Dies ist ein altes Thema in der russischen Kultur. Trotz aller Glasnost ist es immer noch nicht einfach, die russische Entscheidungsfindung zu verstehen. Auch innerhalb der EU haben wir unterschiedliche Meinungen über Russlands Platz im europäischen Kontext.</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 ist keine rein psychologische oder philosophische Frage. Für die Ostsee-Region ist es von höchster Bedeutung, ob wir zu einer Verbindung oder einer Barriere in Richtung Osten werden. Dies gilt natürlich insbesondere für die baltischen Staaten. Hoffentlich können sie eine Beziehung zu Russland entwickeln, die ähnlich der zwischen Deutschland und den drei Benelux-Ländern nach dem Zweiten Weltkrieg ist. Die Erfahrungen Polens sprechen für sich. </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russische Markt hat im Westen immer enormes Interesse und Aufmerksamkeit auf sich gezogen, fast wie eine Fata Morgana. Das gilt auch heute noch, obwohl die russische Wirtschaft nicht viel größer ist als die der Niederlande. Wo liegt die Zukunft? </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Auch für Russland gilt, dass nur eine enge Beziehung zur EU bei der Modernisierung von Wirtschaft und Gesellschaft helfen kann, was eine Voraussetzung für eine dauerhafte Demokratie im Land und dauerhaften Frieden mit anderen Ländern ist. </w:t>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die wir das Glück haben, am Anfang dieses Jahrhunderts in der Ostsee-Region zu leben, haben keine Herausforderungen zu meistern. Aber wir müssen auch Visionen haben! Die Ostsee, ein Meer des Friedens! Endlich!</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11</w:t>
      </w:r>
      <w:r w:rsidDel="00000000" w:rsidR="00000000" w:rsidRPr="00000000">
        <w:rPr>
          <w:rtl w:val="0"/>
        </w:rPr>
      </w:r>
    </w:p>
    <w:p w:rsidR="00000000" w:rsidDel="00000000" w:rsidP="00000000" w:rsidRDefault="00000000" w:rsidRPr="00000000" w14:paraId="0000004F">
      <w:pPr>
        <w:pStyle w:val="Heading2"/>
        <w:jc w:val="both"/>
        <w:rPr>
          <w:rFonts w:ascii="Times New Roman" w:cs="Times New Roman" w:eastAsia="Times New Roman" w:hAnsi="Times New Roman"/>
        </w:rPr>
      </w:pPr>
      <w:bookmarkStart w:colFirst="0" w:colLast="0" w:name="_jeus6eiy5tob" w:id="3"/>
      <w:bookmarkEnd w:id="3"/>
      <w:r w:rsidDel="00000000" w:rsidR="00000000" w:rsidRPr="00000000">
        <w:rPr>
          <w:rFonts w:ascii="Times New Roman" w:cs="Times New Roman" w:eastAsia="Times New Roman" w:hAnsi="Times New Roman"/>
          <w:rtl w:val="0"/>
        </w:rPr>
        <w:t xml:space="preserve">Die neue NATO und die Sicherheit der Bündnisrandstaaten</w:t>
      </w:r>
    </w:p>
    <w:p w:rsidR="00000000" w:rsidDel="00000000" w:rsidP="00000000" w:rsidRDefault="00000000" w:rsidRPr="00000000" w14:paraId="00000050">
      <w:pPr>
        <w:pStyle w:val="Subtitle"/>
        <w:rPr>
          <w:rFonts w:ascii="Times New Roman" w:cs="Times New Roman" w:eastAsia="Times New Roman" w:hAnsi="Times New Roman"/>
        </w:rPr>
      </w:pPr>
      <w:bookmarkStart w:colFirst="0" w:colLast="0" w:name="_2ioje7cahg7e" w:id="4"/>
      <w:bookmarkEnd w:id="4"/>
      <w:r w:rsidDel="00000000" w:rsidR="00000000" w:rsidRPr="00000000">
        <w:rPr>
          <w:rFonts w:ascii="Times New Roman" w:cs="Times New Roman" w:eastAsia="Times New Roman" w:hAnsi="Times New Roman"/>
          <w:rtl w:val="0"/>
        </w:rPr>
        <w:t xml:space="preserve">Von Brigadegeneral Michael H. Clemmesen*</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NATO erweitert sich im Jahr 2004 und umfasst damit alle Fragen und Bedrohungen, die mit dieser neuen Peripherie verbunden sind, z.B. die Bedenken der baltischen Staaten in Bezug auf zukünftige Entwicklungen in Russland und Belarus. Sie sehen und hören, dass Russlands Gefühle und Ego durch die Erweiterung verletzt und gedemütigt wurden. Die geringe, aber anerkannte Bedrohung für Russland aus dem Süden hat noch nicht von dieser empfundenen Demütigung abgelenkt. Die größte Herausforderung für Russland aus dem Osten, von China, scheint immer noch bewusst von der russischen Führung ignoriert zu werden, da dies den Versuch, durch die Zusammenarbeit mit der schnell wachsenden asiatischen Supermacht das amerikanische Einfluss in der Welt auszugleichen, untergraben würde. </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Gleichzeitig hat sich der Fokus der NATO deutlich über diese Peripherie hinaus verändert. Um in den Augen der wichtigsten Mitgliedsstaaten, insbesondere der USA, relevant zu bleiben, muss die Organisation die realen und wahrgenommenen Herausforderungen des frühen 21. Jahrhunderts akzeptieren und bewältigen. Man kann annehmen, dass die NATO-Operation in Afghanistan der Vorläufer für ähnliche Aufgaben in der Zukunft ist: eine Mischung aus Terrorismusbekämpfung, Gegeninfiltration, Aufstandsbekämpfung, Friedensschaffung, Friedenssicherung, humanitären und Nation-Building-Operationen. </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Scheitern der Operation in Afghanistan könnte das Bündnis brechen.</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Widerspruch zwischen den Bedenken der neuen Mitgliedsstaaten und der zukünftigen Rolle des Bündnisses ist politisch sehr schwierig zu handhaben in diesen neuen Mitgliedsstaaten, die immer noch eine potenzielle Bedrohung gegen ihr Territorium empfinden. Die NATO ist kein supranationales Gebilde, auch wenn sich einige offizielle Vertreter des Bündnisses manchmal so verhalten, als ob es so wäre. </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Regierungen der Mitgliedsstaaten können weder die politische Realität im Inland und den Rat ihrer nationalen Militärberater ignorieren noch den Druck des Bündnisses und befinden sich daher schmerzhaft zwischen beiden.</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w:t>
      </w:r>
    </w:p>
    <w:p w:rsidR="00000000" w:rsidDel="00000000" w:rsidP="00000000" w:rsidRDefault="00000000" w:rsidRPr="00000000" w14:paraId="0000005C">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Dieses Problem wird durch die Tatsache verschlimmert, dass die Landstreitkräfte der meisten NATO-Mitglieder - der alte, neue und zukünftige europäische Rücken - den Anforderungen der neuen Situationen nicht entsprechen. Die meisten sind immer noch unzureichend ausgebildet, haben eine geringe Kampfbereitschaft und schwere Kräfte, die auf der Mobilisierung von Personal und einigen Ausrüstungsgegenständen basieren und nur über eine kurze oder mittlere Reichweite von Logistikfähigkeiten verfügen.</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Tatsache, dass diese Kräfte von schwerer Ausrüstung dominiert werden, die hauptsächlich für den Krieg mit hoher Intensität in offenem Gelände relevant ist, macht Transport und logistische Unterstützung sowohl komplex als auch teuer. Solche schweren Kräfte müssten vor der Durchführung von Operationen in engem und schwierigem Gelände umfassend umgeschult und teilweise oder vollständig neu ausgerüstet werden. Sie müssten ebenfalls umgeschult und mit einigen neuen Geräten ausgestattet werden, um vollständig für Niedrigintensitätsoperationen geeignet zu sein.</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 ein kleiner Teil der Streitkräfte der Mitgliedsstaaten ist für die wahrscheinlichen zukünftigen Operationen ausgeglichen. Viele haben einen zu hohen Prozentsatz an Kampf- und Artillerieeinheiten. Die Kräfte und insbesondere die Landstreitkräfte mit höherer Bereitschaft mangelt es an Logistikfähigkeiten, einschließlich medizinischer Einheiten, Militärpolizei und Ingenieur-Einheiten (sowohl für Kampfunterstützung als auch für Bauzwecke).</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Dieser Zustand im Hinterland macht es schwierig, die neuen Peripherie-Mitglieder davon zu überzeugen, dass sie rechtzeitige und effektive Hilfe erhalten würden, wenn sich die Bedrohungswahrnehmung der Allianz als falsch herausstellen würde, die von der Perspektive aus dem Hinterland dominiert wird. Trotz dessen, was jetzt wahrscheinlich erscheint, könnte eine quantitativ begrenzte, aber lokal signifikante militärische Bedrohung mit wenig strategischer Warnung zur Realität werden.</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Landstreitkräfte der meisten Mitgliedstaaten sowohl aus dem Hinterland als auch aus anderen Teilen der Peripherie würden so lange brauchen, um eingesetzt zu werden und so stark von der Unterstützung des Gastgeberlandes abhängen, dass eine effektive Reaktion sehr langsam wäre. Die relativ begrenzte Anzahl an hochbereiten Einsatzkräften könnte genau dann auf Missionen außerhalb des NATO-Gebiets eingesetzt werden, wenn sie an der Peripherie gebraucht werden.</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Nicht-periphere NATO-Staaten könnten betonen, dass jede Bedrohung des Territoriums neuer Mitglieder durch die Bedrohung der hochwirksamen Luftstreitkräfte der Allianz abgeschreckt würde. Periphere Staaten könnten jedoch erwidern, dass viele Situationen im wirklichen Leben nicht die Klarheit eines signifikanten Grenzübertritts haben, der eine massive Luftwaffenreaktion zur Vergeltung rechtfertigen könnte. </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Dieses Gefühl der Verwundbarkeit wird durch die langsame Umgestaltung der Kräfte des europäischen Hinterlands mit gutem Grund genährt. Dieses Gefühl hat in neuen Mitgliedsstaaten der Peripherie zu zwei Reaktionen geführt: einer unkritischen Kopie-Katzen-Entwicklung der Streitkräfte, um NATO zu gefallen, und unrealistischen Illusionen über das potenzielle Leistungsvermögen kleiner territorialer Streitkräfte. </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zukünftigen NATO-Mitglieder haben sehr begrenzte Ressourcen zur Verfügung, um ihre Streitkräfte zu nutzen. Ihre Gesellschaften entwickeln sich noch immer nach dem Übergang von heruntergekommenen Kommandowirtschaften, und ihre eigenen Erfahrungen kombiniert mit westlicher Wirtschaftsberatung führen zu kleinen staatlichen Sektoren. Sowohl Bevölkerungen als auch Politiker lehnten eine Wiederholung der tiefen Doktrin der Mobilisierung der Gesellschaft zur Verteidigung ab, die in der Sowjetunion/Warschauer Vertrag Organisation herrschte. Eine unabhängige Selbstverteidigung</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w:t>
      </w:r>
    </w:p>
    <w:p w:rsidR="00000000" w:rsidDel="00000000" w:rsidP="00000000" w:rsidRDefault="00000000" w:rsidRPr="00000000" w14:paraId="0000006E">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gegenüber einem wiedererstarkten russischen Nachbarn wäre ohnehin aussichtslos. Die zukünftige Unabhängigkeit und Sicherheit ist von externen NATO-Garantien und Unterstützung abhängig.</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begrenzten Ressourcen und der kombinierte Druck der Post-1999-Ratschläge des NATO International Staff sowie von Beratern aus den USA und Großbritannien haben zu den aktuellen Streitkräfteplänen geführt, mit sehr kleinen einsetzbaren Kräften, einer etwas größeren mobilen Armee-Struktur und einer schwachen Heimatschutzorganisation. Die Suche nach der Illusion eines perfekten Plans, ständig wechselnde, unkoordinierte und manchmal widersprüchliche Ratschläge sowie ein unterentwickeltes Streben nach Ergebnissen haben die Umsetzung von allem signifikant verzögert.</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Streitkraftentwicklungspläne betonen, dass die zu entwickelnden Kräfte innerhalb der verfügbaren Ressourcen nachhaltig sein sollten. Dies ist vernünftig und eine Selbstverständlichkeit.</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Ratschläge haben jedoch auch zu einer sehr langsamen, gestaffelten, kostengebundenen Generation von Kräften geführt, eine Einheit nach der anderen. Dieser Ansatz ist unprofessionell, da er einen Engpass bei der Entwicklung von Kadern schafft. Es ist ein bürokratischer Ansatz: Einheiten mit neuer Ausrüstung und bezahltem Personal zu füllen.</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Stattdessen hätte der Rat ein tieferes Verständnis dafür zeigen sollen, wie hochwertige militärische Einheiten entwickelt werden. Er hätte die Schaffung einer nachhaltigen Streitkraftstruktur von Anfang an fördern sollen (in den baltischen Staaten ein Brigaden- oder Brigade-Ausbildungsorganisationsrahmen), mit den verfügbaren Kadern, besetzt, bemannt und ausgerüstet mit dem, was derzeit verfügbar war, sowie einem rigorosen und realistischen Schulungsplan. Die militärische Streitkraftentwicklung muss in parallelen Prozessen statt in sequentiellen Phasen stattfinden, um das richtige Gleichgewicht von Struktur und Expertise zu schaffen.</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Internationaler NATO-Stab und anglo-sächsische Berater drängten auf die Beendigung der Wehrpflicht, angetrieben von ideologischen und nicht pragmatischen, analytischen Gründen. Dieser Rat ignorierte die lokalen Bedingungen und wurde leider aus ideologischen Gründen von liberalen Politikern in den Staaten aufgenommen. </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ist logisch in der neuen NATO, dass die Mitglieder versuchen sollten, so viele hochqualifizierte Vertragsoldaten wie möglich innerhalb des verfügbaren staatlichen Gehaltsrahmens anzuwerben. In Staaten mit einer geringen Bevölkerungsgrundlage und insbesondere solchen mit einem hohen Beschäftigungsniveau kann es jedoch nicht möglich sein, mehr als einige hundert Soldaten von geeigneter Qualität für die Kampfelemente des Heeres zu rekrutieren. In diesem Fall wird die Streitmacht einfach zu klein sein, um eine tragfähige Basis für die Aufrechterhaltung nationaler Streitkräfte zu schaffen: die Produktion von Offizieren und Unteroffizieren mit praktischer Einheitserfahrung für die nationalen Ausbildungs- und Managementstrukturen. Solche Länder können entweder den Weg Luxemburgs wählen und die Situation akzeptieren oder Soldaten aus der Dritten Welt rekrutieren (was in der Innenpolitik schwer zu akzeptieren sein kann) oder ein begrenztes Element des Pflichtdienstes beibehalten, aber grundlegend reformieren, um es in das Rekrutierungspaket aufzunehmen.</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letztere Option könnte es möglich machen, tragfähige nationalen Streitkräfte in minimaler Größe aufrechtzuerhalten und die Rekrutierung von regulären Soldaten zu verbessern,</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14</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 ein Teil der Bevölkerung gezwungen ist, persönlichen Kontakt mit den Streitkräften aufzunehmen. Es ist äußerst arrogant zu schlussfolgern, dass Mitgliedsstaaten, die nicht genügend Freiwillige rekrutieren können, um tragfähige reguläre Streitkräfte zu schaffen, ihre Ambitionen aufgeben sollten. Es ist auch ziemlich kurzsichtig, da dies wahrscheinlich zu einem geringeren Beitrag der Streitkräfte führen wird.</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 potentiellen Mitgliedsstaaten wurde geraten, kleine Nischenfähigkeiten zu schaffen. Dabei wurde angenommen, dass die Staaten die NATO als übernationale Autorität akzeptierten und damit ihre Fähigkeit zur Wiederherstellung von Selbstverteidigungskräften untergruben. Die Art der Nischenfähigkeit blieb den Nationen selbst überlassen. Diese Beratung ignorierte, dass es der Allianz wirklich an einer viel höheren Anzahl von gut ausgebildeten und ausgerüsteten, leichten, hochbereiten Landkampfeinheiten fehlt. Die Transport- und Logistikanforderungen sind in Bezug auf leichte Infanterie- und Kampfunterstützungseinheiten relativ einfach zu erfüllen, insbesondere wenn ihr Grundausstattungspaket der Ausrüstung ähnlicher US-, britischer, französischer oder deutscher Einheiten entspricht.</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Einige Ratschläge schienen auch zu ignorieren, dass die Allianz eine ausreichende Anzahl von schweren, mechanisierten Einheiten hat, um mehr als alle realistischen Anforderungen zu erfüllen. Auch wenn die US- und UK-Kräfte sich jetzt reformieren, haben zu viele Berater der Mitgliedsstaaten es schwer gefunden, die Begrenzungen schwerer Landstreitkräfte anzuerkennen.</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den kleineren peripheren Staaten haben das Gefühl der Verwundbarkeit und die niedrigen Kräftelevels die logische militärische und politische Analyse untergraben. Es schien unmöglich für patriotische Offiziere und Bürger anzuerkennen, dass die Selbstverteidigung durch die Kräftelevel unmöglich gemacht wurde, die aufgrund des sehr begrenzten Engagements der Politiker und gerechtfertigt durch die NATO-Ratschläge entstanden waren. Die Politiker waren einfach nicht bereit, Schritte ähnlich denen zu akzeptieren, die während des Kalten Krieges in den nordischen Staaten unternommen wurden, um große und robuste Territorialkräfte zu schaffen.</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Periphere Staaten wie die baltischen Staaten können ihr Territorium nicht mit den Landstreitkräften verteidigen, die ihre Regierungen vorbereiten und die selbst nach vollständiger Mobilmachung verfügbar sein könnten: eine dünn verteilte freiwillige Heimwehr mit unzureichend ausgebildeten, unerfahrenen Führungskräften, schwach ausgebildet und ausgerüstet, plus eine Handvoll ebenso schwach geführter und ausgebildeter territorialer Bataillone sowie die Hauptstreitmacht, eine Infanteriebrigade.</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Selbst wenn ein Aggressor nur sehr begrenzte Kräfte kontrollieren würde (er müsste sich gegen eine Reaktion der Allianz auf einen vorherigen Truppenaufbau absichern), könnte er die Initiative behalten und die Verteidigungskräfte ignorieren und umgehen, deren begrenzte taktische Mobilität und leichte Ausrüstung sie ungeeignet für Zusammenstöße macht. Selbst wenn der Aggressor den unwahrscheinlichen Fehler machen würde, die eine Brigade in ihrem maximalen 15 x 10 km großen Bereich anzugreifen, hätte dies aufgrund der relativ begrenzten Feuerkraft und Mobilität der Brigade keine Auswirkungen auf das Ergebnis. Der Feind könnte problemlos zur Flanke und zum Rücken der Brigade vordringen. Unabhängig davon, welche Entwicklungen zu einer Aggression führen könnten, wären die nationalen Kräfte unzureichend, um die Situation zu bewältigen.</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Jede einfache Kriegssimulation würde unterstreichen, dass die verfügbaren Verteidigungskräfte nur minimale Verteidigungsfähigkeiten </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15</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haben und somit sehr wenig abschreckende Wirkung haben. Krisensimulationen würden die Einschränkungen weiter unterstreichen, die eine Folge von Kräften sind, die auf Mobilisierung und Reservistenkader angewiesen sind.</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der aktuellen NATO-Landesstreitkräfte-Struktur, die übermäßig auf schweren, wenig einsatzbereiten Kräften basiert, ist die Fähigkeit, schnell auf jeden plötzlichen Druck auf ein peripheres Mitgliedsland zu reagieren, begrenzt. Die NATO-Reaktionskräfte werden die Reaktionszeit verbessern, aber ihr Einsatz wird von einem Allianzkonsens abhängen, der nur wahrscheinlich ist, wenn die Angelegenheit und die Bedrohung klar sind. Eine effektive Abschreckung bleibt direkt damit verbunden, dass jede offene Aggression eine Reaktion mit Allianz-Luftstreitkräften hochwahrscheinlich machen würde.</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Lösung für die kombinierten Probleme der NATO und ihrer neuen Peripheriestaaten besteht darin, dass alle Mitgliedsstaaten das Maximum tun sollten, um sich auf die Entwicklung von hochbereiten Kräften zu konzentrieren. Dies ist es, was die NATO-Planer in den letzten vier Jahren gefordert haben, und gerade aufgrund ihrer potenziell exponierten Lage sollten die Peripheriestaaten eine positive Reaktion anführen, ein gutes Beispiel geben und den Rest dazu ermutigen, ihrem Beispiel zu folgen.</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wohlhabenderen oder größeren Staaten könnten eine leichte-schwere Mischung an Kräften entwickeln oder aufrechterhalten und die damit verbundenen komplexen und teuren militärischen Logistik- und Transportstrukturen aufbauen. Ein Teil dieser logistischen Unterstützung könnte jedoch auf Verträgen mit zivilen Unternehmen aufgebaut werden, um Ressourcen für Ausbildung und Ausrüstung freizusetzen.</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Weniger ehrgeizige Staaten sollten leichtere Kräfte entwickeln, sollten aber auch die Fähigkeit aufbauen und aufrechterhalten, die Kräfte logistisch weit weg von zu Hause zu unterstützen. Ein Teil dieser logistischen Unterstützung sollte auf Verträgen mit zivilen Unternehmen aufgebaut werden.</w:t>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Kleine, periphere Mitgliedsstaaten sollten sich auf leichte kombinierte Waffenkräfte wie eine leichte Infanterie-Brigadestruktur mit einem hochbereiten Element konzentrieren. Für Operationen im Land könnte es in hohem Maße von mobilisierten zivilen Logistikressourcen abhängig sein. Für Expeditionseinsätze müsste es möglicherweise in die Logistikstruktur eines größeren oder wohlhabenderen Staates eingebunden werden. Die einzigen relevanten gepanzerten Fahrzeuge wären ein Pool von Radpanzern, einige Minenräumfahrzeuge und einige gepanzerte Fahrzeuge für Eskort- und Patrouillenaufgaben.</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solche Lösung würde es der Allianz ermöglichen, schwierige und anspruchsvolle Operationen, wie die derzeitige in Afghanistan, erfolgreich durchzuführen, ohne eine wesentlich höhere und daher politisch unrealistische Ressourcenzuweisung an die Streitkräfte der Mitgliedstaaten zu fordern. </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Lösung würde auch die Bedenken der Randstaaten effektiv berücksichtigen. Selbst wenn die Allianz unter Druck geraten würde, aufgrund von anspruchsvollen externen Operationen, gäbe es eine große Anzahl von hochbereiten Landstreitkräften, auf die zurückgegriffen werden könnte, sowohl im hinteren Teil der Allianz als auch aus anderen, nicht herausgeforderten Teilen des Randes. Die meisten dieser Kräfte könnten kurzfristig eingesetzt werden und wären nicht auf vorbereitete Unterstützung des Gastgeberlandes für ihre Wirksamkeit angewiesen.</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Selbst wenn einige Staaten nicht zustimmen würden, dass es angemessen wäre, jeder individuellen Herausforderung mit einer präventiven militärischen Entsendung zu begegnen (und damit die kollektive Entscheidungsfindung blockieren würden),</w:t>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16</w:t>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gäbe es genügend andere Mitgliedsstaaten, die sich bilateraler Zusammenarbeit anschließen könnten und somit zu einer zeitnahen und effektiven Abschreckung beitragen könnten.</w:t>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 die Zukunft der NATO von einer frühen und effektiven Transformation ihrer Kraftstrukturen abhängt und die Sicherheit der baltischen Staaten und anderer Peripheriemitglieder vollständig vom Überleben einer effektiven Allianz abhängt, sollten sie logischerweise den Weg vorgeben und Überlegungen zur Selbstverteidigung bei der Entwicklung ihrer Kräfte bewusst zurückstellen.</w:t>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17</w:t>
      </w:r>
      <w:r w:rsidDel="00000000" w:rsidR="00000000" w:rsidRPr="00000000">
        <w:rPr>
          <w:rtl w:val="0"/>
        </w:rPr>
      </w:r>
    </w:p>
    <w:p w:rsidR="00000000" w:rsidDel="00000000" w:rsidP="00000000" w:rsidRDefault="00000000" w:rsidRPr="00000000" w14:paraId="000000A9">
      <w:pPr>
        <w:pStyle w:val="Heading2"/>
        <w:rPr>
          <w:rFonts w:ascii="Times New Roman" w:cs="Times New Roman" w:eastAsia="Times New Roman" w:hAnsi="Times New Roman"/>
          <w:b w:val="1"/>
        </w:rPr>
      </w:pPr>
      <w:bookmarkStart w:colFirst="0" w:colLast="0" w:name="_wjnplpl3tnug" w:id="5"/>
      <w:bookmarkEnd w:id="5"/>
      <w:r w:rsidDel="00000000" w:rsidR="00000000" w:rsidRPr="00000000">
        <w:rPr>
          <w:rFonts w:ascii="Times New Roman" w:cs="Times New Roman" w:eastAsia="Times New Roman" w:hAnsi="Times New Roman"/>
          <w:b w:val="1"/>
          <w:rtl w:val="0"/>
        </w:rPr>
        <w:t xml:space="preserve">Abschnitt II</w:t>
      </w:r>
    </w:p>
    <w:p w:rsidR="00000000" w:rsidDel="00000000" w:rsidP="00000000" w:rsidRDefault="00000000" w:rsidRPr="00000000" w14:paraId="000000AA">
      <w:pPr>
        <w:pStyle w:val="Heading2"/>
        <w:rPr>
          <w:rFonts w:ascii="Times New Roman" w:cs="Times New Roman" w:eastAsia="Times New Roman" w:hAnsi="Times New Roman"/>
          <w:b w:val="1"/>
        </w:rPr>
      </w:pPr>
      <w:bookmarkStart w:colFirst="0" w:colLast="0" w:name="_tbrlhg9ecg8z" w:id="6"/>
      <w:bookmarkEnd w:id="6"/>
      <w:r w:rsidDel="00000000" w:rsidR="00000000" w:rsidRPr="00000000">
        <w:rPr>
          <w:rFonts w:ascii="Times New Roman" w:cs="Times New Roman" w:eastAsia="Times New Roman" w:hAnsi="Times New Roman"/>
          <w:b w:val="1"/>
          <w:rtl w:val="0"/>
        </w:rPr>
        <w:t xml:space="preserve">Internationales Recht</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folgende Abschnitt befasst sich mit dem Thema des Völkerrechts, das ein wichtiger Bestandteil des Systems der Beziehungen sowohl zwischen Staaten als auch zwischen Staat und Individuum ist. Während des Kalten Krieges war dieser Bereich jedoch durch Grenzen und Einschränkungen stark vom Militär überschattet und entkoppelt. Heute werden Militär- und Sicherheitsfragen jedoch mehr denn je durch die Normen bestimmt, die von der Zivilgesellschaft vorgegeben werden, wobei die Rechtsstaatlichkeit eines der Grundprinzipien demokratischer Gesellschaften ist. Besondere Bedeutung in diesem Zusammenhang hat das Kriegsvölkerrecht, das darauf ausgelegt ist, Exzesse beim Einsatz von Gewalt einzuschränken. Mit seiner Ausrichtung darauf, das Militär nicht zu behindern, sondern bei der Einhaltung der in der modernen Gesellschaft üblichen Standards zu unterstützen, spiegeln die Regeln, die im Körper des humanitären Völkerrechts konzipiert und destilliert wurden, auch den Pragmatismus ihrer Autoren wider. Obwohl sie keinen weiteren Krieg wollten und den Einsatz von Gewalt ausdrücklich in der Charta der Vereinten Nationen verboten, erkannten sie an, dass die Realität anders aussehen würde. Diese Vereinigung von Recht und Krieg kann in dem Zitat von General Colin Powell zum Golfkrieg zusammengefasst werden: "Entscheidungen wurden auf allen Ebenen von rechtlichen Überlegungen beeinflusst. Das Kriegsvölkerrecht erwies sich im Entscheidungsprozess als unschätzbar wertvoll." Die Einbeziehung des Völkerrechts in das tägliche Geschäft deutet jedoch darauf hin, dass es nicht ausreicht, nur vertragliche Verpflichtungen vollständig einzuhalten. Wir müssen Verträge auf nationaler Ebene wirksam umsetzen, d.h. im Kontext, in dem sich ihre Auswirkungen entfalten müssen. Staaten müssen die Bestimmungen von Verträgen in die Praxis umsetzen, damit sie wirklich effektiv sind. Dies bedeutet, dass nationale Maßnahmen in Friedenszeiten ergriffen werden müssen und dass sie in die nationale Gesetzgebung aufgenommen werden müssen. Es ist also die Idee sowohl von der Bedeutung des Völkerrechts als auch von seiner ständigen Reflexion in den Handlungen des Militärpersonals, die dieser Abschnitt zu erläutern versuchen wird. Obwohl sich der Abschnitt hauptsächlich auf das Kriegsvölkerrecht konzentriert, geht er auch auf Bereiche ein, die für das Militär wichtig sind - den Status ausländischer Streitkräfte und das internationale Strafrecht.</w:t>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18</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ersten Artikel gibt Dr. Dieter Fleck einen Einblick in die Entwicklung des humanitären Völkerrechts durch das Leben und Werk von Prof. Friedrich von Martens, einem weltberühmten Anwalt aus Pärnu (Estland). Er erklärt sowohl die Essenz des humanitären Völkerrechts als auch die Art und Weise, in der die Normen des Rechts geformt und weiterentwickelt wurden. </w:t>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nächsten Artikel von Herrn René Värk geht es um die Rolle des Völkerrechts als das einzige System, das einheitlich von der Weltgemeinschaft anerkannt wird. Der Artikel skizziert die Position des Völkerrechts in Bezug auf die große andauernde Debatte und Quelle von Reibung und Missverständnissen im internationalen System, die Legalität des Einsatzes von Gewalt. </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Artikel von Frau Mette Prassé Hartov gibt einen umfassenden Überblick über die Rolle und den Anwendungsbereich des NATO-Truppenstatuts und schlägt Möglichkeiten vor, die Bestimmungen dieses Vertrags in die Praxis umzusetzen. Die baltischen Staaten, die auf ihre lang ersehnte Mitgliedschaft in der NATO warten, müssen in der Lage sein, eine erfolgreiche militärische Zusammenarbeit sowohl untereinander als auch innerhalb der Allianz zu leisten, und ein klares Verständnis des Status ausländischer Truppen ist eine der Voraussetzungen dafür. </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Anschluss an das Thema der nationalen Umsetzung des Völkerrechts konzentriert sich Herr Martin Roger in seinem Artikel auf die Gerichtsbarkeit und Kommandoverantwortung, unter Berufung auf eine der wesentlichen Verbesserungen bei der Durchsetzung des Völkerrechts, die Einrichtung des Internationalen Strafgerichtshofs. </w:t>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dem letzten Beitrag geht Professor Ole Espersen auf die brennenden Fragen des Völkerrechts ein und teilt seine Meinung zur Frage des Einsatzes von Gewalt im bewaffneten Konflikt im Irak mit. Wir hoffen, dass dieser kurze und prägnante Kommentar Reaktionen von unseren Lesern hervorruft und zu einer Diskussion über das Thema anregt.</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19</w:t>
      </w:r>
    </w:p>
    <w:p w:rsidR="00000000" w:rsidDel="00000000" w:rsidP="00000000" w:rsidRDefault="00000000" w:rsidRPr="00000000" w14:paraId="000000BB">
      <w:pPr>
        <w:pStyle w:val="Heading2"/>
        <w:jc w:val="both"/>
        <w:rPr>
          <w:rFonts w:ascii="Times New Roman" w:cs="Times New Roman" w:eastAsia="Times New Roman" w:hAnsi="Times New Roman"/>
          <w:b w:val="1"/>
        </w:rPr>
      </w:pPr>
      <w:bookmarkStart w:colFirst="0" w:colLast="0" w:name="_2h9xqtvntvbv" w:id="7"/>
      <w:bookmarkEnd w:id="7"/>
      <w:r w:rsidDel="00000000" w:rsidR="00000000" w:rsidRPr="00000000">
        <w:rPr>
          <w:rFonts w:ascii="Times New Roman" w:cs="Times New Roman" w:eastAsia="Times New Roman" w:hAnsi="Times New Roman"/>
          <w:b w:val="1"/>
          <w:rtl w:val="0"/>
        </w:rPr>
        <w:t xml:space="preserve">Friedrich von Martens: Ein großer Internationaler Jurist aus Pärnu</w:t>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Von Dieter Fleck*</w:t>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iur. (Köln) Dieter Fleck ist Direktor, Internationale Vereinbarungen und Politik, Bundesministerium der Verteidigung, Deutschland; Senior Vice-President, Internationale Gesellschaft für Militärrecht und Kriegsvölkerrecht; Mitglied des Rates, Internationales Institut für humanitäres Recht. Er drückt seine Dankbarkeit gegenüber Bakhtiyar R. Tuzmukhamedov, Berater am Verfassungsgericht der Russischen Föderation und Professor für Völkerrecht an der Diplomatischen Akademie des Außenministeriums der Russischen Föderation, für kritische Anmerkungen zu früheren Entwürfen dieses Beitrags aus.</w:t>
      </w:r>
    </w:p>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Nächstes Jahr, im Jahr 2005, ein Jahrhundert nach dem offiziellen Ruhestand von Friedrich von Martens nach einer herausragenden diplomatischen und akademischen Karriere in St. Petersburg und 160 Jahre nach seiner Geburt in Pärnu im Jahr 1845, wird die internationale Gemeinschaft erneut gute Gründe haben, diesen großen Völkerrechtler zu ehren, dessen Weisheit, schöpferischer Geist und Loyalität die Mächtigen in seiner Zeit inspiriert und die Schwachen ermutigt haben.</w:t>
      </w:r>
    </w:p>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Sein bleibender Beitrag zur Entwicklung des Völkerrechts kann nicht überschätzt werden. Aber viele seiner wichtigen Aktivitäten sind in Vergessenheit geraten. Daher war ich während eines meiner jüngsten Besuche in Tallinn erstaunt, von Lauri Almanns ausgezeichneter Idee zu erfahren, Jaan Kross' Roman "Professor Martens' Abreise"¹ zur Pflichtlektüre für seinen Internationalen Rechtskurs zu machen. Dieses großartige literarische Werk gibt, obwohl es nicht als exakte historische Quelle gedacht ist, einen ausgezeichneten Einblick in das Leben und Werk von Martens und kann den Rechtsstudenten nicht nur in Estland sehr empfohlen werden.</w:t>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Friedrich Fromhold Martens wurde am 27. August (15. August nach altem Stil) 1845 als Sohn eines Schneiders geboren. Nachdem er seine </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20</w:t>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Eltern im Alter von neun Jahren verloren hatte, wurde er in ein evangelisches Waisenhaus in St. Petersburg geschickt, wo er das volle Curriculum an einer deutschen Schule absolvierte. Im Jahr 1863 trat er in die juristische Fakultät der Universität St. Petersburg ein, erregte bald die Aufmerksamkeit seiner Professoren und begann eine brillante akademische Karriere. Nach vier Jahren im russischen Außenministerium lehrte Martens von 1872 bis 1905 öffentliches Recht an der Universität St. Petersburg. Die Themen seiner Veröffentlichungen umfassen das Recht des Privatbesitzes im Krieg (1869), die Ziele des zeitgenössischen Völkerrechts (1871), das Konsularrechts in Orient (1874), die russische Politik gegenüber dem Osmanischen Reich (1877), die Expansion von Russland und Großbritannien in Zentralasien (1879) sowie die Berliner Konferenz von 1884-85, in der die europäischen Interessensphären in Afrika, dem Nahen Osten, China und im Pazifik neu geordnet wurden. Martens' Standard-Lehrbuch des zeitgenössischen Völkerrechts zivilisierter Nationen wurde erstmals 1882 veröffentlicht und in viele Sprachen übersetzt.</w:t>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Von 1874 bis 1909 leitete er die ehrgeizige Recueil des traités et conventions conclus par la Russie, ein Werk in 15 Bänden mit vier Bänden über russische Verträge mit Österreich (1648-1877), vier mit Deutschland (1659-1888), vier mit Großbritannien (1710-1895) und den verbleibenden drei mit Frankreich (1717-1906), die jeweils in russischer und französischer Sprache in parallelen Spalten gedruckt wurden. Diese enthalten nicht nur die Texte von Verträgen zwischen Russland und anderen Staaten, sondern bieten auch Einblicke in den historischen Hintergrund und die diplomatischen Bedingungen ihrer Abschluss. </w:t>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Martens spielte eine wichtige Rolle bei praktischen Verhandlungen auf vielen diplomatischen Konferenzen. Beeindruckend war seine Rolle als renommierter Schiedsrichter bei Streitigkeiten wie zwischen Großbritannien und Frankreich über Neufundland (1891), Großbritannien und Holland über die Inhaftierung eines britischen Staatsbürgers durch niederländische Behörden (1892) und Großbritannien und Venezuela über das Orinoco-Flusseinzugsgebiet (1899). Für letzteren Fall entwickelte er einen Schiedsgerichts-Code, der später als Modell für den Code diente, der auf der Ersten Haager Friedenskonferenz ausgearbeitet wurde. In dem neu geschaffenen Ständigen Schiedshof war Martens an der Beilegung des mexikanisch-US-amerikanischen Konflikts (1902) beteiligt. Er war auch an den Verhandlungen zum Friedensvertrag von Portsmouth (1905), zwischen Russland und Japan beteiligt.</w:t>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Martens fungierte seit 1884 als russischer Delegierter bei nahezu allen Internationalen Rotkreuz-Konferenzen. Bei der Ersten Haager Friedenskonferenz im Jahr 1899 wurde er zum Präsidenten der Zweiten Kommission gewählt, die sich mit der Brüsseler Erklärung von 1874 (über die Gesetze und Gebräuche des Krieges zu Lande) und dem Roten Kreuz in Zeiten von Seekrieg befasste. Bei der Zweiten Friedenskonferenz im Jahr 1907 war er Präsident der Vierten Kommission, die sich mit dem Seerecht befasste, was angesichts der britisch-deutschen Rivalität in diesem Bereich besonders sensibel war.</w:t>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gibt erstaunliche Ähnlichkeiten im Leben und Werk eines anderen selbstgemachten Mannes, der ein Jahrhundert zuvor gelebt hatte. Sie sind es wert, hier erwähnt zu werden, obwohl keine familiäre Beziehung besteht: Georg Friedrich von Martens (1756-1821) aus Hamburg wurde 1783 Professor </w:t>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21</w:t>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Rechtswissenschaften in Göttingen. Er wurde 1789 nobilitiert, diente als Staatsrat beim Kurfürsten von Hannover seit 1808, wurde 1810 zum Präsidenten der Finanzabteilung des Staatsrats des Königreichs Westphalen ernannt und seit 1814 Geheimer Kabinettsrat vom König von Hannover. Dieser Martens war der Herausgeber einer weiteren berühmten Sammlung von Verträgen (Recueils des Traités), die später von seinem Neffen Karl von Martens und zahlreichen späteren Gelehrten fortgesetzt wurde und internationale Verträge von 1761 bis 1944 abdeckte.</w:t>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Während ich immer dachte, dass die Bemühungen, Friedrich von Martens Tribut zu zollen, ein nobler Wettbewerb seien, an dem Esten, Russen, Deutsche und das Rote Kreuz eine privilegierte Rolle spielte, wissen wir aus Jaan Kross' berühmtem Roman, dass deutsche kulturelle Wurzel</w:t>
      </w:r>
      <w:r w:rsidDel="00000000" w:rsidR="00000000" w:rsidRPr="00000000">
        <w:rPr>
          <w:rFonts w:ascii="Times New Roman" w:cs="Times New Roman" w:eastAsia="Times New Roman" w:hAnsi="Times New Roman"/>
          <w:rtl w:val="0"/>
        </w:rPr>
        <w:t xml:space="preserve">n in Martens' Leben und Werk nicht vorherrschend waren. Er wurde in St. Petersburg aufgezogen, vom Zaren</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highlight w:val="green"/>
          <w:rtl w:val="0"/>
        </w:rPr>
        <w:t xml:space="preserve"> </w:t>
      </w:r>
      <w:r w:rsidDel="00000000" w:rsidR="00000000" w:rsidRPr="00000000">
        <w:rPr>
          <w:rFonts w:ascii="Times New Roman" w:cs="Times New Roman" w:eastAsia="Times New Roman" w:hAnsi="Times New Roman"/>
          <w:rtl w:val="0"/>
        </w:rPr>
        <w:t xml:space="preserve">geadelt und war nie in den Matrikeln der Livländischen Ritterschaft oder einer der anderen drei Ritterschaften (das heißt von Estland, Kurland und der Insel Ösel/Saaremaa), die alle deutsch waren, </w:t>
      </w:r>
      <w:r w:rsidDel="00000000" w:rsidR="00000000" w:rsidRPr="00000000">
        <w:rPr>
          <w:rFonts w:ascii="Times New Roman" w:cs="Times New Roman" w:eastAsia="Times New Roman" w:hAnsi="Times New Roman"/>
          <w:rtl w:val="0"/>
        </w:rPr>
        <w:t xml:space="preserve">registriert. Man kann sich vorstellen, dass seine Beiträge bei den Haager Friedenskonferenzen nicht immer von der deutschen Delegation energisch unterstützt wurden, obwohl er seit der Brüsseler Konferenz im Jahr 1874 in ausgezeichneten Beziehungen zu General von Voigt-Reetz und anderen deutschen Delegierten stand. </w:t>
      </w:r>
    </w:p>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Martens war ein wahrer Internationalist seiner Zeit. Sein akademischer und diplomatischer Status wurde weithin anerkannt. In seiner Funktion als renommierter internationaler Jurist wurde er bald zum aktiven Mitglied des Institut de Droit International, wo er Projekte über konsularische Zuständigkeit im Orient (München 1883) und eine Konvention über die Veröffentlichung internationaler Verträge (Genf 1892) verfasste. Er erhielt Ehrendoktortitel von Universitäten wie Oxford, Cambridge und Yale und wurde Mitglied des renommierten Institut de France. Für seine Dienste als Schiedsrichter wurde ihm der ehrenvollste Titel "Lord Chief Justice of Christendom" verliehen. Im Jahr 1902 kam er sehr nahe daran, den Friedensnobelpreis zu erhalten. Er starb am 20. Juni (7. Juni alter Stil) 1909 in St. Petersburg.</w:t>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 heute ist sein Einfluss auf die Anwendung und Weiterentwicklung des Kriegsvölkerrechts mit der Martens-Klausel verbunden, die tatsächlich einen Teil des absoluten Kerns des Wissens bildet, das alle an humanitärem Völkerrecht interessierten Rechtsexperten besitzen müssen.³ Diese Klausel wurde in einem Schlichtungsverfahren in der Zweiten Kommission auf der Haager Konferenz von 1899 entwickelt, als eine Gruppe kleinerer Mächte unter der Führung Belgiens sich nicht mit der Mehrheit über die Rechte und Pflichten von Besatzungsarmeen einigen konnte, sondern ein unbegrenztes Widerstandsrecht für die Bevölkerung besetzter Gebiete forderte.</w:t>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Martens schlug vor, folgendes in die Präambel der Haager Landkriegsordnung aufzunehmen: "Bis ein vollständigerer Kodex der Kriegsgesetze erlassen wird, halten die Hohen Vertragsparteien es für richtig zu erklären, dass in Fällen, die nicht von den von ihnen verabschiedeten Regeln erfasst sind, Bevölkerungen und </w:t>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22</w:t>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Kriegführende unter dem Schutz und der Herrschaft der Grundsätze des Völkerrechts bleiben, wie sie sich aus den Gepflogenheiten zwischen zivilisierten Nationen, aus den Gesetzen der Menschlichkeit und aus den Geboten des öffentlichen Gewissens ergeben." </w:t>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Dieser Vorschlag wurde mit Applaus begrüßt, und die Konvention, zu der die Haager Regeln für die Gesetze und Gebräuche des Krieges auf dem Lande gehörten, wurde einstimmig angenommen.⁴</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Tatsächlich wurden in der Auseinandersetzung, die Professor Martens mit solcher Eleganz löste, keine Zugeständnisse hinsichtlich der vollen Anwendung rechtlicher Regeln gemacht: Die Rechte und Pflichten von Besatzungsarmeen wurden vollständig in Abschnitt III der Haager Landkriegsordnung (Militärbehörde über das Gebiet des feindlichen Staates) eingearbeitet,⁵ und es wurden keine Kombattantenrechte für Widerstandskämpfer anerkannt, sobald eine militärische Besetzung festgestellt wurde. In seinen eigenen schriftlichen Berichten über die Erste Haager Friedenskonferenz erwähnte Martens diesen wichtigen persönlichen Beitrag zum Ergebnis und endgültigen Erfolg der multilateralen Verhandlungen nicht. In der ersten Veröffentlichung für amerikanische Leser⁶ betonte er vielmehr die Errungenschaften der Konferenz für die internationale Schiedsgerichtsbarkeit, ohne dabei die bahnbrechende Entwicklung des</w:t>
      </w:r>
      <w:r w:rsidDel="00000000" w:rsidR="00000000" w:rsidRPr="00000000">
        <w:rPr>
          <w:rFonts w:ascii="Times New Roman" w:cs="Times New Roman" w:eastAsia="Times New Roman" w:hAnsi="Times New Roman"/>
          <w:i w:val="1"/>
          <w:rtl w:val="0"/>
        </w:rPr>
        <w:t xml:space="preserve"> ius in bello</w:t>
      </w:r>
      <w:r w:rsidDel="00000000" w:rsidR="00000000" w:rsidRPr="00000000">
        <w:rPr>
          <w:rFonts w:ascii="Times New Roman" w:cs="Times New Roman" w:eastAsia="Times New Roman" w:hAnsi="Times New Roman"/>
          <w:rtl w:val="0"/>
        </w:rPr>
        <w:t xml:space="preserve"> zu vernachlässigen, die in Den Haag erreicht worden war. Er stellte ausdrücklich fest, dass die Zweite Kommission der Konferenz (die er geleitet hatte) ihre Aufgabe vollständig erfüllt hatte. Aber die Hauptteile seines Berichts konzentrierten sich auf die Möglichkeiten einer friedlichen Beilegung von Streitigkeiten durch Schiedsverfahren, die er als realistische Option ansah, die es wert war, mit größtem Einsatz verfolgt zu werden. Martens betonte die Bedeutung der Konferenz von 1899 im Vergleich zu ähnlichen Ereignissen im 19. Jahrhundert. Seiner Meinung nach hatte der Wiener Kongress im Jahr 1815 keine führende Bestimmung bezüglich der politischen Interessen und der territorialen Rechte der Nationen hinterlassen, die noch in Kraft war, abgesehen von einigen Bestimmungen, die die Navigation internationaler Ströme betreffen und der Erklärung, dass der Sklavenhandel für immer abgeschafft ist. Der Pariser Kongress von 1856, mit dem der Krimkrieg beendet wurde, hatte nichts hinterlassen, was zur friedlichen und progressiven Entwicklung der internationalen Beziehungen beitragen würde, abgesehen von der Neuordnung des Status quo in der Türkei und der berühmten Erklärung zum Seerecht. Der Kongress in Berlin 1878 hatte nur die politischen Interessen der teilnehmenden Nationen im Auge, und politische Interessen ändern und entwickeln sich unter dem Einfluss von Umständen, Zeit und den Vorurteilen der Nationen. Die Konferenz von 1899 in Den Haag hingegen werde immer das Fundament, der Eckpfeiler, jedes nützlichen Versuchs bleiben, eine normale und friedliche Beziehung zwischen den Nationen herzustellen und eine Ordnung zu schaffen, die den dauerhaften und legitimen Interessen der Nationen entspricht, unabhängig von den vorübergehenden Aspirationen der Staatsmänner⁷. Ein Jahr später veröffentlichte Martens ein Buch über die Geschichte der Ersten Haager Friedenskonferenz⁸, in dem solche Ideen weiterverfolgt wurden, aber wieder wurde keine Bezugnahme auf die Martens-Klausel gemacht. Ein weiteres Jahr später wurde sein umfangreiches Buch über die Brüsseler Konferenz von 1874 und die Erste Haager Friedenskonferenz veröffentlicht⁹. Hier gab Martens eine detaillierte </w:t>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23</w:t>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Darstellung seiner Rolle als Präsident der Zweiten Kommission und reproduzierte ausführlich Äußerungen, die er sowohl am Anfang als auch am Ende der Konferenz gemacht hatte, in denen er sich eloquent gegen jede Versuchung aussprach, die Interessen der Macht über die Menschlichkeit triumphieren zu lassen. Er argumentierte für klare und eindeutige Interpretationen und stellte sogar die Frage, wer mehr von Zweifeln und Ungewissheit profitieren würde: die Schwachen oder die Mächtigen? Er ging jedoch nicht ausführlich auf die Präambelbestimmung der Haager Konvention über die Gesetze und Gebräuche des Krieges zu Lande ein, die er selbst als Episode betrachtet haben könnte. Aber er betonte stark eine der treibenden Ideen hinter allen Aktivitäten zur Entwicklung des Kriegsrechts: "Wenn die Begrenzung der Rüstung nicht beschlossen wird, sollte man dann nicht zumindest den Gebrauch und die verheerenden Auswirkungen bestimmter Waffen im Krieg zwischen zivilisierten Nationen abschwächen?"¹⁰.</w:t>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Martens-Klausel wurde jedoch auf der Zweiten Friedenskonferenz von 1907 bestätigt¹¹, und sobald die internationale Zusammenarbeit zur Weiterentwicklung des Haager Rechts nach zwei Weltkriegen und vielen anderen Konflikten im 20. Jahrhundert wieder aufgenommen werden konnte, hat die rechtliche Gemeinschaft erneut neuen Nachdruck auf Martens' Ansatz gelegt, Kompromisslösungen zu sichern, ohne den weiteren Rückgriff auf Prinzipien des Völkerrechts auszuschließen, die sich aus etablierten Gewohnheiten, Grundsätzen der Menschlichkeit und den Diktaten des öffentlichen Gewissens ergeben. In Nürnberg wurde die Martens-Klausel als Reaktion auf Behauptungen geltend gemacht, dass die Anwendung der Nürnberger Charta durch die Tribunale rückwirkende Strafgesetzgebung darstelle und dass die Deportation von Bewohnern besetzter Gebiete nach Gewohnheitsrecht verboten sei und ein Verbrechen darstelle¹².</w:t>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Krupp-Prozess (1948) erklärte das US-Militärtribunal, dass die Martens-Klausel viel mehr sei als eine fromme Erklärung, sondern vielmehr ein Element des rechtlichen Maßstabs, der angewendet werden solle, wenn die spezifischen Bestimmungen der [Haager] Konvention und der daran angefügten Regeln spezifische Fälle von Kriegshandlungen oder damit verbundenen Fällen nicht abdecken¹³. Elemente der Martens-Klausel wurden bereits in den Artikeln 63/62/142/158 der vier Genfer Abkommen von 1949 anerkannt, die besagen, dass eine Kündigung in keiner Weise die Verpflichtungen beeinträchtigt, an die die Konfliktparteien aufgrund der Grundsätze des Völkerrechts gebunden bleiben, die sich aus den bei zivilisierten Völkern etablierten Gebräuchen, den Gesetzen der Menschlichkeit und den Diktaten des öffentlichen Gewissens ergeben. </w:t>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Hintergrund dieser rechtlichen Entwicklung war es auch, die Martens-Klausel in den Zusatzprotokollen zu den Genfer Abkommen zu bekräftigen, die schließlich die Aufgabe erfüllten, das Haager Recht und das Genfer Recht eng miteinander zu verknüpfen. Ich erinnere mich noch an meine Teilnahme als junger Delegierter an der Rotkreuz-Konferenz 1973 in Teheran: Als ich das Wort erhielt, schlug ich vor, die berühmte Martens-Klausel im kommenden Text der Zusatzprotokolle zu den Genfer Abkommen wiederzubeleben.</w:t>
      </w:r>
    </w:p>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Meine Erwähnung des herausragenden "russischen" Delegierten bei den Haager Friedenskonferenzen </w:t>
      </w:r>
    </w:p>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24</w:t>
      </w:r>
    </w:p>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von 1899 und 1907 wurde 1973 von der sowjetischen Delegation überrascht aufgenommen, aber der Vorschlag wurde großzügig unterstützt und später in Art. 1 (2) von AP I¹⁴ und der Präambel (Absatz 4) von AP II¹⁵ aufgenommen. Es wurde festgestellt, dass die Sprache von AP I "der Martens-Klausel ihre innere Kohärenz und rechtliche Logik beraubt haben könnte: Indem sie 'Usancen' durch 'etabliertes Brauchtum' ersetzt, vermischt das Protokoll das entstehende Produkt (Prinzipien des Völkerrechts) mit einem seiner Bestandteile (etabliertes Brauchtum) und wirft Fragen nach der Funktion, Rolle und Notwendigkeit der uncodierten Prinzipien der Menschlichkeit und des Diktats des öffentlichen Gewissens auf. Der ursprüngliche Wortlaut hatte eine Kohärenz, die das Protokoll vermissen lässt. Es ist keineswegs klar, dass dieses Ergebnis von den Verhandlungsführern beabsichtigt oder erzielt wurde."¹⁶ Tatsächlich war in diesen Verhandlungen keine solche Einschränkung beabsichtigt, und eine strikte sprachliche Herangehensweise sollte die angestrebten und schließlich auf der Diplomatischen Konferenz erreichten politischen Auswirkungen nicht verdecken.</w:t>
      </w:r>
    </w:p>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Entwicklungen der letzten drei Jahrzehnte zeigen, dass Martens' berühmte Klausel die Annahme weiterer internationaler Instrumente entscheidend unterstützt hat, wie z.B. die Konvention von 1980 über bestimmte konventionelle Waffen¹⁷ (die die Klausel in der Präambel Absatz 5 aufgenommen hat), das Verbot von Antipersonen-Laserwaffen¹⁸ im Jahr 1995, das Verbot von Antipersonen-Landminen¹⁹ im Jahr 1997 und das Römische Statut des Internationalen Strafgerichtshofs²⁰ von 1998. Ohne die Martens-Klausel hätten viele Fragen zu langwierigen Kontroversen geführt, die die Verhandlungen hätten zum Stillstand bringen können. Die Klausel weist darauf hin, dass das herkömmliche Recht unvollkommen ist und weitere Verbesserungen im Lichte allgemeiner Prinzipien und Gewohnheiten erreicht werden müssen. Dadurch hat sich die französische Weisheit bewahrheitet, dass "il n'y a plus permanent que le provisoire"²¹. Aber der Inhalt der Klausel, so wichtig er auch ist, darf nicht überinterpretiert werden.</w:t>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die Auslegung der Martens-Klausel wurden in der juristischen Literatur drei verschiedene Aspekte genannt²²: Die Klausel dient zunächst als Erinnerung daran, dass das Völkergewohnheitsrecht auch nach Annahme einer Vertragsnorm weiterhin gilt²³. In einem weiteren Sinne besagt die Klausel, dass etwas, was nicht explizit durch einen Vertrag verboten ist, nicht automatisch erlaubt ist²⁴. Die Klausel ist auch dynamisch formuliert, um die Auffassung zu unterstützen, dass das Verhalten in bewaffneten Konflikten nicht nur nach Verträgen, sondern auch nach den Grundsätzen des "Naturrechts" beurteilt wird, wie es sich aus dem Völkergewohnheitsrecht, den Grundsätzen der Menschlichkeit oder den Diktaten des öffentlichen Gewissens ergibt, die somit aus einer dieser Quellen oder ihrer kombinierten Bedeutung abgeleitet werden können²⁵. Diese verschiedenen Interpretationen als ausschließlich voneinander zu betrachten, wäre weniger überzeugend. Alle drei Aspekte können sich gut ergänzen. Wie jedoch Christopher Greenwood erklärte²⁶, ist das öffentliche Gewissen ein zu vager Begriff, um als alleinige Grundlage für ein Verbot bestimmter Mittel oder Methoden des Kampfes zu dienen.</w:t>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der Tat wurden viele Argumente, die vom Gerichtshof in seinem Gutachten zur Rechtmäßigkeit der Androhung oder Verwendung von Kernwaffen²⁷ verwendet wurden, </w:t>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25</w:t>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intensiv in der Literatur diskutiert²⁸. In seinem Gutachten verwies der Gerichtshof auf die Martens-Klausel als "effektives Mittel zur Bewältigung der raschen Entwicklung militärischer Technologie", zog jedoch keine spezifischen Schlussfolgerungen aus dieser Bewertung²⁹. Angesichts kontroverser Stellungnahmen von Staaten, insbesondere von Australien, Japan, Nauru, der Russischen Föderation und dem Vereinigten Königreich, wurde das Argument nicht weiter vertieft. Richter Koroma, Shahabuddeen und Weeramantry boten jedoch in ihren abweichenden Meinungen interessante Einblicke in die Bedeutung der Klausel und ihrer Bedeutung. </w:t>
      </w:r>
    </w:p>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bevorstehende ICRC-Studie zum völkergewohnheitsrechtlichen humanitären Völkerrecht wird von Martens' zugrunde liegenden Ideen ebenso beeinflusst wie mein eigenes Projekt im Internationalen Institut für humanitäres Völkerrecht, San Remo³⁰, das darauf abzielt, ein Handbuch zum Schutz von Opfern nicht-internationaler bewaffneter Konflikte³¹ zu entwickeln.</w:t>
      </w:r>
    </w:p>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beeindruckende Persönlichkeit von Friedrich von Martens, sein starkes Engagement in vielen internationalen Aktivitäten, die weit über die russische Außenpolitik seiner Zeit hinausgingen, und sein lang anhaltender Beitrag zu internationalen Regeln zur friedlichen Beilegung von Streitigkeiten und zum humanitären Schutz der Schwachen sind es wert, als großer Dienst an der Menschheit in Erinnerung zu bleiben.</w:t>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 Jaan Kross, Professor Martens' Departure, Tallinn 1984 [Le départ du professeur Martens, Paris 1990; Professor Martens' Departure, Tallinn 1994; Уход Профессора Мартенса, Moscow 1996; Professor Martens' Abreise, Hamburg 2002].</w:t>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 Das Datum und die Umstände dieser Adelung sind schwer nachvollziehbar. Während es unbestritten ist, dass er sich selbst seit den frühen 1870er Jahren in Publikationen als 'von' oder 'de' Martens bezeichnete und auch so genannt wurde, könnte dieser Titel ihm entweder mit einem der angeseheneren russischen Orden, dem Titel eines Geheimrats oder einfach mit seiner Ernennung zum ordentlichen Professor verliehen worden sein. Sein sozialer Aufstieg war umso bemerkenswerter, da er ausschließlich auf seinen beruflichen Verdiensten beruhte.</w:t>
      </w:r>
    </w:p>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³ International Review of the Red Cross Nr. 317, 1997, Note from the Editor, Dr. Hans-Peter Gasser, S. 124.</w:t>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⁴ Vladimir Pustogarov, Fyodor Fyodorovich Martens (1845-1909) a humanist of modern times, in: International Review of the Red Cross, Nr. 312, 1996, S. 300-14 [310-11]. Professor Vladimir V. Poustogarov wurde im Jahr 1996 mit dem Martens-Preis der Russischen Akademie der Wissenschaften ausgezeichnet. Er veröffentlichte auch eine Biographie über F. Martens (Пустогаров, В.В., С пальмовой ветвъю мира: Ф. Ф. Мартенс - юрист, дипломат, публицист, Moscow, 1993), in der auf die estnische Biographie von E. Rahumaa und P. Järvelaid verwiesen wird, #; Фридриг Фромголд (Фёдор Фёдорович) Мартенс и юристы Татурского университета, Tartu ülikooli teaduslikud sidemed, XVI, Tartu 1985.</w:t>
      </w:r>
    </w:p>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⁵ Dieser Abschnitt der Haager Landkriegsordnung wurde durch die IV. Genfer Konvention von 1949 ersetzt.</w:t>
      </w:r>
    </w:p>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⁶ F. de Martens, Internationale Schiedsgerichtsbarkeit und die Friedenskonferenz in Den Haag, in: The North American Review, Vol. CLXIX, N°. 516 (1899), 605-24 [http://cdl.library.cornell.edu/ Cornell University Making of America]. </w:t>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⁷ Ibid., S. 622-3. </w:t>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⁸ F. de Martens, Die Friedenskonferenz in Den Haag. Eine Studie zur Zeitgeschichte, aus dem Russischen übersetzt von Graf von Sancé (Paris 1900). </w:t>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⁹ F. de Martens, Frieden und Krieg. Die Brüsseler Konferenz von 1874, Rechte und Pflichten der Kriegführenden (ihre Anwendung während des Orientkrieges 1874-1878), die Konferenz von Den Haag 1899. Aus dem Russischen übersetzt von Graf N. de Sancé (Paris 1901). </w:t>
      </w:r>
    </w:p>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¹⁰ Ibid., S. VI.</w:t>
      </w:r>
    </w:p>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¹¹ Die leicht überarbeitete Version von 1907 lautet: Bis zur Verabschiedung eines vollständigeren Kodex des Kriegsrechts halten es die Hohen Vertragsparteien für zweckmäßig zu erklären, dass die Bewohner und die Kriegführenden in Fällen, die nicht in den von ihnen verabschiedeten Vorschriften enthalten sind, unter dem Schutz und der Herrschaft der Grundsätze des Völkerrechts bleiben, wie sie sich aus den Bräuchen ergeben, die unter zivilisierten Völkern etabliert sind, aus den Gesetzen der Menschlichkeit und aus den Diktaten des öffentlichen Gewissens." </w:t>
      </w:r>
    </w:p>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26</w:t>
      </w:r>
    </w:p>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Wiederum findet sich bei Martens keine besondere Referenz zur Bestätigung und Bedeutung dieser Klausel im Jahr 1907. Bei der letzten Sitzung der vierten Kommission am 26. September 1907 wurde jedoch berichtet, dass er ihre Errungenschaften wie folgt zusammenfasste: "Wenn seit der Antike bis zu unserer Zeit die Menschen das römische Sprichwort `Inter arma silent leges` wiederholt haben, haben wir lautstark `Inter arma vivant leges` proklamiert. Dies ist der größte Triumph des Rechts und der Gerechtigkeit über die rohe Gewalt und die Notwendigkeiten des Krieges." (J.B.Scott, The Conference of 1907, The Proceedings of the Hague Peace Conferences, 1921, Bd. III, S. 914).</w:t>
      </w:r>
    </w:p>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¹² Altstötter, 6 Law Reports of Trials of War Criminals, 40 [58-59].</w:t>
      </w:r>
    </w:p>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¹³ Krupp, 10 Law Reports of Trials of War Criminals, 69 [133]. Irrtümlicherweise wurde in diesem Urteil die Martens-Klausel als `belgischer Delegierter Martens' bezeichnet, aber es gab keinen belgischen Delegierten dieses Namens auf der Haager Friedenskonferenz.</w:t>
      </w:r>
    </w:p>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¹⁴ Art. 1 (2) 1977 Genfer Protokoll I Zusatzprotokoll zu den Genfer Abkommen vom 12. August 1949 und betreffend den Schutz der Opfer internationaler bewaffneter Konflikte [www.cicr.org/ihl]: In Fällen, die weder durch dieses Protokoll noch durch andere internationale Abkommen erfasst sind, bleiben Zivilpersonen und Kombattanten dem Schutz und der Autorität der Grundsätze des Völkerrechts unterworfen, die aus etablierten Gewohnheitsrecht, aus den Grundsätzen der Menschlichkeit und den Forderungen des öffentlichen Gewissens abgeleitet sind. </w:t>
      </w:r>
    </w:p>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¹⁵ Präambel (Absatz 4) 1977 Genfer Protokoll II Zusatzprotokoll zu den Genfer Abkommen vom 12. August 1949 und betreffend den Schutz der Opfer nichtinternationaler bewaffneter Konflikte [www.cicr.org/ihl]: "in der Erwägung, dass die menschliche Person in Fällen, die nicht durch das geltende Recht erfasst sind, unter dem Schutz der Grundsätze der Menschlichkeit und den Forderungen des öffentlichen Gewissens bleibt".</w:t>
      </w:r>
    </w:p>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¹⁶ Theodor Meron, Die Martens-Klausel, die Grundsätze der Menschlichkeit und das Gebot des öffentlichen Gewissens, in: 94 AJIL (2000), 78-89. </w:t>
      </w:r>
    </w:p>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¹⁷ UN-Übereinkommen von 1980 über das Verbot oder die Beschränkung des Einsatzes bestimmter konventioneller Waffen, die übermäßige Leiden verursachen oder unterschiedslos wirken können [www.icrc.org/ihl]. </w:t>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¹⁸ Protokoll IV von 1995 über blendende Laserwaffen zum UN-Übereinkommen von 1980 über das Verbot oder die Beschränkung des Einsatzes bestimmter konventioneller Waffen, die übermäßige Leiden verursachen oder unterschiedslos wirken können [www.icrc.org/ihl]. </w:t>
      </w:r>
    </w:p>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¹⁹ Ottawavertrag von 1997 über das Verbot des Einsatzes, der Lagerung, der Herstellung und der Weitergabe von Antipersonenminen und über deren Vernichtung [www.icrc.org/ihl]. </w:t>
      </w:r>
    </w:p>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²⁰ Römisches Statut des Internationalen Strafgerichtshofs von 1998 [www.un.org/law/icc/statute, www.iccnow.org]. </w:t>
      </w:r>
    </w:p>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²¹ George H. Aldrich und Christine M. Chinkin, Ein Jahrhundert voller Errungenschaften und unvollendeter Arbeit, in: 94 AJIL (2000), 90-98 [97]. </w:t>
      </w:r>
    </w:p>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²² Rupert Ticehurst, Die Martens-Klausel und das Kriegsvölkerrecht, in: International Review of the Red Cross, Nr. 317, 1997, S. 125-134. </w:t>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²³ Christopher Greenwood, Historische Entwicklung und rechtliche Grundlagen, in: Dieter Fleck (Hrsg.), Handbuch des humanitären Völkerrechts im bewaffneten Konflikt, Nachdruck Oxford 1999, S. 128-9.</w:t>
      </w:r>
    </w:p>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²⁴ Bruno Zimmermann in: Yves Sandoz, Christophe Swinarski, Bruno Zimmermann (Hrsg.), Kommentar zu den Zusatzprotokollen vom 8. Juni 1977 zu den Genfer Abkommen vom 12. August 1949, Genf 1987, S. 39. </w:t>
      </w:r>
    </w:p>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²⁵ Helmut Strebel, Martens-Klausel, in: Bernhardt (Hrsg.), Encyclopedia of Public International Law, Bd. 3 (1997), S. 326-327; Theodor Meron, a.a.O. (siehe oben, Anmerkung 16). </w:t>
      </w:r>
    </w:p>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²⁶ Wie oben (Anmerkung 23). </w:t>
      </w:r>
    </w:p>
    <w:p w:rsidR="00000000" w:rsidDel="00000000" w:rsidP="00000000" w:rsidRDefault="00000000" w:rsidRPr="00000000" w14:paraId="000001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²⁷ IGH, Rechtmäßigkeit des Einsatzes oder der Androhung von Atomwaffen, Gutachten vom 8. Juli 1996, IGH-Entscheidungen 1996, 226: 35 ILM 809 (1996), [www.icjcij.org/icjwww/idecisions.htm]. </w:t>
      </w:r>
    </w:p>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²⁸ Fr. Münch, Die Martens'sche Klausel und die Grundlagen des Völkerrechts, in: Zeitschrift für ausländisches öffentliches Recht und Völkerrecht, Bd. 36 (1976), S. 347-73; Shigeki Miyazaki, The Martens Clause and international humanitarian law, in: Christophe Swinarski, Studies and essays on international humanitarian law and Red Cross principles in honour of Jean Pictet, Genf-Den Haag 1984, S. 433-44; Nagendra Singh und E. McWhinney, Nuclear Weapons and Contemporary International Law, 2. Aufl. Dordrecht 1989, S. 46-47. </w:t>
      </w:r>
    </w:p>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²⁹ Wie oben (Anmerkung 27), Absatz 78. </w:t>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³⁰ Siehe www.iihl.org. </w:t>
      </w:r>
    </w:p>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³¹ Entwurfstext auf Anfrage beim Autor unter DieterFleck@t-online.de erhältlich.</w:t>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27</w:t>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Die Anwendung von Gewalt in der modernen Welt:</w:t>
      </w:r>
    </w:p>
    <w:p w:rsidR="00000000" w:rsidDel="00000000" w:rsidP="00000000" w:rsidRDefault="00000000" w:rsidRPr="00000000" w14:paraId="00000147">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Aktuelle Entwicklungen und rechtliche</w:t>
      </w:r>
    </w:p>
    <w:p w:rsidR="00000000" w:rsidDel="00000000" w:rsidP="00000000" w:rsidRDefault="00000000" w:rsidRPr="00000000" w14:paraId="0000014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Regulierung der Anwendung von Gewalt</w:t>
      </w:r>
    </w:p>
    <w:p w:rsidR="00000000" w:rsidDel="00000000" w:rsidP="00000000" w:rsidRDefault="00000000" w:rsidRPr="00000000" w14:paraId="00000149">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Von René Värk*</w:t>
      </w:r>
    </w:p>
    <w:p w:rsidR="00000000" w:rsidDel="00000000" w:rsidP="00000000" w:rsidRDefault="00000000" w:rsidRPr="00000000" w14:paraId="0000014B">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René Värk ist Direktor für akademische Angelegenheiten und Dozent für internationales Recht am Institut für Rechtswissenschaften der Universität Tartu.</w:t>
      </w:r>
    </w:p>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Anwendung von Gewalt ist zweifellos eines der am meisten diskutierten Themen im Rahmen des Völkerrechts sowie der internationalen Beziehungen. Tatsächlich bilden die Regeln zur Anwendung von Gewalt einen zentralen Bestandteil des internationalen Rechtssystems und haben zusammen mit anderen grundlegenden Prinzipien lange Zeit den Rahmen für organisierten internationalen Austausch und erfolgreiches Zusammenleben von Staaten gebildet. Die Umstände, unter denen die Anwendung von Gewalt gerechtfertigt sein könnte, beschäftigten bereits die frühesten Rechtsautoren wie zum Beispiel Aristoteles und Cicero, und das Thema blieb seit diesen frühen Zeiten im Zentrum politischer und rechtlicher Debatten. Sowohl die inländischen Gesellschaften als auch die internationale Gemeinschaft müssen die Anwendung von Gewalt begrenzen und regulieren, um ein friedliches, harmonisches und für alle Beteiligten vorteilhaftes Zusammenleben von Individuen oder Staaten innerhalb ihrer jeweiligen Gesellschaften oder der internationalen Gemeinschaft zu gewährleisten. Die inländischen Rechtssysteme haben im Allgemeinen die Anwendung von Gewalt zugunsten der staatlichen Institutionen monopolisiert, was bedeutet, dass die Menschen ihr Recht auf Anwendung von Gewalt außerhalb von Notwehr aufgegeben haben, im Austausch gegen die Garantie, dass die genannten Institutionen stattdessen ihre Person und ihr Eigentum schützen werden. Das internationale Rechtssystem hat seit dem Ende des Ersten Weltkriegs versucht, in dieselbe Richtung zu gehen, aber aufgrund seiner charakteristischen Merkmale hat sich die Aufgabe als ziemlich schwierig erwiesen. Dies liegt daran, dass das internationale Rechtssystem über keinen effektiven Durchsetzungsmechanismus verfügt, der die Einhaltung des Völkerrechts gegebenenfalls gewährleisten kann. Im Gegensatz zu einem nationalen Rechtssystem, das verschiedene Rechtsdurchsetzungsbehörden nutzen kann, muss sich das internationale Rechtssystem lediglich auf Mittel wie Zustimmung, Goodwill und Reziprozität verlassen. Darüber hinaus berücksichtigen Staaten</w:t>
      </w:r>
    </w:p>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28</w:t>
      </w:r>
    </w:p>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 der Planung ihres Verhaltens nicht nur das internationale Recht, sondern auch ihre politischen Präferenzen und vitalen Interessen. Diese Überlegungen tendieren oft dazu, die Verpflichtungen des internationalen Rechts zu überwiegen. Daher sind die Streitkräfte von Staaten manchmal in realen militärischen Operationen engagiert, zusätzlich zu zahlreichen militärischen Übungen. Folglich stellt der Einsatz von Gewalt sehr oft einen klaren Verstoß gegen das Völkerrecht dar, da die offiziellen Rechtfertigungen für solche Aktionen in der Regel auf gewaltsamen Interpretationen des relevanten Rechts oder einfach auf politischer Propaganda basieren. Obwohl das Recht selbst tatsächlich ziemlich klar in Bezug auf die Frage der Legalität des Einsatzes von Gewalt ist und eine sehr begrenzte Anzahl von Ausnahmen vom allgemeinen Verbot des Einsatzes von Gewalt vorschreibt, haben Staaten und Rechtsautoren schon lange zusätzliche Ausnahmen befürwortet, um ihre individuellen Interessen zu fördern oder um mit neuen Entwicklungen und Problemen auf internationaler Ebene umzugehen. Der vorliegende Artikel versucht zunächst, die aktuelle rechtliche Regulierung des Einsatzes von Gewalt zu beschreiben, und dann die jüngsten Entwicklungen und ihren Einfluss auf die Legalität des Einsatzes von Gewalt durch Staaten zu analysieren.</w:t>
      </w:r>
    </w:p>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Rechtsregulierung gemäß der Charta der Vereinten Nationen</w:t>
      </w: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Vereinten Nationen wurden in einer Stimmung des öffentlichen Empörung nach den Schrecken des Zweiten Weltkriegs geschaffen. Der Krieg hatte mehr Zerstörung verursacht als jeder frühere bewaffnete Konflikt und drängte die Staatsführer dazu, Maßnahmen zu ergreifen, um in Zukunft den internationalen Frieden und die Sicherheit zu sichern und aufrechtzuerhalten und "künftige Generationen vor der Geißel des Krieges zu bewahren, die zweimal in unserem Leben unbeschreibliches Leid über die Menschheit gebracht hat".¹ Die Schaffung der Vereinten Nationen führte zur wichtigsten und sicherlich ambitioniertesten Modifikation des Völkerrechts im 20. Jahrhundert, nämlich der Ächtung des Einsatzes von Gewalt in den internationalen Beziehungen. Eine solche Regelung ist in Artikel 2 Absatz 4 der Charta der Vereinten Nationen vorgeschrieben, der besagt, dass "alle Mitglieder [der Vereinten Nationen] in ihren internationalen Beziehungen auf die Androhung oder Anwendung von Gewalt gegen die territoriale Unversehrtheit oder politische Unabhängigkeit eines Staates oder auf andere Art und Weise, die mit den Zielen der Vereinten Nationen unvereinbar ist, verzichten werden". Dies wird von einem anderen zugrunde liegenden Grundsatz begleitet, der in Artikel 2 Absatz 3 verankert ist und der verlangt, dass "alle Mitglieder [der Vereinten Nationen] ihre internationalen Streitigkeiten auf friedliche Weise so beilegen werden, dass der internationale Frieden und die Sicherheit sowie die Gerechtigkeit nicht gefährdet werden".² Um die Mängel des internationalen Rechtssystems bei der Durchsetzung des Völkerrechts zu überwinden, entwickelten die Verfasser der Charta der Vereinten Nationen auch ein kollektives Sicherheitssystem, das vom Sicherheitsrat kontrolliert wird, um die Einhaltung der genannten Regeln durch die Mitglieder der Vereinten Nationen sicherzustellen.</w:t>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Bestimmung ist die wichtigste Norm des zeitgenössischen Völkerrechts, die die primären Werte des zwischenstaatlichen Systems - die Verteidigung der Staatsgewalt</w:t>
      </w:r>
    </w:p>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29</w:t>
      </w:r>
    </w:p>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und der staatlichen Autonomie - umfasst und internationalen Frieden und Sicherheit zum höchsten Wert des internationalen Rechtssystems erklärt. </w:t>
      </w:r>
    </w:p>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Jedoch zielt das allgemeine Verbot des Einsatzes von Gewalt durch Staaten für ihre eigenen egoistischen Interessen sowie für wohlwollende Zwecke darauf ab, nicht nur die Souveränität und Autonomie eines einzelnen Staates zu sichern, sondern eine grundlegende Ordnung für alle Mitglieder der internationalen Gemeinschaft zu gewährleisten. Die Charta der Vereinten Nationen erklärt, dass internationaler Frieden und Sicherheit über zwischenstaatlicher Gerechtigkeit, sogar über Menschenrechten oder anderen menschlichen Werten, stehen.³ Obwohl Artikel 2 Absatz 4 ursprünglich nur für die Mitglieder der Vereinten Nationen rechtlich bindend sein sollte, wird die Bestimmung nicht mehr nur als eine weitere vertragliche internationale Rechtsnorm betrachtet, sondern als eine unverzichtbare Norm des Völkerrechts oder Ius Cogens-Norm.⁴ Diese wird definiert als "eine Norm, die von der internationalen Gemeinschaft der Staaten als Ganzes als eine Norm anerkannt und akzeptiert wird, von der keine Abweichung erlaubt ist und die nur durch eine spätere Norm des allgemeinen Völkerrechts mit dem gleichen Charakter geändert werden kann".⁵ Im Allgemeinen repräsentiert der Bestand an Ius-Cogens-Normen vorrangige Prinzipien des Völkerrechts, die so grundlegend sind, dass sie jederzeit und an jedem Ort befolgt werden müssen, wie zum Beispiel das Verbot von Aggression, Sklaverei, Folter, Rassendiskriminierung, Völkermord und Verletzung des Selbstbestimmungsrechts.⁶ Da Ius Cogens im Wesentlichen eine Form des Gewohnheitsrechts darstellt, ist dies für alle Mitglieder der internationalen Gemeinschaft rechtlich bindend, unabhängig davon, ob sie ihre Zustimmung oder Ablehnung einer bestimmten Norm ausgedrückt haben oder nicht.⁷ Wenn man die Eigenschaften von Ius-Cogens-Normen berücksichtigt, sind die daraus abgeleiteten Verpflichtungen keine üblichen vertraglichen Verpflichtungen, sondern Verpflichtungen gegenüber der internationalen Gemeinschaft als Ganzes. Dies bedeutet, dass jeder Staat das Gefühl haben kann, dass seine wesentlichen Interessen aufgrund der Verletzung einer Ius-Cogens-Norm verletzt werden, und daher nicht nur der direkt betroffene Staat, sondern auch jeder andere Staat berechtigt ist, die Verantwortung des verletzenden Staates geltend zu machen.⁸</w:t>
      </w:r>
    </w:p>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Auslegung von Artikel 2, Absatz 4</w:t>
      </w:r>
    </w:p>
    <w:p w:rsidR="00000000" w:rsidDel="00000000" w:rsidP="00000000" w:rsidRDefault="00000000" w:rsidRPr="00000000" w14:paraId="0000016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Zweifellos ist die Formulierung von Artikel 2 Absatz 4 im Vergleich zu früheren Versuchen, den Einsatz von Gewalt zu verbieten, eine erhebliche Verbesserung, aber gleichzeitig ist der Text dieser Bestimmung immer noch nicht ohne Mehrdeutigkeiten.</w:t>
      </w:r>
    </w:p>
    <w:p w:rsidR="00000000" w:rsidDel="00000000" w:rsidP="00000000" w:rsidRDefault="00000000" w:rsidRPr="00000000" w14:paraId="0000016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Folgenden werden wir die Elemente von Artikel 2 Absatz 4 sowie relevante internationale Dokumente und Staatspraxis betrachten und versuchen, den Inhalt und Umfang des Verbots des Einsatzes von Gewalt zu bestimmen. Artikel 2 Absatz 4 ist gut formuliert, da er von "der Androhung oder Anwendung von Gewalt" spricht und nicht von "Krieg".⁹ Der Begriff "Krieg" bezieht sich auf eine enge und technische rechtliche Situation, die mit einer Kriegserklärung beginnt und mit einem Friedensvertrag endet. Der Krieg war im Allgemeinen vor dem Zweiten Weltkrieg verboten, aber Staaten fanden einen Weg, um ein solches Verbot zu umgehen. Zum Beispiel weigerte sich Japan, China den Krieg zu erklären und bezeichnete seine Militäroperationen in Mandschukuo (1932-1941), als Vorfall</w:t>
      </w:r>
    </w:p>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30</w:t>
      </w:r>
    </w:p>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das Verbot des Kriegführens nicht zu verletzen. Vor diesem Hintergrund wurde der Begriff "Einsatz von Gewalt" bevorzugt, da er alle Formen von Feindseligkeiten abdeckt, sowohl technische Kriege als auch Vorfälle, die nicht den offiziellen Zustand eines Krieges erreichen, was von kleinen Grenzkonflikten bis hin zu umfangreichen militärischen Operationen reicht. Das Verbot des "Einsatzes von Gewalt" hängt daher nicht davon ab, wie die beteiligten Staaten ihren militärischen Konflikt definieren möchten.</w:t>
      </w:r>
    </w:p>
    <w:p w:rsidR="00000000" w:rsidDel="00000000" w:rsidP="00000000" w:rsidRDefault="00000000" w:rsidRPr="00000000" w14:paraId="0000016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Artikel 2, Absatz 4 ursprünglich nur für die Mitglieder der Vereinten Nationen rechtlich verbindlich sein sollte, wird die Bestimmung nicht mehr nur als eine weitere vertragliche internationale Rechtsnorm betrachtet, sondern als eine Norm des zwingenden Völkerrechts oder eine ius cogens Norm. Diese wird definiert als "eine von der internationalen Staatengemeinschaft insgesamt akzeptierte und anerkannte Norm, von der keine Abweichung erlaubt ist und die nur durch eine nachfolgende Norm des allgemeinen Völkerrechts mit dem gleichen Charakter geändert werden kann".¹⁰</w:t>
      </w:r>
    </w:p>
    <w:p w:rsidR="00000000" w:rsidDel="00000000" w:rsidP="00000000" w:rsidRDefault="00000000" w:rsidRPr="00000000" w14:paraId="0000016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Zweitens sieht die Bestimmung vor, dass die Mitglieder der Vereinten Nationen darauf verzichten sollten, "gegen die territoriale Integrität oder politische Unabhängigkeit eines Staates oder auf andere Weise, die den Zielen der Vereinten Nationen zuwiderläuft, Gewalt anzuwenden oder zu drohen". Bedeutet dies tatsächlich, dass das Verbot bedingt ist und Gewalt für eine Vielzahl von Zwecken eingesetzt werden kann, da sie nicht "gegen die territoriale Integrität oder politische Unabhängigkeit eines Staates" gerichtet ist? Diese Argumentationslinie wurde genutzt, um zahlreiche humanitäre und demokratiebezogene Interventionen sowie andere "altruistische" Gewaltanwendungen zu rechtfertigen. Diese Klauseln waren jedoch nie dazu gedacht, den Umfang des Gewaltverbots einzuschränken, sondern "um kleinen Staaten spezifischere Garantien zu geben" und können daher "nicht so interpretiert werden, dass sie eine qualifizierende Wirkung haben".¹¹ Der Internationale Gerichtshof (IGH) unterstützte diese Interpretation im Fall des Korfu-Kanals,¹² in dem das Vereinigte Königreich argumentierte, dass es das Recht habe, ein Minenfeld im albanischen Hoheitsgewässer zu beseitigen, das Teil des Staatsgebiets ist, um das Recht auf unschuldige Durchfahrt zu garantieren und Minen als Beweismittel vor einem internationalen Gericht vorzulegen. Der IGH betrachtete eine solche Intervention als "eine Manifestation einer Politik der Gewalt, die in der Vergangenheit zu schwerwiegenden Missbräuchen geführt hat" und erklärte, dass sie "keinen Platz im Völkerrecht finden kann", da "die Achtung der territorialen Souveränität ein wesentliches Fundament der internationalen Beziehungen" darstellt. Somit stellt eine Eindringung in das Territorium eines anderen Staates eine Verletzung von Artikel 2 Absatz 4 dar, selbst wenn die Eindringung nicht beabsichtigt ist, einem Staat einen Teil oder das Ganze seines Territoriums zu entziehen, und das Wort "Integrität" tatsächlich als "Unverletzlichkeit" gelesen werden muss.¹³ Jedoch sollten uns die Klauseln "territoriale Integrität" und politische Unabhängigkeit nicht von der Phrase "auf andere Weise, die den Zielen der Vereinten Nationen zuwiderläuft" ablenken. Der vorrangige und übergreifende Zweck der Vereinten Nationen besteht darin, den internationalen Frieden und die Sicherheit aufrechtzuerhalten und zu diesem Zweck Bedrohungen des Friedens zu verhindern und zu beseitigen sowie Aggressionsakte und andere Friedensbrüche zu unterdrücken.¹⁴ Tatsächlich kann jeder einzelne Einsatz von Gewalt</w:t>
      </w:r>
    </w:p>
    <w:p w:rsidR="00000000" w:rsidDel="00000000" w:rsidP="00000000" w:rsidRDefault="00000000" w:rsidRPr="00000000" w14:paraId="0000016E">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31</w:t>
      </w:r>
    </w:p>
    <w:p w:rsidR="00000000" w:rsidDel="00000000" w:rsidP="00000000" w:rsidRDefault="00000000" w:rsidRPr="00000000" w14:paraId="00000170">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kostbare und oft instabile internationale Frieden und die Sicherheit gefährden. Der Zweite Weltkrieg brachte beispielloses Leid mit sich, und daher stellt die Charta der Vereinten Nationen die universelle Übereinkunft dar, dass "sogar gerechtfertigte Anliegen und eine aufrichtige Sorge um 'nationale Sicherheit' oder andere 'vitale Interessen' keinem Land das Recht geben würden, einen Krieg zu beginnen".¹⁵ Daher können Konzepte wie humanitäre Intervention und pro-demokratische Intervention nicht als legal angesehen werden, denn indem die intervenierenden Staaten die demokratischen Menschenrechte der Völker bestimmter Staaten fördern oder undemokratische Regierungen in anderen Staaten beseitigen, verletzen sie sowohl die territoriale Integrität als auch die politische Unabhängigkeit der betreffenden Staaten und gefährden zumindest auf regionaler Ebene den internationalen Frieden und die Sicherheit. Darüber hinaus basieren Entscheidungen zur Intervention auf der Meinung und dem Verständnis nur eines oder weniger Staaten und nicht auf dem allgemeinen Konsens der internationalen Gemeinschaft. Die Charta der Vereinten Nationen betont, dass es Aufgabe der Organisation ist, "sicherzustellen, dass bewaffnete Gewalt nur im gemeinsamen Interesse eingesetzt wird". Leider zeigt die Praxis der Staaten, dass die wahren Gründe für Interventionen in der Regel egoistisch und nicht altruistisch sind und darauf abzielen, die politischen oder wirtschaftlichen Interessen der intervenierenden Staaten zu fördern.</w:t>
      </w:r>
    </w:p>
    <w:p w:rsidR="00000000" w:rsidDel="00000000" w:rsidP="00000000" w:rsidRDefault="00000000" w:rsidRPr="00000000" w14:paraId="0000017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Zusammenfassend hat die Charta der Vereinten Nationen ein allgemeines und bedingungsloses Verbot des Einsatzes von Gewalt in den internationalen Beziehungen festgelegt.</w:t>
      </w:r>
    </w:p>
    <w:p w:rsidR="00000000" w:rsidDel="00000000" w:rsidP="00000000" w:rsidRDefault="00000000" w:rsidRPr="00000000" w14:paraId="0000017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Ausnahmen von Artikel 2 Absatz 4</w:t>
      </w:r>
    </w:p>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jede Regel ist auch das Verbot des Einsatzes von Gewalt nicht ohne Ausnahmen. Obwohl bestimmte Staaten und Rechtsautoren mehrere, zumindest fragwürdige Rechtfertigungen für den rechtmäßigen Einsatz von Gewalt vorgebracht haben, gibt es unter der Charta der Vereinten Nationen nur zwei ausdrücklich genannte rechtliche Ausnahmen vom allgemeinen Verbot des Einsatzes von Gewalt: </w:t>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individuelle und kollektive Selbstverteidigung (Artikel 51);</w:t>
      </w:r>
    </w:p>
    <w:p w:rsidR="00000000" w:rsidDel="00000000" w:rsidP="00000000" w:rsidRDefault="00000000" w:rsidRPr="00000000" w14:paraId="000001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Maßnahmen der Durchsetzung des Sicherheitsrats (Kapitel VII).</w:t>
      </w:r>
    </w:p>
    <w:p w:rsidR="00000000" w:rsidDel="00000000" w:rsidP="00000000" w:rsidRDefault="00000000" w:rsidRPr="00000000" w14:paraId="000001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1.2.1. Individuelle und kollektive Selbstverteidigung</w:t>
      </w:r>
    </w:p>
    <w:p w:rsidR="00000000" w:rsidDel="00000000" w:rsidP="00000000" w:rsidRDefault="00000000" w:rsidRPr="00000000" w14:paraId="0000017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Ohne Zweifel muss jeder Staat das Recht haben, sich zu verteidigen, wenn er angegriffen wird. Alle Instrumente, die die Anwendung von Gewalt eingeschränkt oder verboten haben, haben dieses Recht ausdrücklich oder implizit anerkannt. Ebenso besagt Artikel 51, dass "nichts in dieser Charta das innewohnende Recht auf individuelle oder kollektive Selbstverteidigung beeinträchtigen wird, wenn ein bewaffneter Angriff gegen ein Mitglied der Vereinten Nationen erfolgt". Obwohl es klar genug klingt, besteht eine ernsthafte Meinungsverschiedenheit darüber, unter welchen Umständen das Recht auf Selbstverteidigung ausgeübt werden darf. Wir werden diese Probleme im nächsten Kapitel unter Berücksichtigung der jüngsten Entwicklungen und Fälle betrachten. Allerdings sollten wir an dieser Stelle darauf achten, dass Staaten das Recht haben, Gewalt zur Selbstverteidigung von Beginn eines bewaffneten Angriffs an zu nutzen, "bis der Sicherheitsrat die erforderlichen Maßnahmen zur Aufrechterhaltung des internationalen Friedens und der </w:t>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32</w:t>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Sicherheit ergriffen hat.¹⁶ Um sicherzustellen, dass der Sicherheitsrat die erforderlichen Maßnahmen ergreifen kann, sollten die Mitglieder der Vereinten Nationen den Sicherheitsrat unverzüglich über die ergriffenen Maßnahmen im Rahmen des Selbstverteidigungsrechts informieren. Was passiert, wenn der Sicherheitsrat nicht handelt oder nicht die erforderlichen Maßnahmen zur Aufrechterhaltung des internationalen Friedens und der Sicherheit ergreift? Das Recht zur Ausübung der Selbstverteidigung verschwindet nicht einfach, sobald der Sicherheitsrat das Thema lediglich weitergeleitet hat; es bleibt bestehen, bis der Sicherheitsrat wirksame Maßnahmen ergreift, die die militärischen Reaktionen des Opferstaates unnötig und unangemessen machen.¹⁷ Andernfalls müssen die selbstverteidigenden Militäraktionen gestoppt werden, sobald ihr Zweck, der Abwehr des bewaffneten Angriffs, erreicht ist.</w:t>
      </w:r>
    </w:p>
    <w:p w:rsidR="00000000" w:rsidDel="00000000" w:rsidP="00000000" w:rsidRDefault="00000000" w:rsidRPr="00000000" w14:paraId="000001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1.2.2. Maßnahmen des Sicherheitsrates zur Durchsetzung</w:t>
      </w:r>
    </w:p>
    <w:p w:rsidR="00000000" w:rsidDel="00000000" w:rsidP="00000000" w:rsidRDefault="00000000" w:rsidRPr="00000000" w14:paraId="0000018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Unter Berücksichtigung der negativen Erfahrungen mit dem Völkerbund entschieden die Staaten, ein fortgeschritteneres und effektiveres System der kollektiven Sicherheit zu etablieren, um den Frieden und die Sicherheit zu wahren und die Verletzer des Verbots der Anwendung von Gewalt zu bestrafen. Der Sicherheitsrat wurde mit der primären Verantwortung für die Wahrung des internationalen Friedens und der Sicherheit betraut.¹⁸ Der Sicherheitsrat besteht aus fünfzehn Mitgliedern, von denen fünf ständige Mitglieder sind (China, Frankreich, Russland, das Vereinigte Königreich und die Vereinigten Staaten) und zehn nichtständige Mitglieder sind (für zwei Jahre von der Generalversammlung gewählt). Obwohl der Sicherheitsrat zweifellos eine politische Institution ist, die seine Entscheidungen nicht unbedingt auf der Grundlage von rechtlichen Argumenten, sondern auf politischen Argumenten trifft, haben seine Resolutionen eine rechtlich bindende Wirkung auf die Mitglieder der Vereinten Nationen, und sie sind verpflichtet, diesen Resolutionen zu folgen.¹⁹</w:t>
      </w:r>
    </w:p>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 der Aufrechterhaltung des internationalen Friedens und der Sicherheit handelt der Sicherheitsrat gemäß Kapitel VII, das den vielversprechenden Titel "Maßnahmen bei Bedrohung oder Bruch des Friedens und bei Angriffshandlungen" trägt. Als Wächter entscheidet der Sicherheitsrat gemäß Artikel 39 über die Existenz von Bedrohungen des Friedens, Brüchen des Friedens und Angriffshandlungen und trifft Empfehlungen oder beschließt, welche Maßnahmen ergriffen werden sollen, um den internationalen Frieden und die Sicherheit aufrechtzuerhalten oder wiederherzustellen. Nach Feststellung einer solchen Situation kann der Sicherheitsrat sich für nicht-militärische Maßnahmen wie Wirtschaftssanktionen²⁰ entscheiden oder militärische Maßnahmen mit "Luft-, See- oder Bodenstreitkräften, die erforderlich sind, um den internationalen Frieden und die Sicherheit aufrechtzuerhalten oder wiederherzustellen" genehmigen.²¹ Eine solche kollektive Autorisierung zur Anwendung von Gewalt soll sicherstellen, dass militärische Interventionen nicht willkürlich, sondern nur im Interesse der gesamten internationalen Gemeinschaft durchgeführt werden. Der Sicherheitsrat kann jedoch keinen Staat zwingen, an militärischen Operationen teilzunehmen. Die Genehmigung ist eher eine Empfehlung oder Rechtfertigung für den Einsatz von Gewalt als ein Befehl, und der Sicherheitsrat muss daher darauf hoffen, dass es Staaten gibt, die aus einem oder anderen Grund bereit sind, sich an solchen Operationen zu beteiligen. Die Autorisierung hat auch noch einen anderen Aspekt, </w:t>
      </w:r>
    </w:p>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33</w:t>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nämlich dass der Zielstaat rechtlich davon abgehalten wird, das Recht auf Selbstverteidigung geltend zu machen und später Entschädigungen für durch die militärischen Operationen verursachte Schäden zu fordern.</w:t>
      </w:r>
    </w:p>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Problematische Fragen und jüngste Entwicklungen</w:t>
      </w:r>
    </w:p>
    <w:p w:rsidR="00000000" w:rsidDel="00000000" w:rsidP="00000000" w:rsidRDefault="00000000" w:rsidRPr="00000000" w14:paraId="0000018E">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oben erwähnt, kann jeder konkrete Einsatz von Gewalt nur dann als rechtmäßig betrachtet werden, wenn er auf einer Ausnahme zum allgemeinen Gewaltverbot beruhen kann, die rechtlich gültig ist. Die Autorisierung des Sicherheitsrates zur Anwendung von Gewalt ist in der Regel klar genug und führt selten zu kontroversen Interpretationen.²² Das Recht auf Selbstverteidigung hat sich jedoch als problematisch erwiesen und wurde durch seltsame und gewaltsame Interpretationen verwendet, um eine Reihe von militärischen Operationen gegen einen anderen souveränen Staat zu rechtfertigen. Die Mehrheit der Staaten und Rechtsautoren besteht darauf, dass das Recht auf Selbstverteidigung eng ausgelegt werden muss, damit es einem tatsächlichen bewaffneten Angriff entspricht. Eine andere Schule bevorzugt eine breitere Auslegung und argumentiert, dass Staaten die Selbstverteidigung in einer vorbeugenden oder sogar präventiven Weise ausüben können und dass dieses Recht keinen tatsächlichen bewaffneten Angriff erfordert. Die Befürworter dieses Konzepts sind bisher in der Minderheit, aber die Frage, ob das Völkerrecht den Einsatz von Gewalt nicht nur als Reaktion auf bestehende Gewalt, sondern auch zur Abwehr zukünftiger Angriffe erlaubt oder erlauben sollte, hat nach den Ereignissen vom 11. September 2001 an Bedeutung gewonnen. Im Folgenden werden bestimmte Aspekte des Rechts auf Selbstverteidigung in Bezug auf die Ereignisse in New York, Afghanistan und Irak erörtert.</w:t>
      </w:r>
    </w:p>
    <w:p w:rsidR="00000000" w:rsidDel="00000000" w:rsidP="00000000" w:rsidRDefault="00000000" w:rsidRPr="00000000" w14:paraId="000001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Definition von "bewaffnetem Angriff"</w:t>
      </w:r>
    </w:p>
    <w:p w:rsidR="00000000" w:rsidDel="00000000" w:rsidP="00000000" w:rsidRDefault="00000000" w:rsidRPr="00000000" w14:paraId="0000019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Artikel 51 bezieht sich auf das Recht auf Selbstverteidigung "wenn ein bewaffneter Angriff stattfindet". Wenn dies in der Tat eine Voraussetzung für das Recht auf Ausübung einer rechtmäßigen Selbstverteidigung ist, müssen wir den Umfang des Begriffs "bewaffneter Angriff" feststellen. Nach den Regeln des Völkerrechts beginnt die Auslegung eines Vertrags mit der "gewöhnlichen Bedeutung, die den Begriffen des Vertrags beizulegen ist".²³ Die übliche Methode zur Bestimmung der gewöhnlichen Bedeutung eines Wortes besteht darin, Wörterbücher zu konsultieren. In diesem Fall legen verschiedene englische Wörterbücher nahe, dass ein Angriff eine tatsächliche Handlung und nicht nur eine Bedrohung ist. Wir sollten auch andere Teile der Charta der Vereinten Nationen berücksichtigen, nämlich Artikel 2 Absatz 4. Dies verbietet sowohl den tatsächlichen Einsatz von Gewalt als auch die Drohung mit Gewalt, und es ist schwer vorstellbar, dass der Verfasser der Charta der Vereinten Nationen aufgrund eines Versehen einfach vergessen hat, die Worte "oder droht" zu Artikel 51 hinzuzufügen. ²⁴ Darüber hinaus ist eine Auslegung von Artikel 51, die die Bedrohung eines bewaffneten Angriffs ausschließt, eher mit dem Hauptzweck der Vereinten Nationen vereinbar, den einseitigen Einsatz von Gewalt zurückzuhalten. Daher bezieht sich die Definition eines bewaffneten Angriffs nach einer überwiegenden Mehrheit innerhalb der Rechtsdoktrin auf einen tatsächlichen bewaffneten Angriff, der stattgefunden hat, nicht nur auf Bedrohungen.²⁵</w:t>
      </w:r>
    </w:p>
    <w:p w:rsidR="00000000" w:rsidDel="00000000" w:rsidP="00000000" w:rsidRDefault="00000000" w:rsidRPr="00000000" w14:paraId="000001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 den Ereignissen vom 11. September 2001 stellt sich die Frage, ob der Begriff des bewaffneten Angriffs in der Lage ist, auch einen terroristischen Angriff einzuschließen. Artikel 51 besagt nicht explizit, </w:t>
      </w:r>
    </w:p>
    <w:p w:rsidR="00000000" w:rsidDel="00000000" w:rsidP="00000000" w:rsidRDefault="00000000" w:rsidRPr="00000000" w14:paraId="000001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34</w:t>
      </w:r>
    </w:p>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dass der bewaffnete Angriff von einem Staat ausgehen muss, aber diese Bedingung kann als implizit angesehen werden. Selbstverteidigung ist eine Ausnahme vom allgemeinen Verbot des Einsatzes von Gewalt und Artikel 2 Absatz 4, der dieses Verbot ausdrücklich betrifft, bezieht sich explizit auf Staaten.²⁶⁶Wenn jedoch ein Staat tatsächlich in einem nichtstaatlichen bewaffneten Angriff in ausreichendem Maße beteiligt ist, ist es akzeptabel, dass eine solche Beteiligung einem bewaffneten Angriff gleichkommt und daher dieselben Konsequenzen wie ein bewaffneter Angriff durch einen Staat haben kann. Die Grundlage für ein solches Argument findet sich in der Definition von Aggression, die von der Generalversammlung verabschiedet wurde und unter anderem definiert, dass ein Akt der Aggression die Entsendung von bewaffneten Banden, Gruppen, irregulären Kräften oder Söldnern durch einen Staat umfasst, die gegen einen anderen Staat Handlungen bewaffneter Gewalt von solcher Schwere ausführen, dass sie einem "tatsächlichen bewaffneten Angriff durch reguläre Kräfte" oder ihrer wesentlichen Beteiligung daran gleichkommen.²⁷ Der IGH hat diese Bestimmung als Ausdruck des Völkergewohnheitsrechts anerkannt, obwohl die Resolution der Generalversammlung selbst nicht rechtsverbindlich ist.²⁸ Eine solche Situation kann in der juristischen Argumentation als konstruktiver bewaffneter Angriff oder als Situation gleichwertig einem bewaffneten Angriff bezeichnet werden.²⁹</w:t>
      </w:r>
    </w:p>
    <w:p w:rsidR="00000000" w:rsidDel="00000000" w:rsidP="00000000" w:rsidRDefault="00000000" w:rsidRPr="00000000" w14:paraId="000001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Daher kann ein bewaffneter Angriff durch eine nichtstaatliche Gruppierung das Recht auf Selbstverteidigung auslösen, wenn der Angriff von ausreichender Schwere ist und die Beteiligung eines Staates von ausreichendem Grad ist. Die Gewalt, die bei den Terroranschlägen vom 11. September 2001 eingesetzt wurde, erreichte zweifellos die Schwere, die für einen bewaffneten Angriff gemäß Artikel 51 ausreichen würde, wenn diese Angriffe das Werk eines Staates gewesen wären. Es wäre also tatsächlich seltsam, das Recht auf Selbstverteidigung davon abhängig zu machen, ob die jeweiligen Gewaltakte von einem Staat oder einem nichtstaatlichen Akteur begangen wurden. Der konstruktive bewaffnete Angriff ist nicht vollständig fremd für die internationale juristische Argumentation, aber ob eine solche Konstruktion tatsächlich positives Völkerrecht geworden ist, ist eine andere Frage. Es ist erwähnenswert, dass der berühmte </w:t>
      </w:r>
      <w:r w:rsidDel="00000000" w:rsidR="00000000" w:rsidRPr="00000000">
        <w:rPr>
          <w:rFonts w:ascii="Times New Roman" w:cs="Times New Roman" w:eastAsia="Times New Roman" w:hAnsi="Times New Roman"/>
          <w:i w:val="1"/>
          <w:rtl w:val="0"/>
        </w:rPr>
        <w:t xml:space="preserve">Caroline-Streit</w:t>
      </w:r>
      <w:r w:rsidDel="00000000" w:rsidR="00000000" w:rsidRPr="00000000">
        <w:rPr>
          <w:rFonts w:ascii="Times New Roman" w:cs="Times New Roman" w:eastAsia="Times New Roman" w:hAnsi="Times New Roman"/>
          <w:rtl w:val="0"/>
        </w:rPr>
        <w:t xml:space="preserve">,³⁰ der zitiert wurde, um das weiter gefasste Konzept der Selbstverteidigung zu unterstützen, zeigt, dass ein bewaffneter Angriff nicht von einem Staat ausgehen muss. Tatsächlich kam die Bedrohung in dieser Situation von einer nichtstaatlichen Gruppe, von der die meisten wahrscheinlich heute als Terroristen bezeichnen würden. Weder in der Korrespondenz zwischen dem Vereinigten Königreich und den Vereinigten Staaten noch in der anschließenden Berufung auf die Webster-Formel zur Selbstverteidigung wurde angedeutet, dass die Anwendbarkeit der Webster-Formel von der Quelle des bewaffneten Angriffs abhängt.³¹ Dennoch bestätigt die internationale Reaktion nach den Ereignissen am 11. September, dass das Konzept des bewaffneten Angriffs tatsächlich nicht auf staatliche Handlungen beschränkt ist. Der Sicherheitsrat erkannte in unmittelbarer Folge der Terroranschläge ausdrücklich das Recht auf Selbstverteidigung in zwei Resolutionen an.³² Die Resolutionen besagen nicht ausdrücklich, dass terroristische Angriffe als bewaffnete Angriffe gleichwertig sind, aber die Anerkennung des Rechts auf Selbstverteidigung musste bedeuten, dass der Sicherheitsrat diese terroristischen Angriffe als bewaffnete Angriffe im Sinne von Artikel 51 betrachtete. Zu diesem Zeitpunkt war bereits bekannt, dass diese Angriffe höchstwahrscheinlich das Werk einer terroristischen Organisation und nicht eines Staates waren. Die Position des Sicherheitsrats</w:t>
      </w:r>
    </w:p>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35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wurde weitgehend akzeptiert, und ähnliche Positionen wurden von anderen internationalen Institutionen übernommen. Zum Beispiel stimmte der Nordatlantikrat zu, dass "wenn festgestellt wird, dass dieser Angriff aus dem Ausland gegen die Vereinigten Staaten gerichtet war, er als eine Handlung gemäß Artikel 5 des Washingtoner Vertrags angesehen wird, der besagt, dass ein bewaffneter Angriff gegen einen oder mehrere der Verbündeten in Europa oder Nordamerika als Angriff gegen alle betrachtet wird".³³</w:t>
      </w:r>
    </w:p>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Vorwegnahme oder präemptiv</w:t>
      </w:r>
    </w:p>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die meisten Autoren und Politiker die Begriffe "anticipatory" und "preemptive" austauschbar verwenden, bietet die Unterscheidung zwischen diesen beiden Begriffen eine nützliche Präzision. Die "anticipatory" militärische Aktion bezieht sich auf eine militärische Aktion, die gegen einen unmittelbar bevorstehenden Angriff unternommen wird. Wenn beispielsweise ein Staat erfahren hat, dass ein anderer Staat seine bewaffneten Kräfte an seiner Grenze zusammengezogen hat und der Beginn eines militärischen Angriffs nur noch eine Frage der Zeit ist, greift er anstatt auf den tatsächlichen Angriff zu warten, zuerst an, um seine Staatsbürger zu schützen und mögliche Schäden zu vermeiden. Die "pre-emptive" militärische Aktion beschreibt eine militärische Aktion, die gegen eine Bedrohung gerichtet ist, die noch nicht realisiert wurde und die unsicher und fern in der Zeit liegt. Wenn beispielsweise ein Staat erfahren hat, dass ein anderer Staat Massenvernichtungswaffen erworben hat und befürchtet, dass diese Waffen in Zukunft gegen ihn eingesetzt werden könnten, greift er anstatt auf den bevorstehenden Angriff zu warten, zuerst die Gebäude an, in denen diese Waffen aufbewahrt werden, und zerstört die Waffen, um die Bedrohung oder den Angriff überhaupt zu verhindern. Nun werden wir beide Konzepte in Bezug auf Selbstverteidigung betrachten.</w:t>
      </w:r>
    </w:p>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 Vorweggenommene Selbstverteidigung</w:t>
      </w:r>
    </w:p>
    <w:p w:rsidR="00000000" w:rsidDel="00000000" w:rsidP="00000000" w:rsidRDefault="00000000" w:rsidRPr="00000000" w14:paraId="000001A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Artikel 51 erfordert ausdrücklich einen bewaffneten Angriff als Vorbedingung für den Einsatz von Verteidigungskräften. Staaten haben das Recht, Selbstverteidigung auszuüben, "wenn ein bewaffneter Angriff erfolgt". Die Bedingungen von Artikel 51 stehen damit im Gegensatz zu den Bedingungen von Artikel 4 Absatz 2, der sowohl den Einsatz von Gewalt als auch die Androhung von Gewalt verbietet. All dies lässt den Schluss zu, dass weder die Androhung von Gewalt noch ein unmittelbar bevorstehender bewaffneter Angriff den Einsatz von Verteidigungskräften gemäß der Charta der Vereinten Nationen rechtfertigen.³⁴ Diese Interpretation entspricht der vorherrschenden Staatenpraxis, da ein allgemeines Recht auf vorbeugende Selbstverteidigung unter der Charta der Vereinten Nationen³⁵ noch nie geltend gemacht wurde. Diese Auslegung entspricht der vorherrschenden Praxis der Staaten, da unter der Charta der Vereinten Nationen nie ein allgemeines Recht auf vorausschauende Selbstverteidigung geltend gemacht wurde. Der Zweck des Verfassers und des Ziels der Charta der Vereinten Nationen war es, den einseitigen Einsatz von Gewalt in den internationalen Beziehungen zu minimieren und an dem genauen Punkt eines bewaffneten Angriffs eine Linie zu ziehen, dessen Vorfall objektiv festgestellt werden konnte und diente dem Zweck, Unsicherheiten zu beseitigen.³⁶ Tatsächlich kann die vermeintliche Unmittelbarkeit eines bewaffneten Angriffs in der Regel nicht anhand objektiver Kriterien bewertet werden, und daher müsste eine Entscheidung für vorausschauende Maßnahmen zwangsläufig dem Ermessen des betroffenen Staates überlassen werden. Eine solche Entscheidungsfreiheit birgt eine erwähnenswerte Möglichkeit von Fehlern, die verheerende Ergebnisse haben können, sowie ein offensichtliches Missbrauchsrisiko, das das Verbot </w:t>
      </w:r>
    </w:p>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36</w:t>
      </w:r>
    </w:p>
    <w:p w:rsidR="00000000" w:rsidDel="00000000" w:rsidP="00000000" w:rsidRDefault="00000000" w:rsidRPr="00000000" w14:paraId="000001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Anwendung von Gewalt ernsthaft untergraben kann. Außerdem ist das Argument, dass ein bewaffneter Angriff mit Planung, Organisation und logistischer Vorbereitung beginnt, nicht plausibel, denn dann würde ein bewaffneter Angriff mit Bleistift und Papier beginnen und nicht mit Kugeln und Bomben. Noch einmal gibt es keinen Grund anzunehmen, dass die klare Sprache von Artikel 51 nicht genau die beabsichtigte Bedeutung vermittelt - einen tatsächlichen bewaffneten Angriff.³⁷</w:t>
      </w:r>
    </w:p>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die Argumente dafür, dass die Charta der Vereinten Nationen eine vorbeugende Selbstverteidigung zulässt, nicht überzeugend sind, haben mehrere Staaten und Rechtsautoren das Recht auf vorbeugende Selbstverteidigung unter dem Völkergewohnheitsrecht plausibler und erfolgreicher verteidigt. Tatsächlich hat die vorbeugende Selbstverteidigung einige Grundlagen im Völkergewohnheitsrecht und in einigen begrenzten Fällen kann sie als rechtmäßig angesehen werden. Die Befürworter der vorbeugenden Selbstverteidigung verweisen auf den berühmten Caroline-Zwischenfall.³⁸ Der Aufstand von 1837 im kolonialen Kanada fand aktive Unterstützung von amerikanischen Freiwilligen und privaten Lieferanten, die aus der Grenzregion in den Vereinigten Staaten operierten. Das Dampfschiff Caroline war an der Versorgung von Männern und Material beteiligt, die Navy Island im Cippewa-Kanal besetzt hielten, das als Basis für Angriffe der Freiwilligen auf die kanadische Flussufer und britische Schiffe diente.</w:t>
      </w:r>
    </w:p>
    <w:p w:rsidR="00000000" w:rsidDel="00000000" w:rsidP="00000000" w:rsidRDefault="00000000" w:rsidRPr="00000000" w14:paraId="000001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Regierung der Vereinigten Staaten wusste von diesen Aktivitäten, tat jedoch wenig, um sie zu verhindern. Daher überquerte eine britische Streitmacht von der kanadischen Seite aus die Grenze in die Vereinigten Staaten, ergriff die Caroline, setzte sie in Brand und ließ das Schiff so treiben, dass es über die Niagarafälle stürzte und zerstört wurde. Zwei Bürger der Vereinigten Staaten wurden an Bord der Caroline erschossen und ein britischer Offizier wurde wegen Mordes und Brandstiftung verhaftet und angeklagt.³⁹ Die britische Regierung rechtfertigte ihr Handeln als notwendige Selbstverteidigung und Selbstbewahrung, da die Vereinigten Staaten die bedrohlichen Aktivitäten auf ihrem Territorium nicht verhinderten. Sie verwies auch auf die wahrgenommenen zukünftigen Bedrohungen durch die Operationen der Caroline. Die Antwort des US-Außenministers Daniel Webster an die britische Regierung gilt seit langem als definitive Aussage des Selbstverteidigungsrechts im Völkerrecht. Webster erkannte an, dass das Recht der Selbstverteidigung nicht davon abhängt, dass das Vereinigte Königreich bereits Gegenstand eines bewaffneten Angriffs war, aber er akzeptierte, dass es ein Recht auf vorbeugende Selbstverteidigung angesichts einer drohenden bewaffneten Attacke gibt, sofern es "eine Notwendigkeit der Selbstverteidigung, unmittelbar, überwältigend, keine Wahl der Mittel und keinen Moment der Überlegung" gibt.⁴⁰ Die Webster-Formel wurde seitdem häufig von Staaten und Gerichtsinstitutionen verwendet; selbst die Internationalen Militärtribunale in Nürnberg und Tokio bezogen sich auf die Formel, als sie die Verteidigungsbehauptung zurückwiesen, dass die deutsche Invasion Norwegens ein Akt der vorsorglichen Selbstverteidigung gewesen sei. Dies könnte darauf hinweisen, dass das Recht auf vorsorgliche Selbstverteidigung gegen einen unmittelbar bevorstehenden bewaffneten Angriff zu dieser Zeit Teil des Gewohnheitsrechts war, aber ob dies heute noch der Fall ist, ist eine andere Frage. Die Restriktionisten-Schule - die Befürworter eines engeren Rechts auf Selbstverteidigung - argumentieren, dass das vor der Gründung der Vereinten Nationen bestehende Gewohnheitsrecht nicht nach der Verabschiedung der Charta der Vereinten Nationen </w:t>
      </w:r>
    </w:p>
    <w:p w:rsidR="00000000" w:rsidDel="00000000" w:rsidP="00000000" w:rsidRDefault="00000000" w:rsidRPr="00000000" w14:paraId="000001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37</w:t>
      </w:r>
    </w:p>
    <w:p w:rsidR="00000000" w:rsidDel="00000000" w:rsidP="00000000" w:rsidRDefault="00000000" w:rsidRPr="00000000" w14:paraId="000001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fortbestehen konnte und daher Artikel 51 die einzige, wahre und angemessene Darstellung des Rechts auf Selbstverteidigung in der Ära der Charta der Vereinten Nationen ist.⁴¹ Die Gegen-Restriktionisten-Schule - die Befürworter eines weiteren Rechts auf Selbstverteidigung - behaupten, dass Artikel 51, indem er sich verpflichtet, das "angeborene Recht auf Selbstverteidigung" nicht zu beeinträchtigen, das vor der Verabschiedung der Charta der Vereinten Nationen bestehende Gewohnheitsrecht zur Selbstverteidigung unverändert ließ und intakt hielt.</w:t>
      </w:r>
    </w:p>
    <w:p w:rsidR="00000000" w:rsidDel="00000000" w:rsidP="00000000" w:rsidRDefault="00000000" w:rsidRPr="00000000" w14:paraId="000001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sogenannte "angeborene Recht"-Theorie hat zahlreiche Schwächen. Zunächst kann argumentiert werden, dass das Recht der Selbstverteidigung nicht im Naturgesetz, sondern in der Staatsgewalt angeboren ist. Die Staatsgewalt hat jedoch einen variablen Inhalt, der vom Stand der Entwicklung der internationalen Rechtsordnung zu jedem gegebenen Zeitpunkt abhängt.⁴² Was nach dem Vorfall mit der Caroline im Staatsgewalt als angeboren angesehen wurde, nämlich das Recht auf präventive Selbstverteidigung, war nach der Gründung und nach den Vereinten Nationen nicht unbedingt im Staatsgewalt als angeboren anzusehen. Tatsächlich wurde im 19. Jahrhundert die Freiheit jedes Staates, bei Bedarf Krieg zu führen, als ein im Staatsgewalt angeborenes Recht angesehen, aber nach der Abschaffung eines solchen Rechts nach dem Zweiten Weltkrieg überlebte die Staatsgewalt trotzdem, wenn auch mit dem Verlust einer ihrer angeborenen Bestandteile. Zweitens wurde die Charta der Vereinten Nationen genau aus dem Zweck heraus verabschiedet, ein weitaus weiterreichendes Verbot des Einsatzes von Gewalt zu schaffen als dies 1945 unter dem Vertrag oder dem völkerrechtlichen Gewohnheitsrecht der Fall war, ganz zu schweigen von 1837. Selbst wenn das frühere völkerrechtliche Gewohnheitsrecht die anticipatory self-defence erlaubte, bedeutet dies nicht, dass eine solche Selbstverteidigung nach dem damaligen völkerrechtlichen Gewohnheitsrecht rechtmäßig war. Um zu argumentieren, dass das völkerrechtliche Gewohnheitsrecht im Jahr 1837 und 1945 genau gleich war, müsste man die Änderungen im Bereich der Regulierung des Einsatzes von Gewalt ignorieren, die in den 1920er und 1930er Jahren stattfanden, und sowohl den Kellogg-Briand-Pakt als auch die Charta der Vereinten Nationen als irrelevant behandeln. Der Einsatz von Gewalt als Reaktion auf Gewalt war die einzige allgemein anerkannte Ansicht über den gerechtfertigten Einsatz von Gewalt zur Selbstverteidigung, und die Delegationen auf der San-Francisco-Konferenz betrachteten die Formulierung von Artikel 51 natürlich nicht als eine Innovation in Bezug auf die Selbstverteidigung.⁴³ Mit anderen Worten, es ist fraglich, ob das Recht auf anticipatory self-defence überhaupt zu dem Zeitpunkt existierte, als verschiedene Nationen die Charta der Vereinten Nationen vorbereiteten. Nehmen wir dennoch an, dass das vor der Gründung der Vereinten Nationen herrschende völkerrechtliche Gewohnheitsrecht, das die vorbeugende Selbstverteidigung erlaubte, die Zwischenkriegszeit und Artikel 51 überlebt hat. Doch das bedeutet immer noch nicht, dass der Umfang der Selbstverteidigung im völkerrechtlichen Gewohnheitsrecht von 1945 nicht festgelegt war, und es kann nicht vernünftigerweise behauptet werden, dass das völkerrechtliche Gewohnheitsrecht im Lichte nachfolgender Staatenpraxis nicht anfällig für Einschränkungen ist.⁴⁴</w:t>
      </w:r>
    </w:p>
    <w:p w:rsidR="00000000" w:rsidDel="00000000" w:rsidP="00000000" w:rsidRDefault="00000000" w:rsidRPr="00000000" w14:paraId="000001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Drittens argumentieren die Befürworter der "unveräußerlichen Rechte", dass das Recht auf Selbstverteidigung durch die Charta der Vereinten Nationen und die nachfolgende Staatenpraxis unveränderlich ist. Tatsächlich sind einige grundlegende Prinzipien des Völkerrechts nur mit großer Schwierigkeit, wenn überhaupt, durch nachfolgende Verträge oder Staatenpraxis veränderbar. Diese </w:t>
      </w:r>
    </w:p>
    <w:p w:rsidR="00000000" w:rsidDel="00000000" w:rsidP="00000000" w:rsidRDefault="00000000" w:rsidRPr="00000000" w14:paraId="000001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38</w:t>
      </w:r>
    </w:p>
    <w:p w:rsidR="00000000" w:rsidDel="00000000" w:rsidP="00000000" w:rsidRDefault="00000000" w:rsidRPr="00000000" w14:paraId="000001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oben genannten ius cogens-Normen. Allerdings hat noch keine Autorität das Recht auf präventive Selbstverteidigung als eine</w:t>
      </w:r>
      <w:r w:rsidDel="00000000" w:rsidR="00000000" w:rsidRPr="00000000">
        <w:rPr>
          <w:rFonts w:ascii="Times New Roman" w:cs="Times New Roman" w:eastAsia="Times New Roman" w:hAnsi="Times New Roman"/>
          <w:i w:val="1"/>
          <w:rtl w:val="0"/>
        </w:rPr>
        <w:t xml:space="preserve"> ius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cogens-Norm</w:t>
      </w:r>
      <w:r w:rsidDel="00000000" w:rsidR="00000000" w:rsidRPr="00000000">
        <w:rPr>
          <w:rFonts w:ascii="Times New Roman" w:cs="Times New Roman" w:eastAsia="Times New Roman" w:hAnsi="Times New Roman"/>
          <w:rtl w:val="0"/>
        </w:rPr>
        <w:t xml:space="preserve">⁴⁵ identifiziert, während der IGH das Verbot des Einsatzes von Gewalt als eine </w:t>
      </w:r>
      <w:r w:rsidDel="00000000" w:rsidR="00000000" w:rsidRPr="00000000">
        <w:rPr>
          <w:rFonts w:ascii="Times New Roman" w:cs="Times New Roman" w:eastAsia="Times New Roman" w:hAnsi="Times New Roman"/>
          <w:i w:val="1"/>
          <w:rtl w:val="0"/>
        </w:rPr>
        <w:t xml:space="preserve">ius cogens-Norm</w:t>
      </w:r>
      <w:r w:rsidDel="00000000" w:rsidR="00000000" w:rsidRPr="00000000">
        <w:rPr>
          <w:rFonts w:ascii="Times New Roman" w:cs="Times New Roman" w:eastAsia="Times New Roman" w:hAnsi="Times New Roman"/>
          <w:rtl w:val="0"/>
        </w:rPr>
        <w:t xml:space="preserve"> identifiziert hat.⁴⁶</w:t>
      </w:r>
    </w:p>
    <w:p w:rsidR="00000000" w:rsidDel="00000000" w:rsidP="00000000" w:rsidRDefault="00000000" w:rsidRPr="00000000" w14:paraId="000001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Bisher wurde die "inherent right"-Theorie von der großen Mehrheit der Staaten und Rechtsautoren weitgehend diskreditiert. Aufgrund der damit verbundenen Unklarheiten und Unsicherheiten befürworten Staaten normalerweise nicht ausdrücklich die präventive Selbstverteidigung, aus Angst, ein unkontrollierbares Wesen freizusetzen. Tatsächlich gab es nach der Gründung der Vereinten Nationen nur wenig ausdrückliche Unterstützung von Staaten für die präventive Selbstverteidigung (wenn Staaten tatsächlich präventive Selbstverteidigung ausüben, nennen sie es nicht beim wahren Namen, sondern beziehen sich einfach auf ihr angeborenes Recht auf Selbstverteidigung). Die Staatenpraxis tendiert tatsächlich dazu, die entgegengesetzte Position zu unterstützen. Zum Beispiel kam es 1967 zu einer bemerkenswerten Ansammlung von Streitkräften auf der Sinai-Halbinsel, nahe der Südgrenze Israels. Als die UN-Friedenstruppen aus der Pufferzone zwischen den beiden Ländern abgezogen wurden, startete Israel Luftangriffe gegen Ägypten und behauptete, dass es das Recht auf präventive Selbstverteidigung habe, da die ägyptischen Streitkräfte als Teil eines bevorstehenden bewaffneten Angriffs eingesetzt worden seien.⁴⁷ Jedoch sahen die anderen Staaten im Sicherheitsrat Israels erster Schlag als klaren Beweis dafür, dass Israel ein Aggressor war. Selbst die Delegationen, die gegenüber Israel sympathischer eingestellt waren, nämlich das Vereinigte Königreich und die Vereinigten Staaten, verzichteten auf eine Diskussion über die Zulässigkeit der präventiven Selbstverteidigung.⁴⁸ Israel war also der einzige Staat, der das Konzept untersuchte, und wir wissen heute, dass Israel auf wenig überzeugende Beweise reagierte. Dieses Beispiel veranschaulicht angemessen die Möglichkeit von Fehlern und das Risiko des Missbrauchs. Ein Staat kann in einer Situation kraftvoll handeln, ohne angemessene Gründe vorzulegen, und sich später herausstellen, dass die Unmittelbarkeit eines bewaffneten Angriffs ein Interpretationsfehler oder eine Fälschung auf Seiten des angreifenden Staates war. Kurz gesagt, das Recht auf präventive Selbstverteidigung ist gefährlich für den internationalen Frieden und die Sicherheit, da es von mächtigen Staaten missbraucht werden kann.</w:t>
      </w:r>
    </w:p>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auch immer das gewohnheitsrechtliche Völkerrecht in dieser Angelegenheit gewesen sein mag oder noch ist, haben Staaten gelegentlich eine vorbeugende Selbstverteidigung ausgeübt, ob sie es nun so genannt haben oder nicht. Manchmal haben andere Staaten die Notwendigkeit solcher Maßnahmen verstanden und waren bereit, die vorbeugende Selbstverteidigung in diesen speziellen Fällen politisch zu akzeptieren und zu genehmigen. Tatsächlich kann eine Bedrohung durch einen bewaffneten Angriff so direkt und überwältigend sein, dass es nicht praktikabel ist, vom künftigen Opferstaat zu verlangen, bis zum tatsächlichen Beginn des bewaffneten Angriffs zu warten und dann in Selbstverteidigung zu handeln. In einem solchen Fall besteht eine Situation, die einem bewaffneten Angriff gleichkommt.⁴⁹ Um sicherzustellen, dass die vorbeugende Selbstverteidigung nicht versehentlich oder missbräuchlich ausgeübt wird, muss gezeigt werden, dass der andere Staat sich auf einen bewaffneten Angriff in einer scheinbar unwiderruflichen Weise festgelegt hat.⁵⁰ All dies bedeutet jedoch keine uneingeschränkte Unterstützung eines allgemeinen Rechts auf vorbeugende Selbstverteidigung. Es bedeutet vielmehr, dass in nachweisbaren Situationen äußerster Notwendigkeit die vorbeugende Selbstverteidigung ein legitimer Weg sein kann, das Recht des Staates auf Selbstverteidigung auszuüben.⁵¹ Die Realitäten der modernen </w:t>
      </w:r>
    </w:p>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39</w:t>
      </w:r>
    </w:p>
    <w:p w:rsidR="00000000" w:rsidDel="00000000" w:rsidP="00000000" w:rsidRDefault="00000000" w:rsidRPr="00000000" w14:paraId="000001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Welt und zeitgenössischen militärischen Fähigkeiten scheinen in bestimmten nachgewiesenen Fällen eine vorausschauende Selbstverteidigung zu erfordern, da sonst die Charta der Vereinten Nationen als Suizidpakt bezeichnet werden könnte. Der gesunde Menschenverstand lässt es nicht zu, dass ein Staat passiv wartet und sein Schicksal akzeptiert, bevor er sich verteidigen kann. In einer nuklearen Ära und angesichts zeitgenössischer konventioneller Kriegsführung kann der erste Angriff (Rückgriff auf nicht-defensive Gewalt) so verheerende Ergebnisse haben, dass der Opferstaat nicht mehr in der Lage ist, sich selbst zu verteidigen. </w:t>
      </w:r>
    </w:p>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Solche außergewöhnlichen Fälle der vorbeugenden Selbstverteidigung sind auf Situationen beschränkt, in denen ein bewaffneter Angriff von ausreichender Schwere unmittelbar bevorsteht; die Webster-Formel muss erfüllt sein. Die Unmittelbarkeit hängt von den tatsächlichen Umständen des Einzelfalls ab, denn wo ein bewaffneter Angriff durch Massenvernichtungswaffen vernünftigerweise als unmittelbar bevorstehend angesehen werden kann (aufgrund der Unmöglichkeit oder Schwierigkeit, sich effektiv gegen einen solchen Angriff zu verteidigen, sobald er gestartet wurde), würde ein bewaffneter Angriff mit konventionellen Mitteln nicht als solcher angesehen werden. Die Zulässigkeit der vorbeugenden Selbstverteidigung ist am wenigsten umstritten in der Situation, in der nach einem bewaffneten Angriff klare und überzeugende Beweise vorliegen, dass der Feind sich darauf vorbereitet, erneut anzugreifen. Das Opferland muss nicht auf einen neuen Angriff warten, aber gleichzeitig müssen die Selbstverteidigungsmaßnahmen innerhalb einer angemessenen Zeit nach dem ersten Angriff durchgeführt werden, um als Selbstverteidigung während eines laufenden bewaffneten Angriffs zu gelten und nicht als bewaffnete Vergeltung oder Bestrafung angesehen zu werden.⁵² Die internationale Gemeinschaft bestätigte einen solchen Ansatz in Bezug auf die Ereignisse vom 11. September. Die Vereinigten Staaten und ihre Verbündeten haben ihre Rechtfertigung für militärische Maßnahmen gegen Afghanistan konsequent auf ihr Recht zur Selbstverteidigung gestützt und nicht auf eine kollektive Sicherheitsgenehmigung des Sicherheitsrates.⁵³ Die Koalition argumentierte, dass die Terroranschläge vom 11. September Teil einer Serie von bewaffneten Angriffen gegen die USA waren, die bereits 1993 begonnen hatten, und dass noch weitere Angriffe in derselben Serie geplant waren.⁵⁴ Die USA und Großbritannien behaupteten, klare und überzeugende Beweise dafür zu haben, dass die USA fortlaufenden Angriffen ausgesetzt waren, während NATO-Mitglieder die Beweise als "überzeugend" bezeichneten. Nach dem Beginn der Operation "Enduring Freedom" fanden die USA in Afghanistan dokumentarische Beweise dafür, dass tatsächlich weitere bewaffnete Angriffe in der Serie geplant waren. Die militärische Operation in Afghanistan war also gerechtfertigt, aber die Koalition wurde zu Recht für das Ausmaß an Kollateralschäden und die Mittel der Kriegsführung kritisiert. </w:t>
      </w:r>
    </w:p>
    <w:p w:rsidR="00000000" w:rsidDel="00000000" w:rsidP="00000000" w:rsidRDefault="00000000" w:rsidRPr="00000000" w14:paraId="000001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2.2.2. Präventive Selbstverteidigung</w:t>
      </w:r>
    </w:p>
    <w:p w:rsidR="00000000" w:rsidDel="00000000" w:rsidP="00000000" w:rsidRDefault="00000000" w:rsidRPr="00000000" w14:paraId="000001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September 2002 legte Präsident George W. Bush dem Kongress einen Bericht über die nationale Sicherheitsstrategie vor, der unter anderem ein sich entwickelndes Recht auf präventiven Einsatz von Gewalt gegen Bedrohungen durch "Schurkenstaaten" und Terroristen mit Massenvernichtungswaffen behauptete.⁵⁵ Der Bericht stellte fest, dass: "Die Vereinigten Staaten haben schon lange die Option präventiver Maßnahmen </w:t>
      </w:r>
    </w:p>
    <w:p w:rsidR="00000000" w:rsidDel="00000000" w:rsidP="00000000" w:rsidRDefault="00000000" w:rsidRPr="00000000" w14:paraId="000001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40</w:t>
      </w:r>
    </w:p>
    <w:p w:rsidR="00000000" w:rsidDel="00000000" w:rsidP="00000000" w:rsidRDefault="00000000" w:rsidRPr="00000000" w14:paraId="000001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gegen eine ausreichende Bedrohung für unsere nationale Sicherheit." Je größer die Bedrohung ist, desto größer ist das Risiko von Untätigkeit - und desto überzeugender ist der Fall für vorausschauende Maßnahmen zum Schutz unserer selbst, selbst wenn Unsicherheit bezüglich der Zeit und des Ortes des feindlichen Angriffs besteht. Um solche feindseligen Handlungen unserer Gegner zu vereiteln oder zu verhindern, wird die USA gegebenenfalls präventiv handeln. </w:t>
      </w:r>
    </w:p>
    <w:p w:rsidR="00000000" w:rsidDel="00000000" w:rsidP="00000000" w:rsidRDefault="00000000" w:rsidRPr="00000000" w14:paraId="000001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Vereinigten Staaten werden nicht in allen Fällen Gewalt anwenden, um aufkommende Bedrohungen zu verhindern, und Nationen sollten Präemption nicht als Vorwand für Aggressionen nutzen. Doch in einer Zeit, in der die Feinde der Zivilisation offen und aktiv nach den weltweit zerstörerischsten Technologien suchen, kann sich die USA nicht untätig verhalten, während sich Gefahren sammeln.⁵⁶ </w:t>
      </w:r>
    </w:p>
    <w:p w:rsidR="00000000" w:rsidDel="00000000" w:rsidP="00000000" w:rsidRDefault="00000000" w:rsidRPr="00000000" w14:paraId="000001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gibt nichts in der zeitgenössischen staatlichen Praxis, Rechtsprechung oder juristischen Schriften, das darauf hinweisen würde, dass eine so breite, sogar übermäßig breite, Auslegung einer Situation, die einer bewaffneten Attacke gleichkommt, Teil des gegenwärtigen völkerrechtlichen Gewohnheitsrechts ist.⁵⁷ Ein solcher Ansatz ist zweifellos gefährlich, und die Anwendung des Vorsorgeprinzips ist alarmierend und unerwünscht. Im Bereich des Umweltrechts erfordert das Vorsorgeprinzip, dass Maßnahmen zum Schutz der Umwelt ergriffen werden, auch wenn Unsicherheit über die Gefahr besteht. Nun, wenn man das gleiche Prinzip in Bezug auf Selbstverteidigung anwenden würde, würde die Regel lauten: "Im Falle der Unsicherheit zuschlagen". Eine solche Schlussfolgerung ist etwas seltsam und weit offen für Fehler oder Missbräuche; es ist auch schwer zu verstehen, wie dies zur globalen Stabilität und Aufrechterhaltung des internationalen Friedens und der Sicherheit beitragen kann.</w:t>
      </w:r>
    </w:p>
    <w:p w:rsidR="00000000" w:rsidDel="00000000" w:rsidP="00000000" w:rsidRDefault="00000000" w:rsidRPr="00000000" w14:paraId="000001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präventive Selbstverteidigung ist eindeutig rechtswidrig nach dem Völkerrecht - Staaten dürfen keine Gewalt gegen einen anderen Staat anwenden, wenn ein bewaffneter Angriff lediglich eine hypothetische Möglichkeit darstellt, selbst im Falle von Massenvernichtungswaffen. Die Internationalen Militärtribunale in Nürnberg lehnten das Argument Deutschlands ab, dass die Invasion Norwegens ein notwendiger Akt der Selbstverteidigung war, um eine zukünftige alliierte Invasion zu verhindern und einer möglichen anschließenden Alliierten Attacke vorzubeugen. Als Israel 1981 den irakischen Atomreaktor angriff, argumentierte Israel ausdrücklich, dass Artikel 51 die Selbstverteidigung erlaubt⁵⁸, um eine Bedrohung für die nationale Sicherheit Israels zu verhindern. Israel erklärte, dass es sich gezwungen sah, sich gegen den Bau von Atomwaffen im Irak zu verteidigen, die nicht gezögert hätten, solche Waffen gegen Israel einzusetzen. Der Atomreaktor, so argumentierte Israel, sollte innerhalb weniger Wochen einsatzbereit sein, und Israel beschloss, zuzuschlagen, bevor der Atomreaktor eine unmittelbare und größere Bedrohung für Israel darstellen würde. So reagierte Israel weder auf einen tatsächlichen bewaffneten Angriff noch auf eine Situation, die einem bewaffneten Angriff entspricht, sondern auf eine potenzielle und entfernte Bedrohung. Alle Mitglieder des Sicherheitsrates waren anderer Meinung als die israelische Interpretation des Artikels 51 und unterstützten ohne Vorbehalte die Resolution, die erklärte, dass der Militärangriff Israels eine klare Verletzung der Charta der Vereinten Nationen und der Normen des internationalen Verhaltens darstellte.⁵⁹ Richtig ist, dass der Sicherheitsrat das präventive Selbstverteidigungsrecht an sich nicht abgelehnt hat, sondern höchstwahrscheinlich zu dem Schluss gekommen ist, dass Israel nicht die Dringlichkeit eines bewaffneten Angriffs seitens des Irak nachweisen konnte.</w:t>
      </w:r>
    </w:p>
    <w:p w:rsidR="00000000" w:rsidDel="00000000" w:rsidP="00000000" w:rsidRDefault="00000000" w:rsidRPr="00000000" w14:paraId="000001D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41</w:t>
      </w:r>
    </w:p>
    <w:p w:rsidR="00000000" w:rsidDel="00000000" w:rsidP="00000000" w:rsidRDefault="00000000" w:rsidRPr="00000000" w14:paraId="000001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besteht kein Zweifel daran, dass Gewalt präventiv eingesetzt werden kann und sollte, aber auch kein Zweifel daran, dass dies das Vorrecht des Sicherheitsrates ist. Wie oben erwähnt, besagt Artikel 39, dass der Sicherheitsrat das Vorliegen einer "Bedrohung des Friedens" feststellen und dementsprechend Empfehlungen aussprechen oder entscheiden soll, welche Maßnahmen ergriffen werden sollen, um den internationalen Frieden und die Sicherheit wiederherzustellen oder aufrechtzuerhalten. Nichts in der Charta der Vereinten Nationen legt nahe, dass die Befugnis des Sicherheitsrates, präventive Maßnahmen zu ergreifen, auf unmittelbar bevorstehende Bedrohungen beschränkt ist. Die historische Bedeutung des Fehlens von präventiven Maßnahmen gegen Nazi-Deutschland als Ursache für den Zweiten Weltkrieg legt nahe, dass die präventive Macht des Sicherheitsrates viel weiter reichen sollte als die Macht einzelner Staaten, Maßnahmen als Selbstverteidigung gegen die Bedrohung eines bewaffneten Angriffs zu ergreifen.⁶⁰ Das Kollektivsicherheitssystem sollte das beste Mittel sein, um Bedrohungen des internationalen Friedens und der Sicherheit zu bekämpfen, da der Sicherheitsrat eine kollektive Institution ist, die die Interessen und Bedürfnisse der internationalen Gemeinschaft besser repräsentiert. Ein solches kollektives System kann auch die Fälle beseitigen, in denen ein einzelner Staat die Möglichkeit einer Bedrohung missbraucht oder sogar eine Bedrohung erfindet, um seine politischen oder wirtschaftlichen Interessen voranzutreiben.</w:t>
      </w:r>
    </w:p>
    <w:p w:rsidR="00000000" w:rsidDel="00000000" w:rsidP="00000000" w:rsidRDefault="00000000" w:rsidRPr="00000000" w14:paraId="000001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von den USA geführte Intervention im Irak im März 2003 war im Lichte der vorangegangenen Diskussion eindeutig rechtswidrig. Die Koalition hatte keine klare Autorisierung des Sicherheitsrats, um Gewalt anzuwenden, und es gab auch keine andere plausible Rechtfertigung für eine Invasion, nämlich Selbstverteidigung. Hatte der Irak jemanden angegriffen? Drohte ein bewaffneter Angriff jemandem unmittelbar bevorzustehen? Nein! Der Irak hatte nichts getan, was das Recht auf Selbstverteidigung ausgelöst hätte. Es gab lediglich Vorwürfe, dass der Irak Atomwaffen entwickelte und angeblich mit Terroristen, insbesondere mit Osama bin Laden und al-Qaida, zusammengearbeitet habe. Aber diese Vorwürfe wurden nicht überzeugend und öffentlich nachgewiesen. Darüber hinaus bedeutet der bloße Besitz von Massenvernichtungswaffen ohne eine Bedrohung durch ihren Einsatz nicht automatisch einen rechtswidrigen bewaffneten Angriff. Selbst wenn einem Staat der Erwerb solcher Waffen verboten oder er aufgefordert wird, sie zu zerstören, bedeutet die Verletzung einer Abrüstungsverpflichtung an sich keinen bewaffneten Angriff oder eine Situation, die einem bewaffneten Angriff gleichkommt. Wenn die Gründe für die Invasion des Irak begründet, legitim und im allgemeinen und gemeinsamen Interesse der internationalen Gemeinschaft gewesen wären, hätten die USA und ihre Verbündeten eine ordnungsgemäße Autorisierung des Sicherheitsrats erhalten. Die Mitglieder der Vereinten Nationen haben dem Sicherheitsrat die Hauptverantwortung für die Wahrung des internationalen Friedens und der Sicherheit übertragen.⁶¹ Staaten haben weder das Recht, die Verantwortung des Sicherheitsrats zu übernehmen, noch eine sekundäre Verantwortung individuell zu übernehmen.</w:t>
      </w:r>
    </w:p>
    <w:p w:rsidR="00000000" w:rsidDel="00000000" w:rsidP="00000000" w:rsidRDefault="00000000" w:rsidRPr="00000000" w14:paraId="000001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Schlussfolgerung</w:t>
      </w:r>
    </w:p>
    <w:p w:rsidR="00000000" w:rsidDel="00000000" w:rsidP="00000000" w:rsidRDefault="00000000" w:rsidRPr="00000000" w14:paraId="000001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Seit den ältesten Zeiten hat sich das internationale Rechtssystem mit einer wichtigen Frage beschäftigt: Wann ist der Einsatz von Gewalt legal? Die rechtliche Regulierung </w:t>
      </w:r>
    </w:p>
    <w:p w:rsidR="00000000" w:rsidDel="00000000" w:rsidP="00000000" w:rsidRDefault="00000000" w:rsidRPr="00000000" w14:paraId="000001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42</w:t>
      </w:r>
    </w:p>
    <w:p w:rsidR="00000000" w:rsidDel="00000000" w:rsidP="00000000" w:rsidRDefault="00000000" w:rsidRPr="00000000" w14:paraId="000001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 Gewalteinsatzes hat eine erhebliche Entwicklung durchgemacht. Sie begann mit der "gerechten Krieg"-Doktrin in der Antike, setzte sich fort mit der uneingeschränkten Freiheit, Gewalt anzuwenden, vom 17. bis zum 20. Jahrhundert und endete mit dem allgemeinen Verbot des Gewalteinsatzes in der Charta der Vereinten Nationen.</w:t>
      </w:r>
    </w:p>
    <w:p w:rsidR="00000000" w:rsidDel="00000000" w:rsidP="00000000" w:rsidRDefault="00000000" w:rsidRPr="00000000" w14:paraId="000001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letztere (das heißt, die Charta der Vereinten Nationen) erkennt zwei ausdrückliche Ausnahmen an, in denen Staaten rechtmäßig Gewalt anwenden dürfen, nämlich die individuelle und kollektive Selbstverteidigung sowie Maßnahmen zur Durchsetzung des Sicherheitsrats. Der Umfang der Selbstverteidigung hat sich als sehr schwierig zu bestimmen erwiesen, aber wir können dennoch gewisse Schlussfolgerungen ziehen. Erstens haben alle Staaten das Recht auf Selbstverteidigung gegen einen tatsächlichen bewaffneten Angriff. Zweitens können Staaten unter dem Völkerrecht eine begrenzte Rechtfertigung der vorbeugenden Selbstverteidigung gegen einen unmittelbar bevorstehenden bewaffneten Angriff von ausreichender Schwere haben. Die Argumente, dass die Charta der Vereinten Nationen die vorbeugende Selbstverteidigung erlaubt, sind nicht überzeugend. Drittens haben Staaten kein Recht auf präventive Selbstverteidigung gegen eine Bedrohung, die noch nicht eingetreten ist und die unsicher und zeitlich entfernt ist. Es ist ausschließlich die Verantwortung des Sicherheitsrats, mit den Bedrohungen des internationalen Friedens und der internationalen Sicherheit umzugehen; Staaten haben nicht das Recht, ihre eigene ergänzende oder parallele Verantwortung auszuüben. Viertens muss ein bewaffneter Angriff nicht von einem staatlichen Akteur ausgehen; ein nichtstaatlicher bewaffneter Angriff kann das Recht auf Selbstverteidigung auslösen, wenn ein solcher Angriff von ausreichender Schwere ist und die Beteiligung eines Staates von ausreichendem Ausmaß ist.</w:t>
      </w:r>
    </w:p>
    <w:p w:rsidR="00000000" w:rsidDel="00000000" w:rsidP="00000000" w:rsidRDefault="00000000" w:rsidRPr="00000000" w14:paraId="000001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Präambel der Charta der Vereinten Nationen.</w:t>
      </w:r>
    </w:p>
    <w:p w:rsidR="00000000" w:rsidDel="00000000" w:rsidP="00000000" w:rsidRDefault="00000000" w:rsidRPr="00000000" w14:paraId="000001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Im Folgenden beziehen sich alle Verweise auf Artikel, sofern nicht anders angegeben, auf die Charta der Vereinten Nationen.</w:t>
      </w:r>
    </w:p>
    <w:p w:rsidR="00000000" w:rsidDel="00000000" w:rsidP="00000000" w:rsidRDefault="00000000" w:rsidRPr="00000000" w14:paraId="000001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Louis Henkin, Völkerrecht: Politik, Werte und Funktionen, Dordrecht: Martinus Nijhoff Publisher, 1990, S. 146.</w:t>
      </w:r>
    </w:p>
    <w:p w:rsidR="00000000" w:rsidDel="00000000" w:rsidP="00000000" w:rsidRDefault="00000000" w:rsidRPr="00000000" w14:paraId="000001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Der Internationale Gerichtshof betrachtet das Verbot der Anwendung von Gewalt als "ein auffälliges Beispiel für eine Regel des Völkerrechts, die den Charakter von ius cogens hat". Militärische und paramilitärische Aktivitäten in und gegen Nicaragua (Urteilsverkündung), ICJ Reports, 1986, S. 3, Abs. 190.</w:t>
      </w:r>
    </w:p>
    <w:p w:rsidR="00000000" w:rsidDel="00000000" w:rsidP="00000000" w:rsidRDefault="00000000" w:rsidRPr="00000000" w14:paraId="000001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Artikel 53 der Wiener Vertragsrechtskonvention. Es ist jedoch wichtig zu betonen, dass die Definition im Kontext des Vertragsrechts gegeben wird und den Begriff durch die Wirkung dieser Normen als nicht aufhebbar durch einen Vertrag erklärt. Gleichzeitig wurde diese Definition jedoch auch auf das allgemeine Völkerrecht übertragen und außerhalb des Bereichs des Vertragsrechts verwendet.</w:t>
      </w:r>
    </w:p>
    <w:p w:rsidR="00000000" w:rsidDel="00000000" w:rsidP="00000000" w:rsidRDefault="00000000" w:rsidRPr="00000000" w14:paraId="000001EE">
      <w:pPr>
        <w:jc w:val="both"/>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1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Vgl. Barcelona Traction, Light and Power Company, Limited (zweite Phase), ICJ Reports, 1970, S. </w:t>
      </w: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Abs. 33-34.</w:t>
      </w:r>
    </w:p>
    <w:p w:rsidR="00000000" w:rsidDel="00000000" w:rsidP="00000000" w:rsidRDefault="00000000" w:rsidRPr="00000000" w14:paraId="000001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w:t>
      </w:r>
      <w:r w:rsidDel="00000000" w:rsidR="00000000" w:rsidRPr="00000000">
        <w:rPr>
          <w:rFonts w:ascii="Times New Roman" w:cs="Times New Roman" w:eastAsia="Times New Roman" w:hAnsi="Times New Roman"/>
          <w:rtl w:val="0"/>
        </w:rPr>
        <w:t xml:space="preserve"> Siehe z.B. Rudolf Bernnhardt, "Customary International Law" in Rudolf Bernnhardt, Encyclopedia of Public International Law, Band I, Amsterdam: North-Holland, 1992, S. 898-905, für weitere Informationen zum Gewohnheitsrecht. Das Gewohnheitsrecht besteht aus tatsächlichem Staatenverhalten und dem Glauben, dass ein solches Verhalten Recht ist.</w:t>
      </w:r>
    </w:p>
    <w:p w:rsidR="00000000" w:rsidDel="00000000" w:rsidP="00000000" w:rsidRDefault="00000000" w:rsidRPr="00000000" w14:paraId="000001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Siehe auch Artikel 48 der Entwurfsartikel über die Verantwortlichkeit von Staaten für völkerrechtswidriges Verhalten, UN-Dok. A/RES/56/83 (2002).</w:t>
      </w:r>
    </w:p>
    <w:p w:rsidR="00000000" w:rsidDel="00000000" w:rsidP="00000000" w:rsidRDefault="00000000" w:rsidRPr="00000000" w14:paraId="000001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rtl w:val="0"/>
        </w:rPr>
        <w:t xml:space="preserve"> Zum Beispiel lautet Artikel 1 des Allgemeinen Vertrags zur Ächtung des Krieges (1928), auch bekannt als Kellogg-Briand-Pakt, dass die Staaten "die Anwendung von Krieg für die Lösung internationaler Streitigkeiten verurteilen und ihn als Instrument nationaler Politik in ihren Beziehungen zueinander aufgeben".</w:t>
      </w:r>
    </w:p>
    <w:p w:rsidR="00000000" w:rsidDel="00000000" w:rsidP="00000000" w:rsidRDefault="00000000" w:rsidRPr="00000000" w14:paraId="000001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10</w:t>
      </w:r>
      <w:r w:rsidDel="00000000" w:rsidR="00000000" w:rsidRPr="00000000">
        <w:rPr>
          <w:rFonts w:ascii="Times New Roman" w:cs="Times New Roman" w:eastAsia="Times New Roman" w:hAnsi="Times New Roman"/>
          <w:rtl w:val="0"/>
        </w:rPr>
        <w:t xml:space="preserve"> Tatsächlich wurde der brasilianische Vorschlag, das Verbot der Anwendung von Gewalt auf wirtschaftliche Nötigung auszudehnen, von anderen Staaten ausdrücklich abgelehnt. Darüber hinaus unterstützen auch andere Bestimmungen der Charta der Vereinten Nationen, wie Absatz 7 der Präambel und Artikel 44, die Position, dass "Gewalt" "Militärgewalt" bedeutet. Die Erklärung über freundschaftliche Beziehungen bestätigt, dass politische und wirtschaftliche Nötigung nicht durch das Verbot der Anwendung von Gewalt, sondern durch das allgemeine Prinzip der Nichteinmischung abgedeckt sind. UN-Dok. A/RES/3314 (XXIX) (1974).</w:t>
      </w:r>
    </w:p>
    <w:p w:rsidR="00000000" w:rsidDel="00000000" w:rsidP="00000000" w:rsidRDefault="00000000" w:rsidRPr="00000000" w14:paraId="000001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11</w:t>
      </w:r>
      <w:r w:rsidDel="00000000" w:rsidR="00000000" w:rsidRPr="00000000">
        <w:rPr>
          <w:rFonts w:ascii="Times New Roman" w:cs="Times New Roman" w:eastAsia="Times New Roman" w:hAnsi="Times New Roman"/>
          <w:rtl w:val="0"/>
        </w:rPr>
        <w:t xml:space="preserve"> Ian Brownlie, International Law and the Use of Force by States, Oxford: Clarendon Press, 1963, S. 268.</w:t>
      </w:r>
    </w:p>
    <w:p w:rsidR="00000000" w:rsidDel="00000000" w:rsidP="00000000" w:rsidRDefault="00000000" w:rsidRPr="00000000" w14:paraId="000001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12 </w:t>
      </w:r>
      <w:r w:rsidDel="00000000" w:rsidR="00000000" w:rsidRPr="00000000">
        <w:rPr>
          <w:rFonts w:ascii="Times New Roman" w:cs="Times New Roman" w:eastAsia="Times New Roman" w:hAnsi="Times New Roman"/>
          <w:rtl w:val="0"/>
        </w:rPr>
        <w:t xml:space="preserve">Corfu-Kanal, IGH-Gutachten, 1949, S. 4.</w:t>
      </w:r>
    </w:p>
    <w:p w:rsidR="00000000" w:rsidDel="00000000" w:rsidP="00000000" w:rsidRDefault="00000000" w:rsidRPr="00000000" w14:paraId="000001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 Albrecht Randelzhofer, "Artikel 2 (4)" in Bruno Simma, Die Charta der Vereinten Nationen: Ein Kommentar, zweite Ausgabe, Oxford: Oxford University Press, 2002, S. 123.</w:t>
      </w:r>
    </w:p>
    <w:p w:rsidR="00000000" w:rsidDel="00000000" w:rsidP="00000000" w:rsidRDefault="00000000" w:rsidRPr="00000000" w14:paraId="000001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14 </w:t>
      </w:r>
      <w:r w:rsidDel="00000000" w:rsidR="00000000" w:rsidRPr="00000000">
        <w:rPr>
          <w:rFonts w:ascii="Times New Roman" w:cs="Times New Roman" w:eastAsia="Times New Roman" w:hAnsi="Times New Roman"/>
          <w:rtl w:val="0"/>
        </w:rPr>
        <w:t xml:space="preserve">Artikel 1 Absatz 1 der Charta der Vereinten Nationen.</w:t>
      </w:r>
    </w:p>
    <w:p w:rsidR="00000000" w:rsidDel="00000000" w:rsidP="00000000" w:rsidRDefault="00000000" w:rsidRPr="00000000" w14:paraId="000002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15</w:t>
      </w:r>
      <w:r w:rsidDel="00000000" w:rsidR="00000000" w:rsidRPr="00000000">
        <w:rPr>
          <w:rFonts w:ascii="Times New Roman" w:cs="Times New Roman" w:eastAsia="Times New Roman" w:hAnsi="Times New Roman"/>
          <w:rtl w:val="0"/>
        </w:rPr>
        <w:t xml:space="preserve"> Louis Henkin, "Use of Force: Law and U.S. Policy" in Louis Henkin et al, Right v. Might: International Law and the Use of Force, New York: Council on Foreign Relations Press, 1991, S. 38-39.</w:t>
      </w:r>
    </w:p>
    <w:p w:rsidR="00000000" w:rsidDel="00000000" w:rsidP="00000000" w:rsidRDefault="00000000" w:rsidRPr="00000000" w14:paraId="000002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16 </w:t>
      </w:r>
      <w:r w:rsidDel="00000000" w:rsidR="00000000" w:rsidRPr="00000000">
        <w:rPr>
          <w:rFonts w:ascii="Times New Roman" w:cs="Times New Roman" w:eastAsia="Times New Roman" w:hAnsi="Times New Roman"/>
          <w:rtl w:val="0"/>
        </w:rPr>
        <w:t xml:space="preserve">Artikel 51 der Charta der Vereinten Nationen.</w:t>
      </w:r>
    </w:p>
    <w:p w:rsidR="00000000" w:rsidDel="00000000" w:rsidP="00000000" w:rsidRDefault="00000000" w:rsidRPr="00000000" w14:paraId="000002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17</w:t>
      </w:r>
      <w:r w:rsidDel="00000000" w:rsidR="00000000" w:rsidRPr="00000000">
        <w:rPr>
          <w:rFonts w:ascii="Times New Roman" w:cs="Times New Roman" w:eastAsia="Times New Roman" w:hAnsi="Times New Roman"/>
          <w:rtl w:val="0"/>
        </w:rPr>
        <w:t xml:space="preserve"> Vgl. Antonio Cassese, International Law, Oxford: Oxford University Press, 2001, S. 305. Der britische Kommentar zur Charta besagt, dass "es Aufgabe des Sicherheitsrats ist zu entscheiden, ob diese Maßnahmen ergriffen wurden und ob sie für den Zweck ausreichend sind", aber gleichzeitig "könnte im Falle des Scheiterns des Sicherheitsrats, Maßnahmen zu ergreifen, oder wenn solche Maßnahmen als eindeutig unzureichend angesehen werden, das Recht auf Selbstverteidigung von jedem Mitglied oder einer Gruppe von Mitgliedern als Rechtfertigung für alle Maßnahmen, die sie für angemessen halten, in Anspruch genommen werden". Misc. 9 (1945), Cmd. 6666, S. 9.</w:t>
      </w:r>
    </w:p>
    <w:p w:rsidR="00000000" w:rsidDel="00000000" w:rsidP="00000000" w:rsidRDefault="00000000" w:rsidRPr="00000000" w14:paraId="000002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18</w:t>
      </w:r>
      <w:r w:rsidDel="00000000" w:rsidR="00000000" w:rsidRPr="00000000">
        <w:rPr>
          <w:rFonts w:ascii="Times New Roman" w:cs="Times New Roman" w:eastAsia="Times New Roman" w:hAnsi="Times New Roman"/>
          <w:rtl w:val="0"/>
        </w:rPr>
        <w:t xml:space="preserve"> Artikel 24 Absatz 1 der Charta der Vereinten Nationen.</w:t>
      </w:r>
    </w:p>
    <w:p w:rsidR="00000000" w:rsidDel="00000000" w:rsidP="00000000" w:rsidRDefault="00000000" w:rsidRPr="00000000" w14:paraId="000002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19</w:t>
      </w:r>
      <w:r w:rsidDel="00000000" w:rsidR="00000000" w:rsidRPr="00000000">
        <w:rPr>
          <w:rFonts w:ascii="Times New Roman" w:cs="Times New Roman" w:eastAsia="Times New Roman" w:hAnsi="Times New Roman"/>
          <w:rtl w:val="0"/>
        </w:rPr>
        <w:t xml:space="preserve"> Ibid. Die Nichterfüllung der Verpflichtungen, die durch die Resolutionen des Sicherheitsrats auferlegt werden, kann wie bei allen anderen internationalen Verpflichtungen zu einer Staatenverantwortlichkeit führen.</w:t>
      </w:r>
    </w:p>
    <w:p w:rsidR="00000000" w:rsidDel="00000000" w:rsidP="00000000" w:rsidRDefault="00000000" w:rsidRPr="00000000" w14:paraId="000002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20</w:t>
      </w:r>
      <w:r w:rsidDel="00000000" w:rsidR="00000000" w:rsidRPr="00000000">
        <w:rPr>
          <w:rFonts w:ascii="Times New Roman" w:cs="Times New Roman" w:eastAsia="Times New Roman" w:hAnsi="Times New Roman"/>
          <w:rtl w:val="0"/>
        </w:rPr>
        <w:t xml:space="preserve"> Artikel 41 der Charta der Vereinten Nationen.</w:t>
      </w:r>
    </w:p>
    <w:p w:rsidR="00000000" w:rsidDel="00000000" w:rsidP="00000000" w:rsidRDefault="00000000" w:rsidRPr="00000000" w14:paraId="000002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21</w:t>
      </w:r>
      <w:r w:rsidDel="00000000" w:rsidR="00000000" w:rsidRPr="00000000">
        <w:rPr>
          <w:rFonts w:ascii="Times New Roman" w:cs="Times New Roman" w:eastAsia="Times New Roman" w:hAnsi="Times New Roman"/>
          <w:rtl w:val="0"/>
        </w:rPr>
        <w:t xml:space="preserve"> Artikel 42 der Charta der Vereinten Nationen. Siehe beispielsweise UN-Dok. S/RES/678 (1990), mit dem der Sicherheitsrat allen Mitgliedern der Vereinten Nationen "alle notwendigen Mittel" genehmigte, um die irakische Besetzung Kuwaits zu beenden und den internationalen Frieden und die Sicherheit wiederherzustellen.</w:t>
      </w:r>
    </w:p>
    <w:p w:rsidR="00000000" w:rsidDel="00000000" w:rsidP="00000000" w:rsidRDefault="00000000" w:rsidRPr="00000000" w14:paraId="000002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22 </w:t>
      </w:r>
      <w:r w:rsidDel="00000000" w:rsidR="00000000" w:rsidRPr="00000000">
        <w:rPr>
          <w:rFonts w:ascii="Times New Roman" w:cs="Times New Roman" w:eastAsia="Times New Roman" w:hAnsi="Times New Roman"/>
          <w:rtl w:val="0"/>
        </w:rPr>
        <w:t xml:space="preserve">Tatsächlich haben jedoch das Vereinigte Königreich, die Vereinigten Staaten und ihre Verbündeten argumentiert, dass, obwohl es keine explizite Autorisierung des Sicherheitsrates zur Anwendung von Gewalt gegen den Irak im Jahr 2003 gab, eine solche Autorisierung gefunden werden kann, wenn man die Resolutionen 678, 687 und 1441 des Sicherheitsrates zusammen interpretiert. Ein solcher Ansatz ist höchst zweifelhaft, da keine Auslegung im guten Glauben zu einer Autorisierung zur Anwendung von Gewalt zwölf Jahre nach dem Ersten Irak-Krieg führen kann und die Mitglieder des Sicherheitsrates bei der Verabschiedung der Resolution 1441 versicherten, dass sie keine automatische oder versteckte Auslösung zur Autorisierung der Anwendung von Gewalt gegen den Irak beabsichtigten.</w:t>
      </w:r>
    </w:p>
    <w:p w:rsidR="00000000" w:rsidDel="00000000" w:rsidP="00000000" w:rsidRDefault="00000000" w:rsidRPr="00000000" w14:paraId="000002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23 </w:t>
      </w:r>
      <w:r w:rsidDel="00000000" w:rsidR="00000000" w:rsidRPr="00000000">
        <w:rPr>
          <w:rFonts w:ascii="Times New Roman" w:cs="Times New Roman" w:eastAsia="Times New Roman" w:hAnsi="Times New Roman"/>
          <w:rtl w:val="0"/>
        </w:rPr>
        <w:t xml:space="preserve">Artikel 31 Absatz 1 der Wiener Vertragsrechtskonvention. Es ist zwar richtig, dass die Konvention offiziell nicht auf die Auslegung der Charta der Vereinten Nationen anwendbar ist, da letztere vor dem Inkrafttreten der Konvention verabschiedet wurde, aber dieselbe Regel gilt im Gewohnheitsrecht, das definitiv Anwendung findet.</w:t>
      </w:r>
    </w:p>
    <w:p w:rsidR="00000000" w:rsidDel="00000000" w:rsidP="00000000" w:rsidRDefault="00000000" w:rsidRPr="00000000" w14:paraId="00000212">
      <w:pPr>
        <w:jc w:val="both"/>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2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24 </w:t>
      </w:r>
      <w:r w:rsidDel="00000000" w:rsidR="00000000" w:rsidRPr="00000000">
        <w:rPr>
          <w:rFonts w:ascii="Times New Roman" w:cs="Times New Roman" w:eastAsia="Times New Roman" w:hAnsi="Times New Roman"/>
          <w:rtl w:val="0"/>
        </w:rPr>
        <w:t xml:space="preserve">Michael Bothe, Terrorismus und die Rechtmäßigkeit präventiver Gewaltanwendung, in: European Journal of International Law, Bd. 14, 2003, S. 229.</w:t>
      </w:r>
    </w:p>
    <w:p w:rsidR="00000000" w:rsidDel="00000000" w:rsidP="00000000" w:rsidRDefault="00000000" w:rsidRPr="00000000" w14:paraId="000002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25 </w:t>
      </w:r>
      <w:r w:rsidDel="00000000" w:rsidR="00000000" w:rsidRPr="00000000">
        <w:rPr>
          <w:rFonts w:ascii="Times New Roman" w:cs="Times New Roman" w:eastAsia="Times New Roman" w:hAnsi="Times New Roman"/>
          <w:rtl w:val="0"/>
        </w:rPr>
        <w:t xml:space="preserve">Siehe zum Beispiel Yoram Dinstein, Krieg, Aggression und Selbstverteidigung, Dritte Auflage, Cambridge: Cambridge University Press, 2001, S. 165-169; Albrecht Randelzhofer, "Artikel 51" in Bruno Simma, supra note xiii, S. 803.</w:t>
      </w:r>
    </w:p>
    <w:p w:rsidR="00000000" w:rsidDel="00000000" w:rsidP="00000000" w:rsidRDefault="00000000" w:rsidRPr="00000000" w14:paraId="000002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26</w:t>
      </w:r>
      <w:r w:rsidDel="00000000" w:rsidR="00000000" w:rsidRPr="00000000">
        <w:rPr>
          <w:rFonts w:ascii="Times New Roman" w:cs="Times New Roman" w:eastAsia="Times New Roman" w:hAnsi="Times New Roman"/>
          <w:rtl w:val="0"/>
        </w:rPr>
        <w:t xml:space="preserve"> Artikel 2 Absatz 4 fordert, dass alle Mitglieder der Vereinten Nationen von der Androhung oder Anwendung von Gewalt Abstand nehmen, und nach Artikel 4 Absatz 1 können nur Staaten Mitglieder der Vereinten Nationen werden.</w:t>
      </w:r>
    </w:p>
    <w:p w:rsidR="00000000" w:rsidDel="00000000" w:rsidP="00000000" w:rsidRDefault="00000000" w:rsidRPr="00000000" w14:paraId="000002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27</w:t>
      </w:r>
      <w:r w:rsidDel="00000000" w:rsidR="00000000" w:rsidRPr="00000000">
        <w:rPr>
          <w:rFonts w:ascii="Times New Roman" w:cs="Times New Roman" w:eastAsia="Times New Roman" w:hAnsi="Times New Roman"/>
          <w:rtl w:val="0"/>
        </w:rPr>
        <w:t xml:space="preserve"> Artikel 3 Buchstabe g, UN-Dok. A/RES/3314 (XXIX) (1974).</w:t>
      </w:r>
    </w:p>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28</w:t>
      </w:r>
      <w:r w:rsidDel="00000000" w:rsidR="00000000" w:rsidRPr="00000000">
        <w:rPr>
          <w:rFonts w:ascii="Times New Roman" w:cs="Times New Roman" w:eastAsia="Times New Roman" w:hAnsi="Times New Roman"/>
          <w:rtl w:val="0"/>
        </w:rPr>
        <w:t xml:space="preserve"> Militär- und paramilitärische Maßnahmen in und gegen Nicaragua (Merits), supra note iv, Absatz 195.</w:t>
      </w:r>
    </w:p>
    <w:p w:rsidR="00000000" w:rsidDel="00000000" w:rsidP="00000000" w:rsidRDefault="00000000" w:rsidRPr="00000000" w14:paraId="000002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29</w:t>
      </w:r>
      <w:r w:rsidDel="00000000" w:rsidR="00000000" w:rsidRPr="00000000">
        <w:rPr>
          <w:rFonts w:ascii="Times New Roman" w:cs="Times New Roman" w:eastAsia="Times New Roman" w:hAnsi="Times New Roman"/>
          <w:rtl w:val="0"/>
        </w:rPr>
        <w:t xml:space="preserve"> Michael Bothe, supra note xxiv, S. 230.</w:t>
      </w:r>
    </w:p>
    <w:p w:rsidR="00000000" w:rsidDel="00000000" w:rsidP="00000000" w:rsidRDefault="00000000" w:rsidRPr="00000000" w14:paraId="000002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30</w:t>
      </w:r>
      <w:r w:rsidDel="00000000" w:rsidR="00000000" w:rsidRPr="00000000">
        <w:rPr>
          <w:rFonts w:ascii="Times New Roman" w:cs="Times New Roman" w:eastAsia="Times New Roman" w:hAnsi="Times New Roman"/>
          <w:rtl w:val="0"/>
        </w:rPr>
        <w:t xml:space="preserve"> Weitere Informationen finden Sie in Kapitel 2.2.1.</w:t>
      </w:r>
    </w:p>
    <w:p w:rsidR="00000000" w:rsidDel="00000000" w:rsidP="00000000" w:rsidRDefault="00000000" w:rsidRPr="00000000" w14:paraId="000002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31</w:t>
      </w:r>
      <w:r w:rsidDel="00000000" w:rsidR="00000000" w:rsidRPr="00000000">
        <w:rPr>
          <w:rFonts w:ascii="Times New Roman" w:cs="Times New Roman" w:eastAsia="Times New Roman" w:hAnsi="Times New Roman"/>
          <w:rtl w:val="0"/>
        </w:rPr>
        <w:t xml:space="preserve"> Christopher Greenwood, "Völkerrecht und die präventive Anwendung von Gewalt: Afghanistan, Al-Qaida und der Irak" in San Diego International Law Journal, Bd. 4, 2003, S. 17.</w:t>
      </w:r>
    </w:p>
    <w:p w:rsidR="00000000" w:rsidDel="00000000" w:rsidP="00000000" w:rsidRDefault="00000000" w:rsidRPr="00000000" w14:paraId="000002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32 </w:t>
      </w:r>
      <w:r w:rsidDel="00000000" w:rsidR="00000000" w:rsidRPr="00000000">
        <w:rPr>
          <w:rFonts w:ascii="Times New Roman" w:cs="Times New Roman" w:eastAsia="Times New Roman" w:hAnsi="Times New Roman"/>
          <w:rtl w:val="0"/>
        </w:rPr>
        <w:t xml:space="preserve">UN-Dok. S/RES/1368 (2001); UN-Dok. S/RES/1373 (2001).</w:t>
      </w:r>
    </w:p>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33 </w:t>
      </w:r>
      <w:r w:rsidDel="00000000" w:rsidR="00000000" w:rsidRPr="00000000">
        <w:rPr>
          <w:rFonts w:ascii="Times New Roman" w:cs="Times New Roman" w:eastAsia="Times New Roman" w:hAnsi="Times New Roman"/>
          <w:rtl w:val="0"/>
        </w:rPr>
        <w:t xml:space="preserve">Pressemitteilung (2001) 124, verfügbar unter http://www.nato.int/docu/pr/2001/p01-124e.htm (30. November 2003).</w:t>
      </w:r>
    </w:p>
    <w:p w:rsidR="00000000" w:rsidDel="00000000" w:rsidP="00000000" w:rsidRDefault="00000000" w:rsidRPr="00000000" w14:paraId="000002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34 </w:t>
      </w:r>
      <w:r w:rsidDel="00000000" w:rsidR="00000000" w:rsidRPr="00000000">
        <w:rPr>
          <w:rFonts w:ascii="Times New Roman" w:cs="Times New Roman" w:eastAsia="Times New Roman" w:hAnsi="Times New Roman"/>
          <w:rtl w:val="0"/>
        </w:rPr>
        <w:t xml:space="preserve">Die Mehrheit der Staaten und Rechtsautoren unterstützt diese Position. Zum Beispiel hat Louis Henkin geschrieben, dass "die faire Auslegung von Artikel 51 überzeugend ist, dass die Charta beabsichtigte, den einseitigen Einsatz von Gewalt nur in einem sehr engen und klaren Umstand, in der Selbstverteidigung, zuzulassen, wenn ein bewaffneter Angriff stattfindet". Louis Henkin, Nations Behave: Law and Foreign Policy, Second Edition, New York: Columbia University Press, 1979, S. 295. Ian Brownlie hat festgestellt, dass "die Ansicht, dass Artikel 51 keine präventiven Maßnahmen erlaubt, korrekt ist" und "Argumente dagegen sind entweder unüberzeugend oder basieren auf unklaren Beweisstücken". Ian Brownlie, supra Anmerkung xi, S. 278. Phillip C. Jessup hat erklärt, dass "Artikel 51 die Handlungsfreiheit, die Staaten nach dem traditionellen Recht hatten, definitiv einschränkt" und dass unter der Charta alarmierende militärische Vorbereitungen eines Nachbarstaates eine Verweisung an den Sicherheitsrat rechtfertigen würden, jedoch keinen Einsatz von präventiver Gewalt durch den Staat, der sich bedroht fühlt. Phillip C. Jessup, A Modern Law of Nations, New York: Macmillan, 1948, S. 166.</w:t>
      </w:r>
    </w:p>
    <w:p w:rsidR="00000000" w:rsidDel="00000000" w:rsidP="00000000" w:rsidRDefault="00000000" w:rsidRPr="00000000" w14:paraId="000002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35</w:t>
      </w:r>
      <w:r w:rsidDel="00000000" w:rsidR="00000000" w:rsidRPr="00000000">
        <w:rPr>
          <w:rFonts w:ascii="Times New Roman" w:cs="Times New Roman" w:eastAsia="Times New Roman" w:hAnsi="Times New Roman"/>
          <w:rtl w:val="0"/>
        </w:rPr>
        <w:t xml:space="preserve"> Albrecht Randelzhofer, supra Anmerkung xxv, S. 804.</w:t>
      </w:r>
    </w:p>
    <w:p w:rsidR="00000000" w:rsidDel="00000000" w:rsidP="00000000" w:rsidRDefault="00000000" w:rsidRPr="00000000" w14:paraId="000002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36</w:t>
      </w:r>
      <w:r w:rsidDel="00000000" w:rsidR="00000000" w:rsidRPr="00000000">
        <w:rPr>
          <w:rFonts w:ascii="Times New Roman" w:cs="Times New Roman" w:eastAsia="Times New Roman" w:hAnsi="Times New Roman"/>
          <w:rtl w:val="0"/>
        </w:rPr>
        <w:t xml:space="preserve"> Michael J. Glennon, "The Fog of Law: SelfDefense, Inherence, and Incoherence in Article 51 of the United Nations Charter" in Harvard Journal of Law &amp; Public Policy, Vol. 25, 2002, S. 546.</w:t>
      </w:r>
    </w:p>
    <w:p w:rsidR="00000000" w:rsidDel="00000000" w:rsidP="00000000" w:rsidRDefault="00000000" w:rsidRPr="00000000" w14:paraId="000002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37 </w:t>
      </w:r>
      <w:r w:rsidDel="00000000" w:rsidR="00000000" w:rsidRPr="00000000">
        <w:rPr>
          <w:rFonts w:ascii="Times New Roman" w:cs="Times New Roman" w:eastAsia="Times New Roman" w:hAnsi="Times New Roman"/>
          <w:rtl w:val="0"/>
        </w:rPr>
        <w:t xml:space="preserve">Ian Brownlie, supra Anmerkung xi, S. 278.</w:t>
      </w:r>
    </w:p>
    <w:p w:rsidR="00000000" w:rsidDel="00000000" w:rsidP="00000000" w:rsidRDefault="00000000" w:rsidRPr="00000000" w14:paraId="000002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38</w:t>
      </w:r>
      <w:r w:rsidDel="00000000" w:rsidR="00000000" w:rsidRPr="00000000">
        <w:rPr>
          <w:rFonts w:ascii="Times New Roman" w:cs="Times New Roman" w:eastAsia="Times New Roman" w:hAnsi="Times New Roman"/>
          <w:rtl w:val="0"/>
        </w:rPr>
        <w:t xml:space="preserve"> Siehe BFSP Vol. 26, 1937-1938, S. 1372-1377; BFSP Vol. 29, 1840-1841, S. 1126-1142; BFSP Vol. </w:t>
      </w:r>
      <w:r w:rsidDel="00000000" w:rsidR="00000000" w:rsidRPr="00000000">
        <w:rPr>
          <w:rFonts w:ascii="Times New Roman" w:cs="Times New Roman" w:eastAsia="Times New Roman" w:hAnsi="Times New Roman"/>
          <w:vertAlign w:val="superscript"/>
          <w:rtl w:val="0"/>
        </w:rPr>
        <w:t xml:space="preserve">30</w:t>
      </w:r>
      <w:r w:rsidDel="00000000" w:rsidR="00000000" w:rsidRPr="00000000">
        <w:rPr>
          <w:rFonts w:ascii="Times New Roman" w:cs="Times New Roman" w:eastAsia="Times New Roman" w:hAnsi="Times New Roman"/>
          <w:rtl w:val="0"/>
        </w:rPr>
        <w:t xml:space="preserve">, 1841-1842, S. 193-202 für die anschließende Korrespondenz zwischen dem Vereinigten Königreich und den Vereinigten Staaten.</w:t>
      </w:r>
    </w:p>
    <w:p w:rsidR="00000000" w:rsidDel="00000000" w:rsidP="00000000" w:rsidRDefault="00000000" w:rsidRPr="00000000" w14:paraId="000002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39</w:t>
      </w:r>
      <w:r w:rsidDel="00000000" w:rsidR="00000000" w:rsidRPr="00000000">
        <w:rPr>
          <w:rFonts w:ascii="Times New Roman" w:cs="Times New Roman" w:eastAsia="Times New Roman" w:hAnsi="Times New Roman"/>
          <w:rtl w:val="0"/>
        </w:rPr>
        <w:t xml:space="preserve"> Warner Meng, "The Caroline" in Rudolf Bernnhardt, supra Anmerkung vii, S. 537-538.</w:t>
      </w:r>
    </w:p>
    <w:p w:rsidR="00000000" w:rsidDel="00000000" w:rsidP="00000000" w:rsidRDefault="00000000" w:rsidRPr="00000000" w14:paraId="000002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40</w:t>
      </w:r>
      <w:r w:rsidDel="00000000" w:rsidR="00000000" w:rsidRPr="00000000">
        <w:rPr>
          <w:rFonts w:ascii="Times New Roman" w:cs="Times New Roman" w:eastAsia="Times New Roman" w:hAnsi="Times New Roman"/>
          <w:rtl w:val="0"/>
        </w:rPr>
        <w:t xml:space="preserve"> BFSP Vol. 29, 1840-1841, S. 1138.</w:t>
      </w:r>
    </w:p>
    <w:p w:rsidR="00000000" w:rsidDel="00000000" w:rsidP="00000000" w:rsidRDefault="00000000" w:rsidRPr="00000000" w14:paraId="000002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41</w:t>
      </w:r>
      <w:r w:rsidDel="00000000" w:rsidR="00000000" w:rsidRPr="00000000">
        <w:rPr>
          <w:rFonts w:ascii="Times New Roman" w:cs="Times New Roman" w:eastAsia="Times New Roman" w:hAnsi="Times New Roman"/>
          <w:rtl w:val="0"/>
        </w:rPr>
        <w:t xml:space="preserve"> Es ist möglich zu argumentieren, dass die Anwendung der Webster-Formel durch die Internationalen Militärtribunale in Nürnberg und Tokio nicht beweist, dass das Recht der präventiven Selbstverteidigung nach der Gründung der Vereinten Nationen noch lebendig war. Die Tribunale mussten einfach das übliche Völkerrecht anwenden, das der Gründung der Vereinten Nationen vorausging, weil sie Staatenhandlungen berücksichtigten, die ebenfalls vor der Gründung der Vereinten Nationen stattfanden.</w:t>
      </w:r>
    </w:p>
    <w:p w:rsidR="00000000" w:rsidDel="00000000" w:rsidP="00000000" w:rsidRDefault="00000000" w:rsidRPr="00000000" w14:paraId="000002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42</w:t>
      </w:r>
      <w:r w:rsidDel="00000000" w:rsidR="00000000" w:rsidRPr="00000000">
        <w:rPr>
          <w:rFonts w:ascii="Times New Roman" w:cs="Times New Roman" w:eastAsia="Times New Roman" w:hAnsi="Times New Roman"/>
          <w:rtl w:val="0"/>
        </w:rPr>
        <w:t xml:space="preserve"> Yoram Dinstein, supra Anm. xxv, S. 163-164.</w:t>
      </w:r>
    </w:p>
    <w:p w:rsidR="00000000" w:rsidDel="00000000" w:rsidP="00000000" w:rsidRDefault="00000000" w:rsidRPr="00000000" w14:paraId="000002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43</w:t>
      </w:r>
      <w:r w:rsidDel="00000000" w:rsidR="00000000" w:rsidRPr="00000000">
        <w:rPr>
          <w:rFonts w:ascii="Times New Roman" w:cs="Times New Roman" w:eastAsia="Times New Roman" w:hAnsi="Times New Roman"/>
          <w:rtl w:val="0"/>
        </w:rPr>
        <w:t xml:space="preserve"> Ian Brownlie, supra Anm. xi, S. 274.</w:t>
      </w:r>
    </w:p>
    <w:p w:rsidR="00000000" w:rsidDel="00000000" w:rsidP="00000000" w:rsidRDefault="00000000" w:rsidRPr="00000000" w14:paraId="000002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44</w:t>
      </w:r>
      <w:r w:rsidDel="00000000" w:rsidR="00000000" w:rsidRPr="00000000">
        <w:rPr>
          <w:rFonts w:ascii="Times New Roman" w:cs="Times New Roman" w:eastAsia="Times New Roman" w:hAnsi="Times New Roman"/>
          <w:rtl w:val="0"/>
        </w:rPr>
        <w:t xml:space="preserve"> Der IGH hat bestätigt, dass das Völkergewohnheitsrecht bezüglich der Selbstverteidigung neben dem Vertrag, also Artikel 51, weiterhin besteht, aber den tatsächlichen Inhalt nicht spezifiziert hat. Militärische und paramilitärische Tätigkeiten in und gegen Nicaragua (Merits), supra Anm. iv, Absatz 176.</w:t>
      </w:r>
    </w:p>
    <w:p w:rsidR="00000000" w:rsidDel="00000000" w:rsidP="00000000" w:rsidRDefault="00000000" w:rsidRPr="00000000" w14:paraId="000002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45</w:t>
      </w:r>
      <w:r w:rsidDel="00000000" w:rsidR="00000000" w:rsidRPr="00000000">
        <w:rPr>
          <w:rFonts w:ascii="Times New Roman" w:cs="Times New Roman" w:eastAsia="Times New Roman" w:hAnsi="Times New Roman"/>
          <w:rtl w:val="0"/>
        </w:rPr>
        <w:t xml:space="preserve"> Mary Ellen O'Connell, Der Mythos der präemptiven Selbstverteidigung, ASIL Presidential Task Force on Terrorism Paper, 2002, S. 13.</w:t>
      </w:r>
    </w:p>
    <w:p w:rsidR="00000000" w:rsidDel="00000000" w:rsidP="00000000" w:rsidRDefault="00000000" w:rsidRPr="00000000" w14:paraId="000002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46</w:t>
      </w:r>
      <w:r w:rsidDel="00000000" w:rsidR="00000000" w:rsidRPr="00000000">
        <w:rPr>
          <w:rFonts w:ascii="Times New Roman" w:cs="Times New Roman" w:eastAsia="Times New Roman" w:hAnsi="Times New Roman"/>
          <w:rtl w:val="0"/>
        </w:rPr>
        <w:t xml:space="preserve"> Siehe supra Anm. iv.</w:t>
      </w:r>
    </w:p>
    <w:p w:rsidR="00000000" w:rsidDel="00000000" w:rsidP="00000000" w:rsidRDefault="00000000" w:rsidRPr="00000000" w14:paraId="000002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47 </w:t>
      </w:r>
      <w:r w:rsidDel="00000000" w:rsidR="00000000" w:rsidRPr="00000000">
        <w:rPr>
          <w:rFonts w:ascii="Times New Roman" w:cs="Times New Roman" w:eastAsia="Times New Roman" w:hAnsi="Times New Roman"/>
          <w:rtl w:val="0"/>
        </w:rPr>
        <w:t xml:space="preserve">Siehe zum Beispiel Stanimir A. Alexandrov, Selbstverteidigung gegen den Einsatz von Gewalt im Völkerrecht, Den Haag: Kluwer Law International, 1996, S. 153-154.</w:t>
      </w:r>
    </w:p>
    <w:p w:rsidR="00000000" w:rsidDel="00000000" w:rsidP="00000000" w:rsidRDefault="00000000" w:rsidRPr="00000000" w14:paraId="000002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48</w:t>
      </w:r>
      <w:r w:rsidDel="00000000" w:rsidR="00000000" w:rsidRPr="00000000">
        <w:rPr>
          <w:rFonts w:ascii="Times New Roman" w:cs="Times New Roman" w:eastAsia="Times New Roman" w:hAnsi="Times New Roman"/>
          <w:rtl w:val="0"/>
        </w:rPr>
        <w:t xml:space="preserve"> Anthony Clark Arend, Robert J. Beck, Völkerrecht und der Einsatz von Gewalt: Jenseits des UN-Charta-Paradigmas, London: Routledge, 1993, S. 77.</w:t>
      </w:r>
    </w:p>
    <w:p w:rsidR="00000000" w:rsidDel="00000000" w:rsidP="00000000" w:rsidRDefault="00000000" w:rsidRPr="00000000" w14:paraId="000002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49</w:t>
      </w:r>
      <w:r w:rsidDel="00000000" w:rsidR="00000000" w:rsidRPr="00000000">
        <w:rPr>
          <w:rFonts w:ascii="Times New Roman" w:cs="Times New Roman" w:eastAsia="Times New Roman" w:hAnsi="Times New Roman"/>
          <w:rtl w:val="0"/>
        </w:rPr>
        <w:t xml:space="preserve"> Michael Bothe, supra Anm. xxiv, S. 231.</w:t>
      </w:r>
    </w:p>
    <w:p w:rsidR="00000000" w:rsidDel="00000000" w:rsidP="00000000" w:rsidRDefault="00000000" w:rsidRPr="00000000" w14:paraId="000002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50 </w:t>
      </w:r>
      <w:r w:rsidDel="00000000" w:rsidR="00000000" w:rsidRPr="00000000">
        <w:rPr>
          <w:rFonts w:ascii="Times New Roman" w:cs="Times New Roman" w:eastAsia="Times New Roman" w:hAnsi="Times New Roman"/>
          <w:rtl w:val="0"/>
        </w:rPr>
        <w:t xml:space="preserve">Yoram Dinstein, supra Anm. xxv, S. 172.</w:t>
      </w:r>
    </w:p>
    <w:p w:rsidR="00000000" w:rsidDel="00000000" w:rsidP="00000000" w:rsidRDefault="00000000" w:rsidRPr="00000000" w14:paraId="000002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51</w:t>
      </w:r>
      <w:r w:rsidDel="00000000" w:rsidR="00000000" w:rsidRPr="00000000">
        <w:rPr>
          <w:rFonts w:ascii="Times New Roman" w:cs="Times New Roman" w:eastAsia="Times New Roman" w:hAnsi="Times New Roman"/>
          <w:rtl w:val="0"/>
        </w:rPr>
        <w:t xml:space="preserve"> Thomas Franck, Rückgriff auf Gewalt: Staatsaktionen gegen Bedrohungen und bewaffnete Angriffe, Cambridge: Cambridge University Press, 2002, S. 105.</w:t>
      </w:r>
    </w:p>
    <w:p w:rsidR="00000000" w:rsidDel="00000000" w:rsidP="00000000" w:rsidRDefault="00000000" w:rsidRPr="00000000" w14:paraId="000002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52</w:t>
      </w:r>
      <w:r w:rsidDel="00000000" w:rsidR="00000000" w:rsidRPr="00000000">
        <w:rPr>
          <w:rFonts w:ascii="Times New Roman" w:cs="Times New Roman" w:eastAsia="Times New Roman" w:hAnsi="Times New Roman"/>
          <w:rtl w:val="0"/>
        </w:rPr>
        <w:t xml:space="preserve"> Mary Ellen O'Connell, supra Anm. xlv, S. 9-10.</w:t>
      </w:r>
    </w:p>
    <w:p w:rsidR="00000000" w:rsidDel="00000000" w:rsidP="00000000" w:rsidRDefault="00000000" w:rsidRPr="00000000" w14:paraId="000002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53 </w:t>
      </w:r>
      <w:r w:rsidDel="00000000" w:rsidR="00000000" w:rsidRPr="00000000">
        <w:rPr>
          <w:rFonts w:ascii="Times New Roman" w:cs="Times New Roman" w:eastAsia="Times New Roman" w:hAnsi="Times New Roman"/>
          <w:rtl w:val="0"/>
        </w:rPr>
        <w:t xml:space="preserve">Siehe zum Beispiel Schreiben des ständigen Vertreters der Vereinigten Staaten von Amerika bei den Vereinten Nationen, 7. Oktober 2001, UN-Dok. S/2001/946 (2001).</w:t>
      </w:r>
    </w:p>
    <w:p w:rsidR="00000000" w:rsidDel="00000000" w:rsidP="00000000" w:rsidRDefault="00000000" w:rsidRPr="00000000" w14:paraId="000002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54 </w:t>
      </w:r>
      <w:r w:rsidDel="00000000" w:rsidR="00000000" w:rsidRPr="00000000">
        <w:rPr>
          <w:rFonts w:ascii="Times New Roman" w:cs="Times New Roman" w:eastAsia="Times New Roman" w:hAnsi="Times New Roman"/>
          <w:rtl w:val="0"/>
        </w:rPr>
        <w:t xml:space="preserve">Mary Ellen O'Connell, "Rechtmäßige Selbstverteidigung gegen Terrorismus", University of Pittsburgh Law Review, 2002, Vol. 63, S. 899.</w:t>
      </w:r>
    </w:p>
    <w:p w:rsidR="00000000" w:rsidDel="00000000" w:rsidP="00000000" w:rsidRDefault="00000000" w:rsidRPr="00000000" w14:paraId="000002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55</w:t>
      </w:r>
      <w:r w:rsidDel="00000000" w:rsidR="00000000" w:rsidRPr="00000000">
        <w:rPr>
          <w:rFonts w:ascii="Times New Roman" w:cs="Times New Roman" w:eastAsia="Times New Roman" w:hAnsi="Times New Roman"/>
          <w:rtl w:val="0"/>
        </w:rPr>
        <w:t xml:space="preserve"> Nationale Sicherheitsstrategie der Vereinigten Staaten von Amerika, verfügbar unter http://www.whitehouse.gov/nsc/nss.pdf (30. November 2003).</w:t>
      </w:r>
    </w:p>
    <w:p w:rsidR="00000000" w:rsidDel="00000000" w:rsidP="00000000" w:rsidRDefault="00000000" w:rsidRPr="00000000" w14:paraId="000002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56 </w:t>
      </w:r>
      <w:r w:rsidDel="00000000" w:rsidR="00000000" w:rsidRPr="00000000">
        <w:rPr>
          <w:rFonts w:ascii="Times New Roman" w:cs="Times New Roman" w:eastAsia="Times New Roman" w:hAnsi="Times New Roman"/>
          <w:rtl w:val="0"/>
        </w:rPr>
        <w:t xml:space="preserve">Ibid., S. 15.</w:t>
      </w:r>
    </w:p>
    <w:p w:rsidR="00000000" w:rsidDel="00000000" w:rsidP="00000000" w:rsidRDefault="00000000" w:rsidRPr="00000000" w14:paraId="000002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57 </w:t>
      </w:r>
      <w:r w:rsidDel="00000000" w:rsidR="00000000" w:rsidRPr="00000000">
        <w:rPr>
          <w:rFonts w:ascii="Times New Roman" w:cs="Times New Roman" w:eastAsia="Times New Roman" w:hAnsi="Times New Roman"/>
          <w:rtl w:val="0"/>
        </w:rPr>
        <w:t xml:space="preserve">Michael Bothe, supra Anm. xxiv, S. 232.</w:t>
      </w:r>
    </w:p>
    <w:p w:rsidR="00000000" w:rsidDel="00000000" w:rsidP="00000000" w:rsidRDefault="00000000" w:rsidRPr="00000000" w14:paraId="000002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58</w:t>
      </w:r>
      <w:r w:rsidDel="00000000" w:rsidR="00000000" w:rsidRPr="00000000">
        <w:rPr>
          <w:rFonts w:ascii="Times New Roman" w:cs="Times New Roman" w:eastAsia="Times New Roman" w:hAnsi="Times New Roman"/>
          <w:rtl w:val="0"/>
        </w:rPr>
        <w:t xml:space="preserve"> Stanimir A. Alexandrov, supra Anm. xlvii, S. 159-165.</w:t>
      </w:r>
    </w:p>
    <w:p w:rsidR="00000000" w:rsidDel="00000000" w:rsidP="00000000" w:rsidRDefault="00000000" w:rsidRPr="00000000" w14:paraId="000002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59</w:t>
      </w:r>
      <w:r w:rsidDel="00000000" w:rsidR="00000000" w:rsidRPr="00000000">
        <w:rPr>
          <w:rFonts w:ascii="Times New Roman" w:cs="Times New Roman" w:eastAsia="Times New Roman" w:hAnsi="Times New Roman"/>
          <w:rtl w:val="0"/>
        </w:rPr>
        <w:t xml:space="preserve"> UN-Dok. S/RES/487 (1981).</w:t>
      </w:r>
    </w:p>
    <w:p w:rsidR="00000000" w:rsidDel="00000000" w:rsidP="00000000" w:rsidRDefault="00000000" w:rsidRPr="00000000" w14:paraId="000002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60</w:t>
      </w:r>
      <w:r w:rsidDel="00000000" w:rsidR="00000000" w:rsidRPr="00000000">
        <w:rPr>
          <w:rFonts w:ascii="Times New Roman" w:cs="Times New Roman" w:eastAsia="Times New Roman" w:hAnsi="Times New Roman"/>
          <w:rtl w:val="0"/>
        </w:rPr>
        <w:t xml:space="preserve"> Christopher Greenwood, supra Anm. xxxi, S. 19.</w:t>
      </w:r>
    </w:p>
    <w:p w:rsidR="00000000" w:rsidDel="00000000" w:rsidP="00000000" w:rsidRDefault="00000000" w:rsidRPr="00000000" w14:paraId="000002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61</w:t>
      </w:r>
      <w:r w:rsidDel="00000000" w:rsidR="00000000" w:rsidRPr="00000000">
        <w:rPr>
          <w:rFonts w:ascii="Times New Roman" w:cs="Times New Roman" w:eastAsia="Times New Roman" w:hAnsi="Times New Roman"/>
          <w:rtl w:val="0"/>
        </w:rPr>
        <w:t xml:space="preserve"> Artikel 24 Absatz 1 der Charta der Vereinten Nationen.</w:t>
      </w:r>
    </w:p>
    <w:p w:rsidR="00000000" w:rsidDel="00000000" w:rsidP="00000000" w:rsidRDefault="00000000" w:rsidRPr="00000000" w14:paraId="000002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45</w:t>
      </w:r>
    </w:p>
    <w:p w:rsidR="00000000" w:rsidDel="00000000" w:rsidP="00000000" w:rsidRDefault="00000000" w:rsidRPr="00000000" w14:paraId="000002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0">
      <w:pPr>
        <w:pStyle w:val="Heading2"/>
        <w:jc w:val="center"/>
        <w:rPr>
          <w:rFonts w:ascii="Times New Roman" w:cs="Times New Roman" w:eastAsia="Times New Roman" w:hAnsi="Times New Roman"/>
          <w:b w:val="1"/>
        </w:rPr>
      </w:pPr>
      <w:bookmarkStart w:colFirst="0" w:colLast="0" w:name="_bnp28oim5dot" w:id="8"/>
      <w:bookmarkEnd w:id="8"/>
      <w:r w:rsidDel="00000000" w:rsidR="00000000" w:rsidRPr="00000000">
        <w:rPr>
          <w:rFonts w:ascii="Times New Roman" w:cs="Times New Roman" w:eastAsia="Times New Roman" w:hAnsi="Times New Roman"/>
          <w:b w:val="1"/>
          <w:rtl w:val="0"/>
        </w:rPr>
        <w:t xml:space="preserve">NATO-Truppenstatuts: Hintergrund und ein Vorschlag für den Anwendungsbereich</w:t>
      </w:r>
    </w:p>
    <w:p w:rsidR="00000000" w:rsidDel="00000000" w:rsidP="00000000" w:rsidRDefault="00000000" w:rsidRPr="00000000" w14:paraId="0000026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Von Mette Prassé Hartov*</w:t>
      </w:r>
    </w:p>
    <w:p w:rsidR="00000000" w:rsidDel="00000000" w:rsidP="00000000" w:rsidRDefault="00000000" w:rsidRPr="00000000" w14:paraId="000002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Mette Prassé Hartov ist ehemalige Rechtsberaterin des estnischen Verteidigungsministeriums und derzeit beim dänischen Generalstaatsanwalt tätig. Die in diesem Artikel geäußerten Ansichten sind ausschließlich die der Autorin und können nicht dem dänischen Generalstaatsanwalt zugeschrieben werden.</w:t>
      </w:r>
    </w:p>
    <w:p w:rsidR="00000000" w:rsidDel="00000000" w:rsidP="00000000" w:rsidRDefault="00000000" w:rsidRPr="00000000" w14:paraId="000002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Artikel fasst die historische Entwicklung von Truppenstatuten im Völkerrecht zusammen und gibt einen Überblick über die Verhandlungen des NATO-Truppenstatuts (NATO SOFA) seit 1951. Er skizziert die Zustimmungsregeln (ius ad praesentiam), die in der Präambel des NATO SOFA bestätigt werden. Der Artikel präsentiert auch einen Vorschlag zur Anwendung des NATO SOFA, basierend auf einer Analyse von Artikel 1, der Definition einer "Truppe" und der Verhandlungen, die zur Formulierung des genannten Artikels führten. Der Artikel empfiehlt die Annahme einer "Standard"-Klausel oder einer Annahme-Regel, wonach bei Sendung oder Empfang von Truppen durch Parteien des NATO SOFA, einschließlich einzelner Mitglieder einer Truppe, davon ausgegangen wird, dass das NATO SOFA gilt, unabhängig von der Art des Besuchs oder der Stationierung. Die gleiche Klausel oder Annahme-Regel wird für die Anwendung des PfP-Truppenstatuts (PfP SOFA) vorgeschlagen.</w:t>
      </w:r>
    </w:p>
    <w:p w:rsidR="00000000" w:rsidDel="00000000" w:rsidP="00000000" w:rsidRDefault="00000000" w:rsidRPr="00000000" w14:paraId="0000026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Hintergrund</w:t>
      </w:r>
    </w:p>
    <w:p w:rsidR="00000000" w:rsidDel="00000000" w:rsidP="00000000" w:rsidRDefault="00000000" w:rsidRPr="00000000" w14:paraId="000002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baltischen Staaten sind alle Vertragsparteien des "Abkommens zwischen den Staaten, die Teil des Nordatlantikvertrags und anderer Staaten, die am Programm für Friedenspartnerschaft beteiligt sind, hinsichtlich des Status ihrer Streitkräfte" und seines zusätzlichen Protokolls - kurz gesagt, des PfP-SOFA. Das Abkommen macht das "Abkommen zwischen den Staaten, die Teil des Nordatlantikvertrags sind, hinsichtlich des Status ihrer Streitkräfte" (NATO-SOFA) zwischen </w:t>
      </w:r>
    </w:p>
    <w:p w:rsidR="00000000" w:rsidDel="00000000" w:rsidP="00000000" w:rsidRDefault="00000000" w:rsidRPr="00000000" w14:paraId="000002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C">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46</w:t>
      </w:r>
    </w:p>
    <w:p w:rsidR="00000000" w:rsidDel="00000000" w:rsidP="00000000" w:rsidRDefault="00000000" w:rsidRPr="00000000" w14:paraId="000002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 Unterzeichnern anwendbar, als wären sie Unterzeichner dieses Abkommens. Das NATO-SOFA regelt den Status der Streitkräfte zwischen den NATO-Verbündeten, wenn sie Streitkräfte zur Dienstleistung auf dem Gebiet eines anderen Verbündeten senden, sowohl für kurzfristige Besuche (Übungen, gemeinsame Schulungen und Treffen) als auch für langfristige Stationierungen. </w:t>
      </w:r>
    </w:p>
    <w:p w:rsidR="00000000" w:rsidDel="00000000" w:rsidP="00000000" w:rsidRDefault="00000000" w:rsidRPr="00000000" w14:paraId="000002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Bestimmungen des PfP SOFA (und somit des NATO SOFA) regeln hauptsächlich Übungen und andere militärische Kooperationsaktivitäten zwischen NATO- und PfP-Staaten. Unter den drei baltischen Staaten wird das Abkommen für den Status von Kräften und Zusammenarbeit in den baltischen militärischen Kooperationsprojekten angewandt: dem Baltischen Bataillon¹, der Baltischen Marineeinheit,² dem Baltischen Luftüberwachungsnetzwerk³ und dem Baltischen Verteidigungskolleg.⁴ Zusätzlich regeln die Bestimmungen des PfP SOFA den Status ausländischer nicht-baltischer Mitarbeiter des Baltischen Verteidigungskollegs in Tartu. Die Normen und Regeln, die durch das NATO SOFA etabliert wurden, werden durch das PfP SOFA im täglichen Gebrauch in Estland angewendet und wurden vom estnischen Verteidigungsministerium im Rahmen des Prozesses, der im Rahmen des NATO-Mitgliedschaftsplans⁵ eingeleitet wurde, umfassend umgesetzt. Sobald Estland dem Washingtoner Vertrag beitritt, wird es eingeladen (und erwartet), dem NATO SOFA und anderen NATO-Statusabkommen beizutreten.⁶</w:t>
      </w:r>
    </w:p>
    <w:p w:rsidR="00000000" w:rsidDel="00000000" w:rsidP="00000000" w:rsidRDefault="00000000" w:rsidRPr="00000000" w14:paraId="000002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Besondere Vereinbarungen über den Status des Hauptquartiers des Baltischen Bataillons und des Baltischen Verteidigungskollegs als zwischenstaatliche Institutionen werden getrennt abgeschlossen und sind kein Gegenstand der Diskussionen in diesem Artikel. Auch das "Further Additional Protocol to the Agreement among the States parties to the North Atlantic Treaty and the other States participating in the Partnership for Peace regarding the Status of their Forces", das es den PfP-Staaten ermöglicht, den internationalen Rechtsstatus der von der NATO gegründeten Internationalen Militärhauptquartiere gemäß dem "Protokoll über den Status internationaler Militärhauptquartiere, die im Rahmen des Nordatlantikvertrags errichtet werden" (geschlossen in Paris am 28. August 1952) anzuerkennen, wird nicht behandelt.</w:t>
      </w:r>
    </w:p>
    <w:p w:rsidR="00000000" w:rsidDel="00000000" w:rsidP="00000000" w:rsidRDefault="00000000" w:rsidRPr="00000000" w14:paraId="000002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Historischer Überblick</w:t>
      </w:r>
    </w:p>
    <w:p w:rsidR="00000000" w:rsidDel="00000000" w:rsidP="00000000" w:rsidRDefault="00000000" w:rsidRPr="00000000" w14:paraId="000002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dauerhafte Stationierung von Truppen im Frieden im Ausland ist eine neuere Entwicklung, die mit der Verabschiedung der Charta der Vereinten Nationen und ihrer Einschränkungen des Rechts der Staaten auf den Einsatz von Gewalt zusammenfällt. Im Jahr 1982 argumentierte ein Autor, dass "heute die dauerhafte Stationierung ausländischer Streitkräfte im Ausland alltäglich ist und fest im Nachkriegsweltordnung verankert ist, der von den geostrategischen Interessen der Vereinigten Staaten und der Sowjetunion geprägt wurde".⁷ Während freundliche Durchreisen in der Geschichte angewendet wurden,⁸ wenn auch nicht sehr häufig, wurde die Stationierung ausländischer Truppen im Ausland normalerweise mit Aggression und Besatzung in Verbindung gebracht. Nach dem Zweiten Weltkrieg nahm die Anzahl der im Ausland stationierten Basen und Personal zu. Die Vereinigten Staaten blieben in Japan, den Philippinen und Deutschland stationiert. Während des Kalten Krieges erhöhte die Gründung der NATO und des Warschauer Paktes die Anzahl der ausländischen Stützpunkte, und eine Umfrage aus dem Jahr 1982 ergab, dass ausländische Truppen in 58 Staaten stationiert </w:t>
      </w:r>
    </w:p>
    <w:p w:rsidR="00000000" w:rsidDel="00000000" w:rsidP="00000000" w:rsidRDefault="00000000" w:rsidRPr="00000000" w14:paraId="000002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47</w:t>
      </w:r>
    </w:p>
    <w:p w:rsidR="00000000" w:rsidDel="00000000" w:rsidP="00000000" w:rsidRDefault="00000000" w:rsidRPr="00000000" w14:paraId="000002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oder dort ansässig waren, von denen 30 US-Truppen und 12 Sowjettruppen beherbergten.⁹ In dieser Zahl ist die regelmäßige Anwesenheit von Truppen aufgrund von Ausbildung und Übungen nicht enthalten. Während des Kalten Krieges wurde die typische Stationierung von Truppen in vier Kategorien unterteilt.¹⁰:</w:t>
      </w:r>
    </w:p>
    <w:p w:rsidR="00000000" w:rsidDel="00000000" w:rsidP="00000000" w:rsidRDefault="00000000" w:rsidRPr="00000000" w14:paraId="000002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Die erste Kategorie, </w:t>
      </w:r>
      <w:r w:rsidDel="00000000" w:rsidR="00000000" w:rsidRPr="00000000">
        <w:rPr>
          <w:rFonts w:ascii="Times New Roman" w:cs="Times New Roman" w:eastAsia="Times New Roman" w:hAnsi="Times New Roman"/>
          <w:u w:val="single"/>
          <w:rtl w:val="0"/>
        </w:rPr>
        <w:t xml:space="preserve">Kampfsituationen</w:t>
      </w:r>
      <w:r w:rsidDel="00000000" w:rsidR="00000000" w:rsidRPr="00000000">
        <w:rPr>
          <w:rFonts w:ascii="Times New Roman" w:cs="Times New Roman" w:eastAsia="Times New Roman" w:hAnsi="Times New Roman"/>
          <w:rtl w:val="0"/>
        </w:rPr>
        <w:t xml:space="preserve">, fällt außerhalb des Geltungsbereichs dieses Artikels, da davon ausgegangen wird, dass der Empfängerstaat der Präsenz der ausländischen Streitkräfte nicht zustimmt. Dies würde gleichermaßen auf eine Friedenserzwingungsoperation oder eine humanitäre Intervention zutreffen, es sei denn, die Streitkräfte werden von den legitimen Behörden des Empfängerstaates eingeladen.</w:t>
      </w:r>
    </w:p>
    <w:p w:rsidR="00000000" w:rsidDel="00000000" w:rsidP="00000000" w:rsidRDefault="00000000" w:rsidRPr="00000000" w14:paraId="0000027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Die zweite Kategorie, die Entsendung von </w:t>
      </w:r>
      <w:r w:rsidDel="00000000" w:rsidR="00000000" w:rsidRPr="00000000">
        <w:rPr>
          <w:rFonts w:ascii="Times New Roman" w:cs="Times New Roman" w:eastAsia="Times New Roman" w:hAnsi="Times New Roman"/>
          <w:u w:val="single"/>
          <w:rtl w:val="0"/>
        </w:rPr>
        <w:t xml:space="preserve">spezieller militärischer Hilfe</w:t>
      </w:r>
      <w:r w:rsidDel="00000000" w:rsidR="00000000" w:rsidRPr="00000000">
        <w:rPr>
          <w:rFonts w:ascii="Times New Roman" w:cs="Times New Roman" w:eastAsia="Times New Roman" w:hAnsi="Times New Roman"/>
          <w:rtl w:val="0"/>
        </w:rPr>
        <w:t xml:space="preserve"> zur Unterstützung der diplomatischen Mission des Entsendestaates, wurde 1949 von den Vereinigten Staaten genutzt, um militärische Unterstützung in Form von Vorräten oder Ausrüstung (Military Advisory Assistance Groups MAAG) in Nicht-NATO-Ländern zu leisten. Verschiedene Abkommen¹¹ wurden zwischen den Vereinigten Staaten und den Empfängerstaaten abgeschlossen, wobei das Hauptmerkmal solcher Vereinbarungen darin besteht, dass sie den US-MAAG-Personal verschiedene Stufen der diplomatischen Immunität gemäß der Wiener Konvention¹² gewähren.</w:t>
      </w:r>
    </w:p>
    <w:p w:rsidR="00000000" w:rsidDel="00000000" w:rsidP="00000000" w:rsidRDefault="00000000" w:rsidRPr="00000000" w14:paraId="000002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Die dritte Kategorie umfasst den neueren Begriff der </w:t>
      </w:r>
      <w:r w:rsidDel="00000000" w:rsidR="00000000" w:rsidRPr="00000000">
        <w:rPr>
          <w:rFonts w:ascii="Times New Roman" w:cs="Times New Roman" w:eastAsia="Times New Roman" w:hAnsi="Times New Roman"/>
          <w:u w:val="single"/>
          <w:rtl w:val="0"/>
        </w:rPr>
        <w:t xml:space="preserve">"Friedensunterstützungsoperationen"</w:t>
      </w:r>
      <w:r w:rsidDel="00000000" w:rsidR="00000000" w:rsidRPr="00000000">
        <w:rPr>
          <w:rFonts w:ascii="Times New Roman" w:cs="Times New Roman" w:eastAsia="Times New Roman" w:hAnsi="Times New Roman"/>
          <w:rtl w:val="0"/>
        </w:rPr>
        <w:t xml:space="preserve">, der verschiedene Situationen von traditionellem Friedenskeeping, präventiven Einsätzen bis hin zu Durchsetzungseinsätzen abdeckt. Traditionell lädt oder stimmt der Empfangsstaat der Entsendung ausländischer Truppen in seinem Gebiet zu. Die zweite Hauptmerkmal ist, dass die Vereinten Nationen die Operation unterstützen. Die Operation selbst wird entweder von den Vereinten Nationen, einer regionalen Organisation oder einer Koalition von Staaten durchgeführt. Das angewandte Rechtsregime variiert je nach Art der Operation, es strebt jedoch im Allgemeinen an, den ausschließlichen Gerichtsstand für die Entsendestaaten zu beweisen, Freiheit der Bewegung und Zugang zum Gebiet des Empfangsstaates und Entschädigung von Ansprüchen Dritter nur innerhalb eines wohldefinierten Gebiets zu gewährleisten. Beispiele hierfür sind UNPROFOR, IFOR und SFOR (Bosnien-Herzegowina) und KFOR (Kosovo).</w:t>
      </w:r>
    </w:p>
    <w:p w:rsidR="00000000" w:rsidDel="00000000" w:rsidP="00000000" w:rsidRDefault="00000000" w:rsidRPr="00000000" w14:paraId="000002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Die vierte Kategorie, </w:t>
      </w:r>
      <w:r w:rsidDel="00000000" w:rsidR="00000000" w:rsidRPr="00000000">
        <w:rPr>
          <w:rFonts w:ascii="Times New Roman" w:cs="Times New Roman" w:eastAsia="Times New Roman" w:hAnsi="Times New Roman"/>
          <w:u w:val="single"/>
          <w:rtl w:val="0"/>
        </w:rPr>
        <w:t xml:space="preserve">Friedenszeit-Garnison</w:t>
      </w:r>
      <w:r w:rsidDel="00000000" w:rsidR="00000000" w:rsidRPr="00000000">
        <w:rPr>
          <w:rFonts w:ascii="Times New Roman" w:cs="Times New Roman" w:eastAsia="Times New Roman" w:hAnsi="Times New Roman"/>
          <w:rtl w:val="0"/>
        </w:rPr>
        <w:t xml:space="preserve">, umfasst die Stationierung von Truppen, die Befehlsgebung von Kontingenten und die Durchführung von militärischen Aktivitäten im Ausland mit der Zustimmung und in Zusammenarbeit mit dem Empfangsstaat. Innerhalb der NATO haben militärische Zusammenarbeit und Basierungsabkommen einen normalen Teil der Bündnisoperationen zur Verfolgung der Ziele von Artikel 3¹³ des Washingtoner Vertrags gebildet.</w:t>
      </w:r>
    </w:p>
    <w:p w:rsidR="00000000" w:rsidDel="00000000" w:rsidP="00000000" w:rsidRDefault="00000000" w:rsidRPr="00000000" w14:paraId="000002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die Allianz und damit die Zusammenarbeit und die Anwesenheit von alliierten Streitkräften letztendlich darauf abzielen, Aggressionen abzuschrecken und abzuwehren, beruht die Präsenz der ausländischen Alliierten in dem empfangenden Staat auf Zustimmung, Zusammenarbeit und Respekt vor den souveränen Befugnissen des empfangenden Staates. Diese Situation wurde auch als "friedliche militärische Besetzung" bezeichnet. Sie ist dadurch gekennzeichnet, dass Streitkräfte über längere Zeiträume stationiert sind und eine regelmäßige Zusammenarbeit zwischen dem sendenden und dem empfangenden Staat darstellen, d.h. die internationale Gemeinschaft hat die Zusammenarbeit akzeptiert, es sei denn, es liegen außergewöhnliche Umstände wie Krieg, die Umsetzung eines Vertrags usw. vor.¹⁴</w:t>
      </w:r>
    </w:p>
    <w:p w:rsidR="00000000" w:rsidDel="00000000" w:rsidP="00000000" w:rsidRDefault="00000000" w:rsidRPr="00000000" w14:paraId="000002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6">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48</w:t>
      </w:r>
    </w:p>
    <w:p w:rsidR="00000000" w:rsidDel="00000000" w:rsidP="00000000" w:rsidRDefault="00000000" w:rsidRPr="00000000" w14:paraId="000002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pStyle w:val="Heading2"/>
        <w:jc w:val="both"/>
        <w:rPr>
          <w:rFonts w:ascii="Times New Roman" w:cs="Times New Roman" w:eastAsia="Times New Roman" w:hAnsi="Times New Roman"/>
          <w:b w:val="1"/>
        </w:rPr>
      </w:pPr>
      <w:bookmarkStart w:colFirst="0" w:colLast="0" w:name="_hyzl5g8li5x7" w:id="9"/>
      <w:bookmarkEnd w:id="9"/>
      <w:r w:rsidDel="00000000" w:rsidR="00000000" w:rsidRPr="00000000">
        <w:rPr>
          <w:rFonts w:ascii="Times New Roman" w:cs="Times New Roman" w:eastAsia="Times New Roman" w:hAnsi="Times New Roman"/>
          <w:b w:val="1"/>
          <w:rtl w:val="0"/>
        </w:rPr>
        <w:t xml:space="preserve">3. Abkommen zwischen den Parteien des Nordatlantikvertrags über den Status ihrer Truppen, London, 19. Juni 1951</w:t>
      </w:r>
    </w:p>
    <w:p w:rsidR="00000000" w:rsidDel="00000000" w:rsidP="00000000" w:rsidRDefault="00000000" w:rsidRPr="00000000" w14:paraId="0000028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Entwurf des NATO SOFA - einige wichtige Punkte¹⁵</w:t>
      </w:r>
    </w:p>
    <w:p w:rsidR="00000000" w:rsidDel="00000000" w:rsidP="00000000" w:rsidRDefault="00000000" w:rsidRPr="00000000" w14:paraId="000002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Zur Unterstützung der Grundsätze, die durch den Washingtoner Vertrag eingeführt wurden, wurde es sehr früh offensichtlich, dass der Status der alliierten Kräfte in einer formalen Vereinbarung definiert werden musste. Zwei Ansätze wurden diskutiert, bevor die Arbeit begann: ob der Status in bilateralen Vereinbarungen geregelt werden sollte, wobei die Vereinbarungen die geografischen oder politischen Bedingungen in jedem der NATO-Länder widerspiegeln könnten, oder ob eine multilaterale Vereinbarung angenommen werden sollte. Die letztere Lösung wurde aus mehreren Gründen gewählt: Eine multilaterale Vereinbarung gewährleistet Reziprozität und Transparenz; dieselben Regeln gelten in der gesamten Allianz - wer heute ein Empfangsstaat ist, kann morgen ein Entsendestaat sein. Es besteht also ein gemeinsames Interesse daran, vergleichbare Standards zu erreichen. Ein weiterer Punkt ist, dass eine multinationale Vereinbarung eine gleichberechtigte Behandlung der Kräfte garantiert, unabhängig davon, wo sie stationiert sind, und dieselben Privilegien für alle stationierten Kräfte gelten, unabhängig von ihrer Nationalität. </w:t>
      </w:r>
    </w:p>
    <w:p w:rsidR="00000000" w:rsidDel="00000000" w:rsidP="00000000" w:rsidRDefault="00000000" w:rsidRPr="00000000" w14:paraId="000002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Andere Argumente waren, dass alle NATO-Staaten ein gemeinsames Konzept über wichtige rechtliche und administrative Grundsätze teilen und daher kein Bedarf bestand, die Einstellung in Frage zu stellen und schwierigere bilaterale Verhandlungen zu führen, die Verhandlungen zwischen allen Verbündeten erfordert hätten.</w:t>
      </w:r>
    </w:p>
    <w:p w:rsidR="00000000" w:rsidDel="00000000" w:rsidP="00000000" w:rsidRDefault="00000000" w:rsidRPr="00000000" w14:paraId="000002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15. Januar 1951 bat der US-amerikanische Vertreter die stellvertretenden Mitglieder des NATO-Rates, eine Arbeitsgruppe einzurichten, um eine Vereinbarung über den Status der Streitkräfte auszuarbeiten. Später wurde vereinbart, dass die Diskussion vom Brüsseler Abkommen¹⁶ ausgehen würde, einer Vereinbarung über den Status der Streitkräfte, die zur Unterstützung der Westeuropäischen Union abgeschlossen wurde und zwischen fünf der NATO-Verbündeten (Belgien, Frankreich, Großbritannien, Luxemburg und den Niederlanden) angewendet wurde. Die USA legten jedoch nach der Prüfung des Brüsseler Abkommens einen amerikanischen Entwurf vor, und als sich die Arbeitsgruppe am 29. Januar 1951 in London zu ihrem ersten Treffen traf, lagen zwei Entwürfe vor¹⁷. Am 01. Juni 1951 legte die Arbeitsgruppe den endgültigen Text vor, und das NATO SOFA wurde am 19. Juni 1951 in London unterzeichnet. Zwischen der Vorlage der ersten Entwürfe und der endgültigen Vereinbarung wurden nur 6 Entwürfe ausgetauscht, es fanden eine Reihe von Treffen statt und es wurden Memoranden vorgelegt und diskutiert.¹⁸</w:t>
      </w:r>
    </w:p>
    <w:p w:rsidR="00000000" w:rsidDel="00000000" w:rsidP="00000000" w:rsidRDefault="00000000" w:rsidRPr="00000000" w14:paraId="000002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Arbeitsgruppe bestand darauf, dass der endgültige Entwurf die unterschiedlichen Meinungen, die in der Arbeit vertreten waren, miteinander verband - das SOFA sollte ein akzeptabler Kompromiss sein. Da es sehr schwierig ist, die Interessen des Empfangsstaates und des Entsendestaates in Einklang zu bringen, wurde der Text des NATO SOFA von seinen späteren Benutzern als "unvollständig" und "nicht ideal" kategorisiert, und es wird angegeben, dass nur der gute Wille der Verbündeten die Anwendung der verschiedenen SOFA-Bestimmungen möglich macht.</w:t>
      </w:r>
    </w:p>
    <w:p w:rsidR="00000000" w:rsidDel="00000000" w:rsidP="00000000" w:rsidRDefault="00000000" w:rsidRPr="00000000" w14:paraId="000002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2">
      <w:pPr>
        <w:numPr>
          <w:ilvl w:val="0"/>
          <w:numId w:val="3"/>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Sprache. </w:t>
      </w:r>
      <w:r w:rsidDel="00000000" w:rsidR="00000000" w:rsidRPr="00000000">
        <w:rPr>
          <w:rFonts w:ascii="Times New Roman" w:cs="Times New Roman" w:eastAsia="Times New Roman" w:hAnsi="Times New Roman"/>
          <w:rtl w:val="0"/>
        </w:rPr>
        <w:t xml:space="preserve">Obwohl die Verhandlungen in Englisch und Französisch geführt wurden, war von Anfang an nicht klar, </w:t>
      </w:r>
    </w:p>
    <w:p w:rsidR="00000000" w:rsidDel="00000000" w:rsidP="00000000" w:rsidRDefault="00000000" w:rsidRPr="00000000" w14:paraId="0000029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49</w:t>
      </w:r>
    </w:p>
    <w:p w:rsidR="00000000" w:rsidDel="00000000" w:rsidP="00000000" w:rsidRDefault="00000000" w:rsidRPr="00000000" w14:paraId="0000029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6">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dass die SOFA am Ende in den beiden NATO-Sprachen vorliegen würde. Dies war ein Kompromiss, und je nachdem, welcher Text untersucht wird, werden unterschiedliche Begriffe verwendet.</w:t>
      </w:r>
    </w:p>
    <w:p w:rsidR="00000000" w:rsidDel="00000000" w:rsidP="00000000" w:rsidRDefault="00000000" w:rsidRPr="00000000" w14:paraId="0000029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numPr>
          <w:ilvl w:val="0"/>
          <w:numId w:val="4"/>
        </w:numPr>
        <w:ind w:left="720"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Wer konnte das SOFA unterzeichnen. </w:t>
      </w:r>
      <w:r w:rsidDel="00000000" w:rsidR="00000000" w:rsidRPr="00000000">
        <w:rPr>
          <w:rFonts w:ascii="Times New Roman" w:cs="Times New Roman" w:eastAsia="Times New Roman" w:hAnsi="Times New Roman"/>
          <w:rtl w:val="0"/>
        </w:rPr>
        <w:t xml:space="preserve">Die Frage, ob ein Abkommen von allen NATO-Mitgliedern unterzeichnet werden würde, entstand, da Island, ein Mitglied der Allianz, keine Streitkräfte hatte und hat. Es wurde argumentiert, dass Island aufgrund dieser Tatsache nur als Empfangsstaat handeln konnte und eine spezielle Regelung erforderlich war. Im Geiste der Allianz und aufgrund der Tatsache, dass die USA während der Verhandlungen über die Stationierung von US-Truppen in Island ein Abkommen mit Island unterzeichneten, hat Island tatsächlich das SOFA unterzeichnet, aber es hat keine Schritte unternommen, um es zu ratifizieren. </w:t>
      </w:r>
    </w:p>
    <w:p w:rsidR="00000000" w:rsidDel="00000000" w:rsidP="00000000" w:rsidRDefault="00000000" w:rsidRPr="00000000" w14:paraId="00000299">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Gerichtsbarkeit.</w:t>
      </w:r>
      <w:r w:rsidDel="00000000" w:rsidR="00000000" w:rsidRPr="00000000">
        <w:rPr>
          <w:rFonts w:ascii="Times New Roman" w:cs="Times New Roman" w:eastAsia="Times New Roman" w:hAnsi="Times New Roman"/>
          <w:rtl w:val="0"/>
        </w:rPr>
        <w:t xml:space="preserve"> Dieser Artikel wurde mehrmals umformuliert. Die Lehre vom Recht der Flagge (ausschließliche Gerichtsbarkeit verbleibt bei den Entsendestaaten) und die eingeschränkte territoriale Souveränität (Aufteilung der Gerichtsbarkeit zwischen den Gerichten des Empfangsstaates und den Behörden des Entsendestaates) treffen in einem Kompromiss aufeinander, der auf exklusiver Gerichtsbarkeit für den Empfangs- und Entsendestaat in definierten Gebieten und auf konkurrierender Gerichtsbarkeit in allen anderen Gebieten basiert, wobei ein Schlüssel für das primäre Recht zur Ausübung der Gerichtsbarkeit vorgesehen ist. </w:t>
      </w:r>
    </w:p>
    <w:p w:rsidR="00000000" w:rsidDel="00000000" w:rsidP="00000000" w:rsidRDefault="00000000" w:rsidRPr="00000000" w14:paraId="0000029B">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C">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Zeitfaktor.</w:t>
      </w:r>
      <w:r w:rsidDel="00000000" w:rsidR="00000000" w:rsidRPr="00000000">
        <w:rPr>
          <w:rFonts w:ascii="Times New Roman" w:cs="Times New Roman" w:eastAsia="Times New Roman" w:hAnsi="Times New Roman"/>
          <w:rtl w:val="0"/>
        </w:rPr>
        <w:t xml:space="preserve"> Der Text des NATO SOFA wurde in weniger als 6 Monaten entwickelt. Ein weiteres Etikett, das dem SOFA anhaftet, ist, dass es - neben den Kompromissen - darunter leidet, dass es so schnell verhandelt wurde: Der Text ist nicht immer klar, es gibt Unterschiede zwischen den englischen und französischen Versionen, und es ist kein eigenständiges Dokument. Es war daher erforderlich, in allen Unterzeichnerstaaten neue Gesetze und Vorschriften zu erlassen, um dem NATO-SOFA zu entsprechen. </w:t>
      </w:r>
    </w:p>
    <w:p w:rsidR="00000000" w:rsidDel="00000000" w:rsidP="00000000" w:rsidRDefault="00000000" w:rsidRPr="00000000" w14:paraId="0000029D">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Trotz seines Alters und seines Rufs dient das NATO-SOFA immer noch als Modell für andere SOFAs und wird dies meiner Meinung nach auch für zukünftige SOFAs tun.¹⁹</w:t>
      </w:r>
    </w:p>
    <w:p w:rsidR="00000000" w:rsidDel="00000000" w:rsidP="00000000" w:rsidRDefault="00000000" w:rsidRPr="00000000" w14:paraId="0000029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Senden und Empfangen von Streitkräften - die Zustimmung</w:t>
      </w:r>
    </w:p>
    <w:p w:rsidR="00000000" w:rsidDel="00000000" w:rsidP="00000000" w:rsidRDefault="00000000" w:rsidRPr="00000000" w14:paraId="000002A1">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freundliche Aufnahme von Truppen (sei es in Transit oder zum Aufenthalt) bedarf der Zustimmung des souveränen Gaststaates.²⁰ Die bewaffneten Streitkräfte verkörpern die souveränen Kräfte eines Staates, und die rechtmäßige friedenszeitliche Präsenz (Transit, kurze Besuche, Stationierung) bewaffneter Streitkräfte eines Staates auf dem Territorium eines anderen Staates ist von der Zustimmung des Empfangsstaates abhängig. Die Zustimmung kann auf verschiedene Arten angekündigt werden. Abhängig von den Gesetzen und Praktiken des Staates, der die Besuchskräfte empfängt, kann die Zustimmung informell oder formal sein und als explizite Zustimmung oder Einladung zur Durchführung oder Teilnahme an bestimmten Aktivitäten oder als Lizenz zur Durchführung definierter Handlungen angekündigt werden.²¹ Das Niveau der Autorisierung, das zur Erteilung der Zustimmung ernannt wird, kann je nach nationaler Aufteilung der Befugnisse variieren, aber die Zustimmung, wenn sie von oder im Namen der Regierung gegeben wird, ist bindend.²² Der allgemeine Rahmen für den Einsatz (z.B. stehende oder ad hoc-Militärkooperation) kann implizit oder explizit die Zustimmung ankündigen. Dies ist die übliche Situation, wenn Hauptquartiere und Militäreinrichtungen eingerichtet werden.²³</w:t>
      </w:r>
    </w:p>
    <w:p w:rsidR="00000000" w:rsidDel="00000000" w:rsidP="00000000" w:rsidRDefault="00000000" w:rsidRPr="00000000" w14:paraId="000002A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bilaterales oder multilaterales Rahmenwerk kann auch das Format und die Bedingungen </w:t>
      </w:r>
    </w:p>
    <w:p w:rsidR="00000000" w:rsidDel="00000000" w:rsidP="00000000" w:rsidRDefault="00000000" w:rsidRPr="00000000" w14:paraId="000002A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50</w:t>
      </w:r>
    </w:p>
    <w:p w:rsidR="00000000" w:rsidDel="00000000" w:rsidP="00000000" w:rsidRDefault="00000000" w:rsidRPr="00000000" w14:paraId="000002A7">
      <w:pPr>
        <w:ind w:lef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2A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die Zustimmung (falls vorhanden) bereitstellen, und einige Abkommen drücken eine allgemeine Zustimmung aus und überlassen die Details den Parteien, um sie zu regeln.</w:t>
      </w:r>
    </w:p>
    <w:p w:rsidR="00000000" w:rsidDel="00000000" w:rsidP="00000000" w:rsidRDefault="00000000" w:rsidRPr="00000000" w14:paraId="000002A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Nicht viele Verteidigungsabkommen drücken explizit die Zustimmung des Gastgeberstaates aus, die Streitkräfte der Alliierten einzusetzen²⁴, dies gilt auch für den Washingtoner Vertrag. Zusammenarbeit und Bündelung von Anstrengungen werden als Hauptinstrumente zur Erhaltung des Friedens und der Sicherheit im Gebiet der NATO herausgestellt. Doch nichts im rechtlichen Rahmen der NATO verleiht den Alliierten das Recht, Streitkräfte auf das Gebiet eines anderen Verbündeten ohne dessen Zustimmung zu entsenden. Trotz der integrierten militärischen Zusammenarbeit hat sich das Prinzip der Zustimmung unverändert erhalten, und das Prinzip wird im NATO-SOFA bestätigt. Was das Format der Zustimmung betrifft, so ist die Praxis innerhalb der NATO vielfältig. Auch hier ist die Wahl durch die Verfassungsgebote der Alliierten und oft auch durch den Charakter der Zusammenarbeit bestimmt. Die Zustimmung zur Aufnahme ausländischer Militärtruppen geht oft mit Bedingungen und Einzelheiten einher, wie z.B. die Anzahl der Truppen, der Charakter der zu importierenden Waffen, die Verwendung von Waffen und die Bezeichnung von Grenzübergangsgebieten. Übungen der NATO und des Partnerschaftsprogramms (PfP) werden auf Einladung des Gastgeberstaates durchgeführt, der Status der Streitkräfte ergibt sich aus dem NATO-SOFA und die Details zur Unterstützung des Gastlandes, Koordination der Bewegungen usw. werden in einem Memorandum of Understanding mit dem Gastgeberstaat festgelegt.²⁵Wenn der Einsatz von Streitkräften längerfristig und/oder zeitlich begrenzt ist (Stationierung), sind die Bedingungen oft formellen Vereinbarungen unterworfen. Das Niveau der Vereinbarung (Vertrag vs. Verwaltungsvereinbarung) hängt von der Entscheidung der Vertragsparteien ab.</w:t>
      </w:r>
    </w:p>
    <w:p w:rsidR="00000000" w:rsidDel="00000000" w:rsidP="00000000" w:rsidRDefault="00000000" w:rsidRPr="00000000" w14:paraId="000002A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 den baltischen militärischen Kooperationsprojekten werden alle Aktivitäten (außer z.B. Treffen) jährlich vereinbart und in Aktionsplänen für jedes der Projekte festgelegt. Um sicherzustellen, dass die Zustimmung vor der Durchführung bestimmter Aktivitäten (z.B. Manöver und Übungen) eingeholt wird, sehen die verschiedenen zur Unterstützung der Projekte abgeschlossenen Vereinbarungen vor, dass die Genehmigung auf den zuständigen Ebenen eingeholt wird.²⁶</w:t>
      </w:r>
    </w:p>
    <w:p w:rsidR="00000000" w:rsidDel="00000000" w:rsidP="00000000" w:rsidRDefault="00000000" w:rsidRPr="00000000" w14:paraId="000002A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Verpflichtung zur Einholung einer vorherigen Zustimmung wird in der Präambel des NATO-SOFA festgelegt, die besagt, dass das NATO-SOFA nicht die (nationale) Entscheidung über die Entsendung von Streitkräften beeinflusst, noch entscheidet es über die besonderen Formalitäten oder Bedingungen, unter denen die Streitkräfte im Empfangsstaat entladen oder ihre Aufgaben übernehmen können. Die Präambel überlässt es den Parteien, separate Abkommen über den Eintritt und die Einrichtungen (hier verstanden als die Bedingungen für die Entladung und die Aufnahme von Stationierung) zu schließen, die zur Unterstützung einer ausländischen Streitmacht bereitgestellt werden sollen: "In Anbetracht dessen, dass die Streitkräfte einer Partei durch Vereinbarung in das Hoheitsgebiet einer anderen Partei entsandt werden können; in dem Bewusstsein, dass die Entscheidung, sie zu entsenden und [...], Gegenstand separater Vereinbarungen zwischen den betroffenen Parteien bleiben wird".</w:t>
      </w:r>
    </w:p>
    <w:p w:rsidR="00000000" w:rsidDel="00000000" w:rsidP="00000000" w:rsidRDefault="00000000" w:rsidRPr="00000000" w14:paraId="000002A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 Anwendung der NATO SOFA</w:t>
      </w:r>
    </w:p>
    <w:p w:rsidR="00000000" w:rsidDel="00000000" w:rsidP="00000000" w:rsidRDefault="00000000" w:rsidRPr="00000000" w14:paraId="000002B1">
      <w:pPr>
        <w:ind w:lef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B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Wann ist das NATO-SOFA dann anzuwenden? Die Frage kann beantwortet werden bezüglich:</w:t>
      </w:r>
    </w:p>
    <w:p w:rsidR="00000000" w:rsidDel="00000000" w:rsidP="00000000" w:rsidRDefault="00000000" w:rsidRPr="00000000" w14:paraId="000002B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wem (Personenkategorien);</w:t>
      </w:r>
    </w:p>
    <w:p w:rsidR="00000000" w:rsidDel="00000000" w:rsidP="00000000" w:rsidRDefault="00000000" w:rsidRPr="00000000" w14:paraId="000002B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wo (geografische Anwendung);</w:t>
      </w:r>
    </w:p>
    <w:p w:rsidR="00000000" w:rsidDel="00000000" w:rsidP="00000000" w:rsidRDefault="00000000" w:rsidRPr="00000000" w14:paraId="000002B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51</w:t>
      </w:r>
    </w:p>
    <w:p w:rsidR="00000000" w:rsidDel="00000000" w:rsidP="00000000" w:rsidRDefault="00000000" w:rsidRPr="00000000" w14:paraId="000002B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wann (funktionale Anwendung).</w:t>
      </w:r>
    </w:p>
    <w:p w:rsidR="00000000" w:rsidDel="00000000" w:rsidP="00000000" w:rsidRDefault="00000000" w:rsidRPr="00000000" w14:paraId="000002B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Antworten auf die Fragen sind im Wesentlichen in Artikel I, insbesondere in Absatz 1, Buchstabe a), enthalten, der "eine Streitmacht" definiert.²⁷ Die Definition beschränkt sich darauf, den Status von </w:t>
      </w:r>
      <w:r w:rsidDel="00000000" w:rsidR="00000000" w:rsidRPr="00000000">
        <w:rPr>
          <w:rFonts w:ascii="Times New Roman" w:cs="Times New Roman" w:eastAsia="Times New Roman" w:hAnsi="Times New Roman"/>
          <w:u w:val="single"/>
          <w:rtl w:val="0"/>
        </w:rPr>
        <w:t xml:space="preserve">Militärpersonal</w:t>
      </w:r>
      <w:r w:rsidDel="00000000" w:rsidR="00000000" w:rsidRPr="00000000">
        <w:rPr>
          <w:rFonts w:ascii="Times New Roman" w:cs="Times New Roman" w:eastAsia="Times New Roman" w:hAnsi="Times New Roman"/>
          <w:rtl w:val="0"/>
        </w:rPr>
        <w:t xml:space="preserve"> zu definieren. Obwohl dies bei Betrachtung des Wortlauts möglicherweise nicht offensichtlich ist, war dies die klare Absicht der Verfasser, und deshalb wurde eine separate Definition für zivile Bestandteile angenommen. Die wichtigsten Argumente dafür, </w:t>
      </w:r>
      <w:r w:rsidDel="00000000" w:rsidR="00000000" w:rsidRPr="00000000">
        <w:rPr>
          <w:rFonts w:ascii="Times New Roman" w:cs="Times New Roman" w:eastAsia="Times New Roman" w:hAnsi="Times New Roman"/>
          <w:u w:val="single"/>
          <w:rtl w:val="0"/>
        </w:rPr>
        <w:t xml:space="preserve">Zivilisten</w:t>
      </w:r>
      <w:r w:rsidDel="00000000" w:rsidR="00000000" w:rsidRPr="00000000">
        <w:rPr>
          <w:rFonts w:ascii="Times New Roman" w:cs="Times New Roman" w:eastAsia="Times New Roman" w:hAnsi="Times New Roman"/>
          <w:rtl w:val="0"/>
        </w:rPr>
        <w:t xml:space="preserve"> nicht in die allgemeine Definition aufzunehmen, waren a) dass sie nicht im Brüsseler Vertrag enthalten waren, und b) dass Zivilisten unter der derzeitigen Praxis in einigen Ländern im Frieden nicht den gleichen Status wie die Streitkräfte genießen würden. Die Verfasser waren jedoch der Ansicht, dass der Status von Zivilisten und von Angehörigen im NATO-SOFA enthalten sein sollte, aber separate Definitionen erforderlich waren.</w:t>
      </w:r>
    </w:p>
    <w:p w:rsidR="00000000" w:rsidDel="00000000" w:rsidP="00000000" w:rsidRDefault="00000000" w:rsidRPr="00000000" w14:paraId="000002B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Zu wem (Anwendung in personae)</w:t>
      </w:r>
    </w:p>
    <w:p w:rsidR="00000000" w:rsidDel="00000000" w:rsidP="00000000" w:rsidRDefault="00000000" w:rsidRPr="00000000" w14:paraId="000002B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 Militärpersonal (Artikel I, Absatz 1, 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eine Truppe oder ein Mitglied einer Truppe zu sein, muss man </w:t>
      </w:r>
      <w:r w:rsidDel="00000000" w:rsidR="00000000" w:rsidRPr="00000000">
        <w:rPr>
          <w:rFonts w:ascii="Times New Roman" w:cs="Times New Roman" w:eastAsia="Times New Roman" w:hAnsi="Times New Roman"/>
          <w:u w:val="single"/>
          <w:rtl w:val="0"/>
        </w:rPr>
        <w:t xml:space="preserve">zu den Land-, See- oder Luftstreitkräften</w:t>
      </w:r>
      <w:r w:rsidDel="00000000" w:rsidR="00000000" w:rsidRPr="00000000">
        <w:rPr>
          <w:rFonts w:ascii="Times New Roman" w:cs="Times New Roman" w:eastAsia="Times New Roman" w:hAnsi="Times New Roman"/>
          <w:rtl w:val="0"/>
        </w:rPr>
        <w:t xml:space="preserve"> einer Vertragspartei des NATO SOFA </w:t>
      </w:r>
      <w:r w:rsidDel="00000000" w:rsidR="00000000" w:rsidRPr="00000000">
        <w:rPr>
          <w:rFonts w:ascii="Times New Roman" w:cs="Times New Roman" w:eastAsia="Times New Roman" w:hAnsi="Times New Roman"/>
          <w:u w:val="single"/>
          <w:rtl w:val="0"/>
        </w:rPr>
        <w:t xml:space="preserve">gehören</w:t>
      </w:r>
      <w:r w:rsidDel="00000000" w:rsidR="00000000" w:rsidRPr="00000000">
        <w:rPr>
          <w:rFonts w:ascii="Times New Roman" w:cs="Times New Roman" w:eastAsia="Times New Roman" w:hAnsi="Times New Roman"/>
          <w:rtl w:val="0"/>
        </w:rPr>
        <w:t xml:space="preserve">. Die Definition umfasst kollektive Einheiten und Einzelpersonen sowie Personal im Transit, schließt jedoch bestimmte Kategorien von Personal aus (diplomatisches Personal).</w:t>
      </w:r>
    </w:p>
    <w:p w:rsidR="00000000" w:rsidDel="00000000" w:rsidP="00000000" w:rsidRDefault="00000000" w:rsidRPr="00000000" w14:paraId="000002B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Definition deckt absichtlich die "Truppe" im kollektiven Sinne ab. Immer wenn Bezug auf ein einzelnes Mitglied genommen wird, wird im gesamten NATO SOFA der Begriff "Mitglied der Truppe" verwendet.²⁸</w:t>
      </w:r>
    </w:p>
    <w:p w:rsidR="00000000" w:rsidDel="00000000" w:rsidP="00000000" w:rsidRDefault="00000000" w:rsidRPr="00000000" w14:paraId="000002C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Um sicherzustellen, dass vereinbarte Kategorien nicht unter die Vereinbarung fallen (d.h. das niederländisch-belgische Militärabkommen), war bereits eine Ausstiegsklausel in der Definition enthalten ("... vorausgesetzt, die beiden betroffenen Vertragsparteien können vereinbaren, dass bestimmte Einzelpersonen, Einheiten oder Formationen nicht als 'Truppe' gelten oder eingeschlossen sind...")²⁹ In einer Sitzung der Stellvertretenden Ratsmitglieder am 24. Mai 1951³⁰ erhoben die USA jedoch eine Reihe von Punkten, darunter, dass die US-Regierung Militärmitglieder einer diplomatischen Mission aus der Definition einer "Truppe" ausschließen wollte, da diese Mitglieder bereits einen bestimmten privilegierten Status genießen und da ihr Status durch bilaterale Abkommen geregelt werden könnte. Der Vorsitzende der Arbeitsgruppe antwortete, dass die Definition bereits Parteien erlaubt, bilaterale Abkommen abzuschließen, und dass die Bedenken der USA dadurch begegnet werden könnten, dass </w:t>
      </w:r>
      <w:r w:rsidDel="00000000" w:rsidR="00000000" w:rsidRPr="00000000">
        <w:rPr>
          <w:rFonts w:ascii="Times New Roman" w:cs="Times New Roman" w:eastAsia="Times New Roman" w:hAnsi="Times New Roman"/>
          <w:b w:val="1"/>
          <w:rtl w:val="0"/>
        </w:rPr>
        <w:t xml:space="preserve">"Einzelpersonen"</w:t>
      </w:r>
      <w:r w:rsidDel="00000000" w:rsidR="00000000" w:rsidRPr="00000000">
        <w:rPr>
          <w:rFonts w:ascii="Times New Roman" w:cs="Times New Roman" w:eastAsia="Times New Roman" w:hAnsi="Times New Roman"/>
          <w:rtl w:val="0"/>
        </w:rPr>
        <w:t xml:space="preserve"> in den Text eingefügt werden, um zu klären, dass bilaterale Abkommen über die Nichtanwendung des SOFA nicht nur in Bezug auf Einheiten und Formationen, sondern auch in Bezug auf Einzelpersonen abgeschlossen werden können.³¹</w:t>
      </w:r>
    </w:p>
    <w:p w:rsidR="00000000" w:rsidDel="00000000" w:rsidP="00000000" w:rsidRDefault="00000000" w:rsidRPr="00000000" w14:paraId="000002C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Frage, ob das NATO-SOFA für Streitkräfte auf der Durchreise oder im Urlaub gilt, wurde während der Ausarbeitung von Artikel I diskutiert. Die Diskussion wird unten kommentiert ("...im Zusammenhang mit ihren dienstlichen Aufgaben..."). Die Schlussfolgerungen aus den Diskussionen sind, dass Personal auf der Durchreise unter die Vereinbarung fällt und auch Personal im Urlaub, wenn sie ihren Urlaub im Staat haben, in dem sie stationiert sind.³² Eine weitere Anwendung kann entweder einseitig von einer Vertragspartei oder durch Abkommen zwischen den Parteien erfolgen.³³</w:t>
      </w:r>
    </w:p>
    <w:p w:rsidR="00000000" w:rsidDel="00000000" w:rsidP="00000000" w:rsidRDefault="00000000" w:rsidRPr="00000000" w14:paraId="000002C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Diskussionen betrafen nicht den Begriff "gehörend zu". Zu einem frühen Zeitpunkt kategorisierte das Vereinigte Königreich Zivilisten als Personal, das </w:t>
      </w:r>
    </w:p>
    <w:p w:rsidR="00000000" w:rsidDel="00000000" w:rsidP="00000000" w:rsidRDefault="00000000" w:rsidRPr="00000000" w14:paraId="000002C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52</w:t>
      </w:r>
    </w:p>
    <w:p w:rsidR="00000000" w:rsidDel="00000000" w:rsidP="00000000" w:rsidRDefault="00000000" w:rsidRPr="00000000" w14:paraId="000002C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"nicht berechtigt ist, Uniform zu tragen" und nicht der "gleichen engen Disziplin und Kontrolle wie die uniformierten Mitglieder der Streitkräfte" unterliegt.³⁴</w:t>
      </w:r>
    </w:p>
    <w:p w:rsidR="00000000" w:rsidDel="00000000" w:rsidP="00000000" w:rsidRDefault="00000000" w:rsidRPr="00000000" w14:paraId="000002C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Diskussionen berührten nicht den Begriff "gehören zu". Anfangs kategorisierte das Vereinigte Königreich Zivilpersonen als Personal "ohne Uniformtrageberechtigung" und nicht unterworfen der "gleichen engen Disziplin und Kontrolle wie die uniformierten Mitglieder der Streitkräfte". Der Begriff wurde zur Grundlage der Definition von "Kräften" umgekehrt, da es schwierig war, einen gemeinsamen Nenner für diesen Begriff (Militärstreitkraft, bewaffnete Kräfte, Kontingent, ausländische Streitkraft) zu finden, und es das Ziel war, eine Formulierung zu finden, die breit genug war, um alle Personen "mit Uniformtrageberechtigung"/alle Militärpersonen zu umfassen.³⁵ Die Formulierung "gehören zu" wurde zur Antwort, und die Definition unterscheidet dementsprechend nicht zwischen militärischen oder paramilitärischen Einheiten oder zwischen Personal im aktiven Dienst, Reservisten und pensioniertem Personal. Der entscheidende Faktor ist, ob das Personal militärischem Kommando untersteht.³⁶</w:t>
      </w:r>
    </w:p>
    <w:p w:rsidR="00000000" w:rsidDel="00000000" w:rsidP="00000000" w:rsidRDefault="00000000" w:rsidRPr="00000000" w14:paraId="000002C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Gegensatz zur Definition des "zivilen Komponenten" ist die Staatsangehörigkeit keine explizite Bedingung. Die Verfasser lehnten Vorschläge ab, eine Klausel zu übernehmen, mit dem Argument, dass nur Artikel III, Absatz 2 und 5 Probleme verursachen könnten und es "in bestimmten Fällen, beispielsweise gemäß Artikel VII und Artikel VIII, gefährlich wäre, den aus den Bestimmungen des vorliegenden Abkommens gewährten Privilegien Staatsangehörigen zu entziehen, die Mitglieder einer Streitkraft sind". Es wurde vereinbart, dass die Verfasser anstelle einer Klausel zur doppelten Staatsbürgerschaft jeden Artikel prüfen sollten, um festzustellen, ob er auf Mitglieder einer Streitkraft anwendbar sein sollte, die gleichzeitig Staatsangehörige des Empfangsstaates sind.³⁷ Vorbehalte zur Staatsangehörigkeit wurden in Artikel III, Absatz 5,³⁸ Artikel VII, Absatz 4,³⁹ und Artikel X, Absatz 4,⁴⁰ übernommen. </w:t>
      </w:r>
    </w:p>
    <w:p w:rsidR="00000000" w:rsidDel="00000000" w:rsidP="00000000" w:rsidRDefault="00000000" w:rsidRPr="00000000" w14:paraId="000002C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Schließlich muss das Mitglied des bewaffneten Dienstes einer Vertragspartei auf dem Gebiet einer anderen Vertragspartei anwesend sein, d.h. Personal des Empfangsstaates ist von der Definition einer "Streitkraft" ausgeschlossen. Dies ist ein echtes Prinzip des Völkerrechts.⁴¹</w:t>
      </w:r>
    </w:p>
    <w:p w:rsidR="00000000" w:rsidDel="00000000" w:rsidP="00000000" w:rsidRDefault="00000000" w:rsidRPr="00000000" w14:paraId="000002C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 Mitglieder der zivilen Komponente (Artikel I, Absatz 1, b.):</w:t>
      </w:r>
    </w:p>
    <w:p w:rsidR="00000000" w:rsidDel="00000000" w:rsidP="00000000" w:rsidRDefault="00000000" w:rsidRPr="00000000" w14:paraId="000002D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zunehmende Anzahl von Zivilisten wird von den Streitkräften beschäftigt. In einigen Staaten, in denen die Stationierung von Truppen im Ausland ein regelmäßiges Merkmal ist, variieren die Anzahl und Kategorien der Zivilisten, die entweder beschäftigt oder den Streitkräften folgen, von Post-/Börsenmitarbeitern, zivilen Auftragnehmern, Wohlfahrtsmitarbeitern, Lehrern usw. bis hin zu Rotkreuz-Personal. Im Zuge der Ausarbeitung des NATO-SOFA waren einige Staaten nicht bereit, die den Streitkräften gewährten Privilegien auf das zivile Personal auszuweiten, und der Vorsitzende kam zu dem Schluss, dass es ratsam wäre, einen separaten Status anzunehmen. Es war auch klar, dass Zivilisten nicht den gleichen Status unter dem NATO-SOFA genießen würden wie der Status, der den Mitgliedern der Streitkräfte verliehen wurde⁴².</w:t>
      </w:r>
    </w:p>
    <w:p w:rsidR="00000000" w:rsidDel="00000000" w:rsidP="00000000" w:rsidRDefault="00000000" w:rsidRPr="00000000" w14:paraId="000002D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Definition von Zivilisten erscheint klar und verständlich, hat jedoch tatsächlich zu Problemen bei der Interpretation geführt, und die Verfasser wurden nicht für ihre Bemühungen gelobt.⁴³ Die Definition gibt den Status, der unter dem NATO-SOFA genossen wird, nicht an - der Status wird im Text der anschließenden Artikel definiert (oder nicht definiert und somit dem Recht des Empfangsstaates überlassen). Mitglieder der zivilen Komponente genießen in hohem Maße den gleichen Status wie ihre uniformierten Kollegen. Sie sind aus offensichtlichen Gründen vom Tragen von Uniformen (Artikel V), dem Tragen von Waffen (Artikel VI) und</w:t>
      </w:r>
    </w:p>
    <w:p w:rsidR="00000000" w:rsidDel="00000000" w:rsidP="00000000" w:rsidRDefault="00000000" w:rsidRPr="00000000" w14:paraId="000002D3">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53</w:t>
      </w:r>
    </w:p>
    <w:p w:rsidR="00000000" w:rsidDel="00000000" w:rsidP="00000000" w:rsidRDefault="00000000" w:rsidRPr="00000000" w14:paraId="000002D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von Wach- und Polizeifunktionen (Artikel VII, Absatz 10) ausgeschlossen. In einigen Artikeln werden Mitglieder der zivilen Komponente aufgrund ihrer Staatsangehörigkeit bereits von der Wortwahl der Artikel ausgeschlossen (siehe unten). Dies gilt für Artikel VII, Absatz 4 und Artikel X, Absatz 4. Die von Großbritannien vorgelegte Anmerkung⁴⁴ (die von anderen Delegationen aufgegriffen wurde), dass es nicht akzeptabel wäre, den Zivilpersonen "vollen" Status zu gewähren, hat jedoch ihre Spuren im SOFA hinterlassen.</w:t>
      </w:r>
    </w:p>
    <w:p w:rsidR="00000000" w:rsidDel="00000000" w:rsidP="00000000" w:rsidRDefault="00000000" w:rsidRPr="00000000" w14:paraId="000002D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Definition enthält vier strikte Kriterien:</w:t>
      </w:r>
    </w:p>
    <w:p w:rsidR="00000000" w:rsidDel="00000000" w:rsidP="00000000" w:rsidRDefault="00000000" w:rsidRPr="00000000" w14:paraId="000002D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zivil sein,</w:t>
      </w:r>
    </w:p>
    <w:p w:rsidR="00000000" w:rsidDel="00000000" w:rsidP="00000000" w:rsidRDefault="00000000" w:rsidRPr="00000000" w14:paraId="000002D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eine Streitmacht begleiten,</w:t>
      </w:r>
    </w:p>
    <w:p w:rsidR="00000000" w:rsidDel="00000000" w:rsidP="00000000" w:rsidRDefault="00000000" w:rsidRPr="00000000" w14:paraId="000002D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von den Streitkräften beschäftigt sein,</w:t>
      </w:r>
    </w:p>
    <w:p w:rsidR="00000000" w:rsidDel="00000000" w:rsidP="00000000" w:rsidRDefault="00000000" w:rsidRPr="00000000" w14:paraId="000002D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Bedingungen der Staatsangehörigkeit erfüllen.</w:t>
      </w:r>
    </w:p>
    <w:p w:rsidR="00000000" w:rsidDel="00000000" w:rsidP="00000000" w:rsidRDefault="00000000" w:rsidRPr="00000000" w14:paraId="000002D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w:t>
      </w:r>
      <w:r w:rsidDel="00000000" w:rsidR="00000000" w:rsidRPr="00000000">
        <w:rPr>
          <w:rFonts w:ascii="Times New Roman" w:cs="Times New Roman" w:eastAsia="Times New Roman" w:hAnsi="Times New Roman"/>
          <w:b w:val="1"/>
          <w:i w:val="1"/>
          <w:rtl w:val="0"/>
        </w:rPr>
        <w:t xml:space="preserve">erste Kriterium</w:t>
      </w:r>
      <w:r w:rsidDel="00000000" w:rsidR="00000000" w:rsidRPr="00000000">
        <w:rPr>
          <w:rFonts w:ascii="Times New Roman" w:cs="Times New Roman" w:eastAsia="Times New Roman" w:hAnsi="Times New Roman"/>
          <w:rtl w:val="0"/>
        </w:rPr>
        <w:t xml:space="preserve"> gibt keinen Anlass zu Kommentaren, es betrifft das Personal, das nicht berechtigt ist, Uniform zu tragen.⁴⁵ Das </w:t>
      </w:r>
      <w:r w:rsidDel="00000000" w:rsidR="00000000" w:rsidRPr="00000000">
        <w:rPr>
          <w:rFonts w:ascii="Times New Roman" w:cs="Times New Roman" w:eastAsia="Times New Roman" w:hAnsi="Times New Roman"/>
          <w:b w:val="1"/>
          <w:i w:val="1"/>
          <w:rtl w:val="0"/>
        </w:rPr>
        <w:t xml:space="preserve">zweite Kriterium</w:t>
      </w:r>
      <w:r w:rsidDel="00000000" w:rsidR="00000000" w:rsidRPr="00000000">
        <w:rPr>
          <w:rFonts w:ascii="Times New Roman" w:cs="Times New Roman" w:eastAsia="Times New Roman" w:hAnsi="Times New Roman"/>
          <w:rtl w:val="0"/>
        </w:rPr>
        <w:t xml:space="preserve"> ist komplizierter: wann </w:t>
      </w:r>
      <w:r w:rsidDel="00000000" w:rsidR="00000000" w:rsidRPr="00000000">
        <w:rPr>
          <w:rFonts w:ascii="Times New Roman" w:cs="Times New Roman" w:eastAsia="Times New Roman" w:hAnsi="Times New Roman"/>
          <w:b w:val="1"/>
          <w:u w:val="single"/>
          <w:rtl w:val="0"/>
        </w:rPr>
        <w:t xml:space="preserve">begleitet </w:t>
      </w:r>
      <w:r w:rsidDel="00000000" w:rsidR="00000000" w:rsidRPr="00000000">
        <w:rPr>
          <w:rFonts w:ascii="Times New Roman" w:cs="Times New Roman" w:eastAsia="Times New Roman" w:hAnsi="Times New Roman"/>
          <w:rtl w:val="0"/>
        </w:rPr>
        <w:t xml:space="preserve">das zivile Personal eine Streitmacht; und was ist, wenn das zivile Personal vor der Streitmacht in den Einsatz geht, um ausreichende Vorbereitungen zu treffen und die Ankunft der Streitmacht zu organisieren? Es scheint dem Gesamtziel des SOFA zu widersprechen, wenn zivile Mitarbeiter vom NATO SOFA ausgeschlossen werden, weil sie sich getrennt von der Streitmacht bereitstellen. Daher wird angenommen, dass das Kriterium vom </w:t>
      </w:r>
      <w:r w:rsidDel="00000000" w:rsidR="00000000" w:rsidRPr="00000000">
        <w:rPr>
          <w:rFonts w:ascii="Times New Roman" w:cs="Times New Roman" w:eastAsia="Times New Roman" w:hAnsi="Times New Roman"/>
          <w:b w:val="1"/>
          <w:i w:val="1"/>
          <w:rtl w:val="0"/>
        </w:rPr>
        <w:t xml:space="preserve">dritten Kriterium</w:t>
      </w:r>
      <w:r w:rsidDel="00000000" w:rsidR="00000000" w:rsidRPr="00000000">
        <w:rPr>
          <w:rFonts w:ascii="Times New Roman" w:cs="Times New Roman" w:eastAsia="Times New Roman" w:hAnsi="Times New Roman"/>
          <w:rtl w:val="0"/>
        </w:rPr>
        <w:t xml:space="preserve"> - dass das Personal von den Streitkräften des entsendenden Staates beschäftigt werden muss - aufgehoben wird.⁴⁶ Obwohl dieses Kriterium offensichtlich erscheint, variiert die staatliche Praxis bei der Beschäftigung von Unterstützungspersonal erheblich. Während der Ausarbeitung legten die USA die Kategorien von Zivilisten dar, die als abgedeckt angesehen wurden (Bauarbeiter, Kantinenpersonal, Spezialisten, Büropersonal, Stenografen usw.) und diejenigen, die ausgeschlossen waren (Rotes-Kreuz-Personal, Unterhalter, YMCA-Personal)⁴⁷, aber weitere Kategorien könnten hinzugefügt werden. Die wahrscheinlich am meisten diskutierte Kategorie ist die der Auftragnehmer, d.h. nicht-staatliche, nicht-militärische Unternehmen oder Einzelpersonen, die auf Anfrage der Streitkräfte Dienstleistungen und Unterstützung für die besuchenden Streitkräfte bereitstellen. Je nachdem, mit wem der Vertrag abgeschlossen wird, gelten einzelne Auftragnehmer als in der Definition⁴⁸ enthalten, während die Mitarbeiter von Unternehmen, die entweder einen Vertrag mit den Streitkräften oder mit einer Regierungsbehörde haben, nicht in die Definition aufgenommen werden sollten. Um die Beschränkungen, die durch das NATO-SOFA auferlegt werden, zu überwinden, sind einige Staaten bestrebt, zusätzliche Vereinbarungen abzuschließen, um sicherzustellen, dass auch Kategorien von Zivilpersonen, die nicht direkt von den Streitkräften beschäftigt sind, in die Definition einer zivilen Komponente aufgenommen werden. Diese können verschiedene Personengruppen sein, die zuvor erwähnt wurden (Post/Base Exchange, zivile Auftragnehmer, Rotes Kreuz Personal, Lehrer).⁴⁹ In der Praxis des Vereinigten Königreichs müssen Mitglieder einer zivilen Komponente des Entsendestaates einen Nicht-UK/Commonwealth-Pass besitzen, der durch einen nicht stornierten Eintrag erklärt, dass der Inhaber ein Mitglied einer zivilen Komponente der besuchenden Streitkraft des ausstellenden Staates ist, und von den britischen Behörden akzeptiert wird (UK Visiting Forces Act).</w:t>
      </w:r>
    </w:p>
    <w:p w:rsidR="00000000" w:rsidDel="00000000" w:rsidP="00000000" w:rsidRDefault="00000000" w:rsidRPr="00000000" w14:paraId="000002D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w:t>
      </w:r>
      <w:r w:rsidDel="00000000" w:rsidR="00000000" w:rsidRPr="00000000">
        <w:rPr>
          <w:rFonts w:ascii="Times New Roman" w:cs="Times New Roman" w:eastAsia="Times New Roman" w:hAnsi="Times New Roman"/>
          <w:b w:val="1"/>
          <w:i w:val="1"/>
          <w:rtl w:val="0"/>
        </w:rPr>
        <w:t xml:space="preserve">vierte Kriterium</w:t>
      </w:r>
      <w:r w:rsidDel="00000000" w:rsidR="00000000" w:rsidRPr="00000000">
        <w:rPr>
          <w:rFonts w:ascii="Times New Roman" w:cs="Times New Roman" w:eastAsia="Times New Roman" w:hAnsi="Times New Roman"/>
          <w:rtl w:val="0"/>
        </w:rPr>
        <w:t xml:space="preserve"> zur Staatsangehörigkeit wurde teilweise in den ersten Entwurf der USA aufgenommen. Frankreich brachte das Kriterium während der letzten Phase der Ausarbeitung als Antwort auf den von dem Vorsitzenden zusammen mit seinem Bericht am 28. Februar 1951⁵⁰ verteilten Entwurf der NATO </w:t>
      </w:r>
    </w:p>
    <w:p w:rsidR="00000000" w:rsidDel="00000000" w:rsidP="00000000" w:rsidRDefault="00000000" w:rsidRPr="00000000" w14:paraId="000002E0">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54</w:t>
      </w:r>
    </w:p>
    <w:p w:rsidR="00000000" w:rsidDel="00000000" w:rsidP="00000000" w:rsidRDefault="00000000" w:rsidRPr="00000000" w14:paraId="000002E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SOFA wieder in die Diskussionen ein. Um unter den Schutz der NATO-SOFA zu fallen, müssen Mitglieder einer zivilen Komponente Staatsangehörige eines NATO-Staates⁵¹ sein und dürfen nicht staatenlos sein. Darüber hinaus darf die Person weder Staatsangehörige/r noch ständiger Einwohner/in des Empfangsstaates sein. Die ersten beiden Anforderungen sind in Sicherheitsüberlegungen verwurzelt. Die dritte Anforderung wurde angenommen, um sicherzustellen, dass die Person nicht der Gerichtsbarkeit entgeht oder die Zoll- und Steuervorteile genießt, die mit der Mitgliedschaft in einer zivilen Komponente verbunden sind. Während der erste Teil des Kriteriums keine Probleme aufwirft, hat sich der zweite Teil in zwei Bereichen als problematisch erwiesen: doppelte Staatsbürgerschaft und die Berechnung der Aufenthaltszeit.</w:t>
      </w:r>
    </w:p>
    <w:p w:rsidR="00000000" w:rsidDel="00000000" w:rsidP="00000000" w:rsidRDefault="00000000" w:rsidRPr="00000000" w14:paraId="000002E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 Angehörige (Artikel I, Absatz 1, Buchstabe c.) </w:t>
      </w:r>
      <w:r w:rsidDel="00000000" w:rsidR="00000000" w:rsidRPr="00000000">
        <w:rPr>
          <w:rFonts w:ascii="Times New Roman" w:cs="Times New Roman" w:eastAsia="Times New Roman" w:hAnsi="Times New Roman"/>
          <w:rtl w:val="0"/>
        </w:rPr>
        <w:t xml:space="preserve">Wie bei zivilen Mitarbeitern üblich, begleiten "Angehörige" traditionell besuchende Streitkräfte bei Auslandseinsätzen. Die Definition von Angehörigen besagt, dass zwei Kategorien von Personen gemäß dem NATO-SOFA als Angehörige anerkannt werden: Der Ehepartner und das Kind eines Mitglieds einer Streitmacht oder zivilen Komponente oder des Ehepartners, wenn das Kind von ihm oder ihr abhängig ist. Die Definition in Artikel I, Absatz 1, Buchstabe c, behandelt nicht die Frage der doppelten Staatsbürgerschaft. Wie bei den Mitgliedern der Streitkräfte und der zivilen Komponente wird das Problem in jedem der Artikel angesprochen.</w:t>
      </w:r>
    </w:p>
    <w:p w:rsidR="00000000" w:rsidDel="00000000" w:rsidP="00000000" w:rsidRDefault="00000000" w:rsidRPr="00000000" w14:paraId="000002E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Rechtslage der Beziehung ist nicht Gegenstand des NATO-SOFA, aber das Wort "Ehepartner" bedeutet tatsächlich "Ehefrau oder Ehemann"⁵² und deutet mehr als darauf hin, dass die Beziehung formalisiert sein muss. Es scheint jedoch vernünftig anzunehmen, dass die Beziehung nur im Entsendestaat formalisiert werden muss (und im Pass des Angehörigen anerkannt wird) und dass der Empfangsstaat die Legitimität der Beziehung akzeptieren wird, auch wenn das Eheinstitut im Empfangsstaat nicht existiert, es sei denn, das internationale Privatrecht des Empfangsstaates schreibt etwas anderes vor (z.B. wenn die Beziehung gegen die </w:t>
      </w:r>
      <w:r w:rsidDel="00000000" w:rsidR="00000000" w:rsidRPr="00000000">
        <w:rPr>
          <w:rFonts w:ascii="Times New Roman" w:cs="Times New Roman" w:eastAsia="Times New Roman" w:hAnsi="Times New Roman"/>
          <w:i w:val="1"/>
          <w:rtl w:val="0"/>
        </w:rPr>
        <w:t xml:space="preserve">öffentliche Ordnung </w:t>
      </w:r>
      <w:r w:rsidDel="00000000" w:rsidR="00000000" w:rsidRPr="00000000">
        <w:rPr>
          <w:rFonts w:ascii="Times New Roman" w:cs="Times New Roman" w:eastAsia="Times New Roman" w:hAnsi="Times New Roman"/>
          <w:rtl w:val="0"/>
        </w:rPr>
        <w:t xml:space="preserve">des Empfangsstaates verstößt).</w:t>
      </w:r>
    </w:p>
    <w:p w:rsidR="00000000" w:rsidDel="00000000" w:rsidP="00000000" w:rsidRDefault="00000000" w:rsidRPr="00000000" w14:paraId="000002E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englische Version schließt, wenn sie wörtlich genommen wird, "Kinder" des Ehepartners aus der Definition von Kindern aus ("...die von ihm oder ihr abhängig sind..."). Der französische Text schließt wörtlich übersetzt hingegen Kinder aus, die von einem der Ehepartner abhängig sind, sowie Kinder von alleinerziehenden Elternteilen ("...qui sont à leur charge..." - "...die von ihnen abhängig sind..."). In der Praxis sind jedoch sowohl Kinder, die von Mitgliedern der Streitkräfte oder zivilen Komponenten als auch von deren Ehepartnern abhängig sind, durch die Definition abgedeckt,⁵³ einschließlich Adoptivkindern und Kindern aus früheren Ehen des Mitglieds oder des Ehepartners, auch wenn das Mitglied oder der Ehepartner kein Sorgerecht für das Kind hat, vorausgesetzt, dass der nicht sorgeberechtigte Elternteil (nach dem Recht des Entsendestaats) weiterhin rechtlich für die Unterstützung und Versorgung des Kindes verantwortlich ist.⁵⁴ Die Definition legt kein Alter fest, ab wann ein "Kind" als solches zu betrachten ist, das Kriterium ist ausschließlich an die Abhängigkeit geknüpft und jeder Fall ist zu rechtfertigen, obwohl Minderjährigkeit eine Abhängigkeit vermuten lässt. "Abhängigkeit" wird in erster Linie als finanzielle Interdependenz verstanden;</w:t>
      </w:r>
    </w:p>
    <w:p w:rsidR="00000000" w:rsidDel="00000000" w:rsidP="00000000" w:rsidRDefault="00000000" w:rsidRPr="00000000" w14:paraId="000002E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A">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55</w:t>
      </w:r>
    </w:p>
    <w:p w:rsidR="00000000" w:rsidDel="00000000" w:rsidP="00000000" w:rsidRDefault="00000000" w:rsidRPr="00000000" w14:paraId="000002E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jedoch ist der Grad der Abhängigkeit nicht klar definiert. In der Praxis hat dies jedoch nicht zu Fällen geführt.⁵⁵</w:t>
      </w:r>
    </w:p>
    <w:p w:rsidR="00000000" w:rsidDel="00000000" w:rsidP="00000000" w:rsidRDefault="00000000" w:rsidRPr="00000000" w14:paraId="000002E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Definition schließt im Wesentlichen alle anderen Familienmitglieder aus. Einige Staaten haben durch bilaterale Abkommen den Anwendungsbereich von Artikel I erweitert, um die enge Definition auszugleichen. Das gemeinsame Merkmal der erweiterten Definitionen ist, dass faktisch abhängige Personen/Verwandte in die Definition einbezogen werden, d.h. Personen/Verwandte, die faktisch von einem Mitglied der Streitkräfte oder einem Mitglied eines zivilen Komponenten abhängig sind. </w:t>
      </w:r>
    </w:p>
    <w:p w:rsidR="00000000" w:rsidDel="00000000" w:rsidP="00000000" w:rsidRDefault="00000000" w:rsidRPr="00000000" w14:paraId="000002E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Definition von "Dependents" gibt nicht den Status wieder, der unter dem NATO-SOFA genossen wird - ihr Status wird im Text der nachfolgenden Artikel definiert (oder nicht definiert und somit dem Rechtsstaat des Aufnahmestaats überlassen). Das allgemeine Bild ist, dass Dependents weitgehend wie andere Ausländer behandelt werden, mit den wenigen Ausnahmen, die unten aufgeführt sind. Wenn nicht vom Empfangsstaat aufgehoben, unterliegen Dependents Visabestimmungen und werden dem Rechtsstaat des Aufnahmestaats unterworfen (Führerschein, Steuern). ⁵⁵</w:t>
      </w:r>
    </w:p>
    <w:p w:rsidR="00000000" w:rsidDel="00000000" w:rsidP="00000000" w:rsidRDefault="00000000" w:rsidRPr="00000000" w14:paraId="000002F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Wo (geographischer Anwendungsbereich)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F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Streitkräfte müssen </w:t>
      </w:r>
      <w:r w:rsidDel="00000000" w:rsidR="00000000" w:rsidRPr="00000000">
        <w:rPr>
          <w:rFonts w:ascii="Times New Roman" w:cs="Times New Roman" w:eastAsia="Times New Roman" w:hAnsi="Times New Roman"/>
          <w:b w:val="1"/>
          <w:u w:val="single"/>
          <w:rtl w:val="0"/>
        </w:rPr>
        <w:t xml:space="preserve">im Nordatlantikvertragsgebiet</w:t>
      </w:r>
      <w:r w:rsidDel="00000000" w:rsidR="00000000" w:rsidRPr="00000000">
        <w:rPr>
          <w:rFonts w:ascii="Times New Roman" w:cs="Times New Roman" w:eastAsia="Times New Roman" w:hAnsi="Times New Roman"/>
          <w:rtl w:val="0"/>
        </w:rPr>
        <w:t xml:space="preserve"> tätig sein. Dieses Kriterium legt eine geografische Begrenzung fest, d.h. dass das Mitglied einer Streitkraft einer der Vertragsparteien auf dem Territorium einer anderen Partei im Nordatlantikvertragsgebiet präsent sein muss, d.h. im Gebiet des Nordatlantikvertrags, wie in Artikel 6 des Washingtoner Vertrags definiert. Die geografische Begrenzung, die im NATO-SOFA, Artikel I, festgelegt ist, wird durch den NATO-SOFA, Artikel XX (Metropolgebiet) weiter eingeschränkt.</w:t>
      </w:r>
    </w:p>
    <w:p w:rsidR="00000000" w:rsidDel="00000000" w:rsidP="00000000" w:rsidRDefault="00000000" w:rsidRPr="00000000" w14:paraId="000002F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Wann (funktionale Anwendung)</w:t>
      </w:r>
    </w:p>
    <w:p w:rsidR="00000000" w:rsidDel="00000000" w:rsidP="00000000" w:rsidRDefault="00000000" w:rsidRPr="00000000" w14:paraId="000002F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Mitglied der Streitkräfte muss </w:t>
      </w:r>
      <w:r w:rsidDel="00000000" w:rsidR="00000000" w:rsidRPr="00000000">
        <w:rPr>
          <w:rFonts w:ascii="Times New Roman" w:cs="Times New Roman" w:eastAsia="Times New Roman" w:hAnsi="Times New Roman"/>
          <w:b w:val="1"/>
          <w:u w:val="single"/>
          <w:rtl w:val="0"/>
        </w:rPr>
        <w:t xml:space="preserve">im Zusammenhang mit seinen offiziellen Aufgaben</w:t>
      </w:r>
      <w:r w:rsidDel="00000000" w:rsidR="00000000" w:rsidRPr="00000000">
        <w:rPr>
          <w:rFonts w:ascii="Times New Roman" w:cs="Times New Roman" w:eastAsia="Times New Roman" w:hAnsi="Times New Roman"/>
          <w:rtl w:val="0"/>
        </w:rPr>
        <w:t xml:space="preserve"> auf dem Gebiet einer anderen Vertragspartei anwesend sein. Während die Formulierung "im Zusammenhang mit offiziellen Aufgaben" selbst nur wenige Diskussionen auslöste, wurde die faktische Bedeutung von "... dem Nordatlantikvertragsgebiet ..." und der Anwendung des SOFA während der gesamten Ausarbeitung erörtert. Bei einer Sitzung am 8. Februar 1951⁵⁶ stand die Anwendung des SOFA auf der Tagesordnung: Der Vertreter Belgiens fragte, ob die vorgeschlagene Definition von "bewaffneter Streitkraft" so zu verstehen sei, dass das Abkommen für Mitglieder einer Streitkraft eines Entsendestaates unabhängig vom Grund ihres Aufenthalts auf dem Gebiet des Empfangsstaates gelte, oder ob eine Unterscheidung getroffen werden solle, um klarzustellen, dass das Abkommen nur für die Durchführung von Aufgaben gemäß dem Washingtoner Vertrag angewendet würde. Die USA antworteten, dass keine Unterscheidung getroffen oder beabsichtigt werde, da das Abkommen auf alle Streitkräfte der Teilnehmer angewendet werden solle, unabhängig vom Zweck ihres Aufenthalts auf dem Gebiet des Empfangsstaates. Der kanadische Vertreter schlug vor, dies entweder in der Präambel oder in den Definitionen zu betonen, und auf eine niederländische Frage hin wurde beschlossen, das Problem zu untersuchen, ob das Abkommen den Status von Militärvertretern beeinflusst, die beim Empfangsstaat als Diplomaten akkreditiert sind. Am 12. Februar 1951⁵⁷ wurde eine Neufassung des Artikels veröffentlicht, die die Diskussionen des Juristischen Unterausschusses widerspiegelte. In diesem Entwurf bedeutet</w:t>
      </w:r>
    </w:p>
    <w:p w:rsidR="00000000" w:rsidDel="00000000" w:rsidP="00000000" w:rsidRDefault="00000000" w:rsidRPr="00000000" w14:paraId="000002F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56</w:t>
      </w:r>
    </w:p>
    <w:p w:rsidR="00000000" w:rsidDel="00000000" w:rsidP="00000000" w:rsidRDefault="00000000" w:rsidRPr="00000000" w14:paraId="000002F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Begriff "Kraft" jede Person, die den Land-, See- oder Luftstreitkräften einer Vertragspartei angehört und von dieser in dem Hoheitsgebiet einer anderen Vertragspartei unterhalten wird.</w:t>
      </w:r>
    </w:p>
    <w:p w:rsidR="00000000" w:rsidDel="00000000" w:rsidP="00000000" w:rsidRDefault="00000000" w:rsidRPr="00000000" w14:paraId="000002F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22. Februar 1951 wurde der Entwurf des Abkommens erneut überprüft.⁵⁸ Was Artikel I betrifft, so gab es wenig zu beachten, außer einigen redaktionellen Punkten, wie der Hinzufügung der Worte "im Zusammenhang mit der Durchführung des Nordatlantikvertrags" in der Definition einer "Truppe" in Artikel I.⁵⁹ In der Kommentierung wird nicht erklärt, auf wessen Initiative der Satz übernommen wurde, aber es könnte eine Erinnerung an frühere Diskussionen sein. Der Vorsitzende der Arbeitsgruppe legte am 28. Februar 1951⁶⁰ einen neuen Entwurf vor, ohne spezifische Kommentare zu Artikel I, Absatz 1(a). Daraufhin schlugen die USA vor,⁶¹ den Satz "im Zusammenhang mit der Durchführung des Nordatlantikvertrags" durch "im Gebiet des Nordatlantikvertrags" zu ersetzen. Der Vorschlag wurde begleitet von der Begründung, dass das Abkommen für alle militärischen Personen im Dienst im Gebiet des Nordatlantikvertrags gelten sollte (meine Hervorhebung). Die Niederlande hatten eine weitere Anmerkung:⁶² Wenn Zweifel an der Bedeutung des Satzes "im Zusammenhang mit der Durchführung des Nordatlantikvertrags" bestehen, sollte das in Artikel XVI vorgesehene Verfahren (Konsultationen im Nordatlantikrat) angewendet werden. Die vorgeschlagenen Änderungen wurden in der Sitzung diskutiert,⁶³ und die US-Delegation ergänzte die Erläuterung der Änderung, indem sie erklärte, dass es schwierig wäre festzustellen, ob Truppen im Hoheitsgebiet eines anderen NATO-Mitglieds anwesend sind, aufgrund der Durchführung des Vertrags, und dass solche Unterscheidungen zu erheblichen administrativen Schwierigkeiten führen würden.</w:t>
      </w:r>
    </w:p>
    <w:p w:rsidR="00000000" w:rsidDel="00000000" w:rsidP="00000000" w:rsidRDefault="00000000" w:rsidRPr="00000000" w14:paraId="000002F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US-amerikanische Vorschlag fand keine Unterstützung in der Arbeitsgruppe. Der Vertreter Belgiens wies auf die bilaterale militärische Zusammenarbeit zwischen Belgien und den Niederlanden hin, die nicht mit dem Washingtoner Vertrag zusammenhängt, aber vom NATO-SOFA erfasst würde, wenn der von den USA vorgeschlagene Wortlaut angenommen würde, "was eindeutig dem Geist des [NATO-SOFA] zuwiderlaufen würde". Belgien schlug daher vor, eine Klausel einzufügen, die es dem Aufnahmestaat überlässt zu entscheiden, ob ausländische Truppen unter die Bestimmungen des SOFA fallen sollen. Dänemark und Norwegen lehnten den US-amerikanischen Vorschlag ab und erklärten, dass Mitglieder einer Streitmacht, die sich während ihres Urlaubs im Hoheitsgebiet eines anderen Verbündeten aufhalten, nicht vom SOFA erfasst werden könnten. Kanada hielt es für notwendig, klarzustellen, dass sich der Text auf Mitglieder einer Streitmacht im kollektiven Sinne bezieht. Der Vorsitzende erkannte die Bedenken Belgiens an, lehnte jedoch den Vorschlag ab, ein System einseitiger Entscheidungen darüber einzuführen, ob das SOFA anwendbar sei oder nicht. Stattdessen sollte eine Änderung des Textes sicherstellen, dass Ausnahmen vereinbart werden können. Auf die kanadischen Kommentare antwortete der Vorsitzende, dass die Bestimmung im kollektiven Sinne auf eine Streitmacht abzielt und immer dann, wenn Bezug auf ein individuelles "Mitglied der Streitkraft" genommen werden soll, der Ausdruck "Mitglied der Streitkraft" verwendet wird. Die Kommentare der Dänen und Norweger wurden ebenfalls nicht unterstützt, stattdessen wurde betont, dass das SOFA auch für Mitglieder einer Streitmacht gilt, die sich während ihres Urlaubs im gleichen Staat aufhalten, in dem sich ihre Streitkraft befindet.</w:t>
      </w:r>
    </w:p>
    <w:p w:rsidR="00000000" w:rsidDel="00000000" w:rsidP="00000000" w:rsidRDefault="00000000" w:rsidRPr="00000000" w14:paraId="0000030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57</w:t>
      </w:r>
    </w:p>
    <w:p w:rsidR="00000000" w:rsidDel="00000000" w:rsidP="00000000" w:rsidRDefault="00000000" w:rsidRPr="00000000" w14:paraId="00000302">
      <w:pPr>
        <w:ind w:lef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30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 den Diskussionen wurde ein neuer Entwurf eingereicht,⁶⁴ und die Formulierung von Artikel I, Absatz 1(a) ist fast identisch mit der endgültigen Version. Es wurde die Position der USA (im Vertragsgebiet) mit der Bedenken von Belgien kombiniert, indem eine Ausstiegsklausel eingeführt wurde, die es zwei Parteien ermöglicht, zu vereinbaren, dass "bestimmte Einheiten oder Formationen nicht als "Kraft" für die Zwecke des vorliegenden Abkommens angesehen oder einbezogen werden". Der überarbeitete Entwurf führte auch die Formulierung ein: "...Nordatlantikvertragsgebiet im Zusammenhang mit ihren dienstlichen Aufgaben..." (meine Hervorhebung). Später wurden in einem Treffen vom 7. Mai 1951 "Individuen" zur Ausstiegsklausel hinzugefügt. </w:t>
      </w:r>
    </w:p>
    <w:p w:rsidR="00000000" w:rsidDel="00000000" w:rsidP="00000000" w:rsidRDefault="00000000" w:rsidRPr="00000000" w14:paraId="0000030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der folgenden Sitzung der Arbeitsgruppe⁶⁵ wurden keine Kommentare zur Annahme der neuen Formulierung abgegeben, und ein überarbeiteter Entwurf wurde vorgelegt.⁶⁶ Während in der Zusammenfassung des Treffens vom 23. April 1951 keine Diskussionen zu den von Belgien (im Widerspruch zum Geist des SOFA) oder den USA (keine Unterscheidung bezüglich des Zwecks der Anwesenheit) aufgeworfenen Grundsatzfragen reflektiert sind, betont der Vorsitzende in seinen Kommentaren zum Entwurf vom 7. Mai 1951: "Die Definition von "Kraft" in Absatz 1(a) des Artikels I wurde so geändert, dass das Abkommen, es sei denn, der empfangende Staat und der sendende Staat stimmen anderweitig überein, auf alle Kräfte einer Partei anwendbar ist, die im Nordatlantikvertragsgebiet im Zusammenhang mit ihren dienstlichen Aufgaben in dem Gebiet einer anderen Partei anwesend sind, und nicht nur auf Kräfte im NATO-Dienst. Der Grund dafür ist die administrative Unannehmlichkeit, zwischen Kräften im NATO-Dienst und solchen, die nicht im NATO-Dienst stehen, zu unterscheiden." Damit scheint der belgische Verweis auf die möglichen Einschränkungen, die sich aus dem Geist des SOFA ergeben können, durch den Wunsch, eine Omnibus-Regelung zu schaffen, die alle Sendungen und Empfänge von Kräften innerhalb des geografischen Bereichs des SOFA abdeckt, unabhängig davon, ob sie sich aus der allgemeinen (bi- und multilateralen) militärischen Zusammenarbeit der Alliierten oder direkt aus der Zusammenarbeit innerhalb der Allianz ergeben, überstimmt worden zu sein. Eine Annahme-Regel wurde eingeführt: Sofern zwischen den beteiligten Parteien nichts anderes vereinbart wurde, gilt das NATO-SOFA immer dann, wenn die Kräfte einer Partei für das SOFA im Gebiet einer anderen Partei anwesend sind. Der endgültige Entwurf wurde am 1. Juni 1951⁶⁷ zirkuliert, der Text zur Definition von "Kraft" ist identisch mit dem des unterzeichneten SOFA.</w:t>
      </w:r>
    </w:p>
    <w:p w:rsidR="00000000" w:rsidDel="00000000" w:rsidP="00000000" w:rsidRDefault="00000000" w:rsidRPr="00000000" w14:paraId="0000030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Wenn der Verweis auf den Nordatlantikvertrag besagt, dass das SOFA immer dann gilt, wenn Kräfte eines Alliierten in dem Hoheitsgebiet eines anderen Alliierten präsent sind, es sei denn, die beiden Parteien haben etwas anderes vereinbart, was bedeutet dann die Hinzufügung, dass die Kraft "im Zusammenhang mit ihren offiziellen Pflichten" anwesend sein muss? Lazareff⁶⁸ stuft dieses Kriterium als "essenziell" ein und argumentiert, dass das NATO-SOFA nur für Kräfte gilt, die auf NATO-Dienst sind. Lazareff weist darauf hin, dass dies im Vergleich zum Abkommen zwischen den USA und Japan und den Abkommen zwischen den USA und Westdeutschland speziell für das NATO-SOFA ist, um die Präsenz an "offizielle Pflichten" zu knüpfen. Er erklärt, dass der Ursprung der Anforderung nicht darin liegt, dass es unangemessen war, das NATO-SOFA in allen Fällen anzuwenden, sondern dass eine Reihe europäischer Länder bereits zum Zeitpunkt der Verhandlung des NATO-SOFA (nicht NATO-bezogene) Vereinbarungen über den Transit und die Manöver von Truppen abgeschlossen hatten (die Benelux-Mächte).</w:t>
      </w:r>
    </w:p>
    <w:p w:rsidR="00000000" w:rsidDel="00000000" w:rsidP="00000000" w:rsidRDefault="00000000" w:rsidRPr="00000000" w14:paraId="0000030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9">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58</w:t>
      </w:r>
    </w:p>
    <w:p w:rsidR="00000000" w:rsidDel="00000000" w:rsidP="00000000" w:rsidRDefault="00000000" w:rsidRPr="00000000" w14:paraId="0000030A">
      <w:pPr>
        <w:ind w:lef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30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Lazareff argumentiert weiterhin, dass obwohl es nicht klar ausgedrückt ist, es "logisch impliziert" ist, dass sich die offiziellen Aufgaben auf "NATO-Aufgaben" beziehen müssen, da: "Der ganze Zweck des SOFA darin besteht, den Status der Streitkräfte der Parteien des Nordatlantikvertrags zu definieren, es scheint uns offensichtlich zu sein, dass es nur auf Kräfte im NATO-Dienst angewendet werden kann".⁶⁹ Aber während die Benelux-Zusammenarbeit und die Bitte, Militärpersonal, das akkreditiert ist, um Botschaften im Aufnahmestaat zu besetzen, aus dem NATO SOFA auszunehmen, der Grund für die Annahme der Ausstiegsklausel war, führen die Diskussionen der Arbeitsgruppe, wie oben zusammengefasst, nicht zu den von Lazareff vorgeschlagenen Schlussfolgerungen, im Gegenteil. Wie der Vorsitzende der Arbeitsgruppe in seiner Vorstellung des Entwurfsabkommens vom 7. Mai 1951 erklärt: "Die Definition von "Kraft" in Absatz 1 Buchstabe a) von Artikel I wurde geändert, so dass das Abkommen, sofern der Empfangsstaat und der Sendestaat nicht anders vereinbaren, auf alle Kräfte einer Partei anwendbar ist, die sich in Verbindung mit ihren offiziellen Aufgaben im Gebiet einer anderen Partei im Nordatlantikvertragsgebiet befinden, und nicht nur auf Kräfte im NATO-Dienst". Der Grund dafür ist die Verwaltungsinconvenience, zwischen Kräften im NATO-Dienst und denen, die nicht in einem solchen Dienst sind, zu unterscheiden. Die Aussage wird später nicht herausgefordert oder widersprochen von den Delegationen.</w:t>
      </w:r>
    </w:p>
    <w:p w:rsidR="00000000" w:rsidDel="00000000" w:rsidP="00000000" w:rsidRDefault="00000000" w:rsidRPr="00000000" w14:paraId="0000030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mögliche Erklärung für die Erwähnung von offiziellen Aufgaben könnte sein, dass die Bemerkungen der dänischen und norwegischen Delegationen, dass Mitglieder einer in einem anderen Verbündetenland nur im Urlaub anwesenden Streitkraft nicht durch das SOFA⁷⁰ abgedeckt werden könnten, die Verfasser dazu veranlassten, die Formulierung zu überarbeiten, um zu spezifizieren, dass die Streitkraft offizielle Aufgaben im Zusammenhang mit dem NATO-SOFA wahrnehmen müsste, um anwendbar zu sein. Diese These wird unterstützt, wenn man sich das Brüsseler Abkommen ansieht, eines der formellen Ausgangspunkte der Verhandlungen. Artikel 1 des Brüsseler Abkommens beschränkt die Anwendung des Abkommens auf Kräfte, die bei der Durchführung von Aufgaben gemäß dem Brüsseler Vertrag tätig sind. Diese Formulierung wurde von den Verfassern des NATO-SOFA diskutiert und abgelehnt. Vielleicht hat jedoch der Artikel 2 Absatz 1 des Brüsseler Abkommens die Verfasser inspiriert, die nach dem Treffen am 23. April 1951 Stellungnahmen und Ansichten zusammenführen mussten. Der genannte Artikel gliedert die Mitglieder einer Streitkraft in drei Gruppen: Personal im ständigen Dienst, Personal im vorübergehenden Dienst und regulär konstituierte Einheiten oder Formationen.</w:t>
      </w:r>
    </w:p>
    <w:p w:rsidR="00000000" w:rsidDel="00000000" w:rsidP="00000000" w:rsidRDefault="00000000" w:rsidRPr="00000000" w14:paraId="0000030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F">
      <w:pPr>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Schlussfolgerung</w:t>
      </w:r>
    </w:p>
    <w:p w:rsidR="00000000" w:rsidDel="00000000" w:rsidP="00000000" w:rsidRDefault="00000000" w:rsidRPr="00000000" w14:paraId="0000031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geografische Anwendung sowie die Kategorien von Personal, auf die das NATO-SOFA angewendet werden soll, sind in der Literatur gut beschrieben, jedoch ist die funktionale Anwendung des NATO-SOFA immer noch Gegenstand einiger Diskussionen.⁷¹</w:t>
      </w:r>
    </w:p>
    <w:p w:rsidR="00000000" w:rsidDel="00000000" w:rsidP="00000000" w:rsidRDefault="00000000" w:rsidRPr="00000000" w14:paraId="0000031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Wenn man sich die Zusammenarbeit ansieht, die das NATO-SOFA unterstützen soll, scheint es vernünftig anzunehmen, dass das NATO-SOFA immer dann gilt, wenn Alliierte zusammenarbeiten. Die umfangreiche militärische Zusammenarbeit, ob sie als offiziell bezeichnete NATO-Aktivität oder als Ergebnis der allgemeinen militärischen Zusammenarbeit, die aus der Allianz hervorgegangen ist, stattfindet, ermöglicht es den Truppen, sich mit den geografischen </w:t>
      </w:r>
    </w:p>
    <w:p w:rsidR="00000000" w:rsidDel="00000000" w:rsidP="00000000" w:rsidRDefault="00000000" w:rsidRPr="00000000" w14:paraId="0000031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5">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59</w:t>
      </w:r>
    </w:p>
    <w:p w:rsidR="00000000" w:rsidDel="00000000" w:rsidP="00000000" w:rsidRDefault="00000000" w:rsidRPr="00000000" w14:paraId="0000031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Bedingungen vertraut zu machen, in denen sie in einer Artikel-5-Situation tätig sein könnten, und fördert die allgemeine Zusammenarbeit und Verteidigungsfähigkeit der Allianz gemäß Artikel 3 des Washingtoner Vertrags.⁷²</w:t>
      </w:r>
    </w:p>
    <w:p w:rsidR="00000000" w:rsidDel="00000000" w:rsidP="00000000" w:rsidRDefault="00000000" w:rsidRPr="00000000" w14:paraId="0000031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Anstatt darüber zu debattieren, "wann" das NATO-SOFA angewendet werden soll, wird vorgeschlagen, eine Regel der Annahme anzuwenden: Wenn Parteien des NATO-SOFA Kräfte oder einzelne Mitglieder einer Streitmacht entsenden oder empfangen, wird angenommen, dass das NATO-SOFA gilt, unabhängig von der Art des Besuchs oder der Stationierung.⁷³ Die vorgeschlagene Annahmeregel ist mit der impliziten Ausnahme zu verstehen, dass das NATO-SOFA nicht anwendbar ist, wenn der Status der Streitkräfte/des Mitglieds der Streitkräfte durch andere Vereinbarungen definiert ist⁷⁴ und vom Empfangsstaat als solche akzeptiert wird (z. B. durch eine diplomatische Akkreditierung). Da der Besuch der Zustimmung des Empfangsstaates unterliegt, ist zu erwarten, dass diese Partei Einspruch gegen die Standardklausel erhebt, wenn sie mit der Annahme nicht einverstanden ist.</w:t>
      </w:r>
    </w:p>
    <w:p w:rsidR="00000000" w:rsidDel="00000000" w:rsidP="00000000" w:rsidRDefault="00000000" w:rsidRPr="00000000" w14:paraId="0000031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wird vorgeschlagen, dieselbe Standardposition oder Annahmeregelung auch für die Anwendung des PfP SOFA zu übernehmen. Obwohl die Präambel das allgemeine Prinzip der Zustimmung wiederholt, stützt sich das PfP SOFA auf den Text des NATO SOFA, erweitert die geografische Anwendung des NATO SOFA (Artikel II) und fügt keine weiteren Kriterien für die Anwendung des Abkommens hinzu. Aber das Argument, das für die funktionale Anwendung des NATO SOFA angeführt wird, kann wiederholt werden: Aktivitäten, die im Geiste der NATO und des PfP durchgeführt werden, zielen darauf ab, die Beziehungen zwischen den Alliierten und Partnern zu entwickeln und zu vertiefen, und es scheint irrational, die Anwendung des NATO (PfP) SOFA nur auf diejenigen Ereignisse zu beschränken, die streng als "PfP-Aktivitäten" definiert sind. Ein enger Ansatz wird entweder zu weniger Zusammenarbeit oder zu komplizierteren Verfahren führen, die aufgrund der Notwendigkeit, Zwischenabkommen oder parallele SOFAs auszuhandeln, ohnehin nicht sehr anders aussehen werden als das NATO SOFA. Und da die Aufnahme ausländischer Truppen der Zustimmung des Empfangsstaates unterliegt, behält dieser Staat die Möglichkeit, zu verlangen, dass separate Vereinbarungen abgeschlossen werden, die das Personal vom NATO SOFA ausschließen.</w:t>
      </w:r>
    </w:p>
    <w:p w:rsidR="00000000" w:rsidDel="00000000" w:rsidP="00000000" w:rsidRDefault="00000000" w:rsidRPr="00000000" w14:paraId="0000031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¹Protokoll zwischen der Regierung der Republik Lettland, der Regierung der Republik Litauen und der Regierung der Republik Estland über den Status des Hauptquartiers des Baltic Battalion und des Personals des Baltic Battalion (16. April 1998), Artikel 3.</w:t>
      </w:r>
    </w:p>
    <w:p w:rsidR="00000000" w:rsidDel="00000000" w:rsidP="00000000" w:rsidRDefault="00000000" w:rsidRPr="00000000" w14:paraId="0000031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 Vereinbarung zwischen der Regierung der Republik Lettland, der Regierung der Republik Litauen und der Regierung der Republik Estland über die Einrichtung des Baltic Naval Squadron (16. April 1998), Artikel 4.</w:t>
      </w:r>
    </w:p>
    <w:p w:rsidR="00000000" w:rsidDel="00000000" w:rsidP="00000000" w:rsidRDefault="00000000" w:rsidRPr="00000000" w14:paraId="0000032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³ Vereinbarung zwischen der Regierung der Republik Lettland, der Regierung der Republik Litauen und der Regierung der Republik Estland über die Einrichtung des Baltic Air Surveillance Network (16. April 1998), Artikel II.</w:t>
      </w:r>
    </w:p>
    <w:p w:rsidR="00000000" w:rsidDel="00000000" w:rsidP="00000000" w:rsidRDefault="00000000" w:rsidRPr="00000000" w14:paraId="0000032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Vereinbarung zwischen der Regierung der Republik Lettland, der Regierung der Republik Litauen und der Regierung der Republik Estland über das Baltic Defence College (12. Juni 1998), Artikel V, und das Protokoll zwischen der Regierung der Republik Lettland, der Regierung der Republik Litauen und der Regierung der Republik Estland über den Status des Baltic Defence College und seines Personals (14. Juni 1999), Artikel 9.</w:t>
      </w:r>
    </w:p>
    <w:p w:rsidR="00000000" w:rsidDel="00000000" w:rsidP="00000000" w:rsidRDefault="00000000" w:rsidRPr="00000000" w14:paraId="0000032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Verabschiedet auf dem NATO-Gipfel in Washington, 1999.</w:t>
      </w:r>
    </w:p>
    <w:p w:rsidR="00000000" w:rsidDel="00000000" w:rsidP="00000000" w:rsidRDefault="00000000" w:rsidRPr="00000000" w14:paraId="0000032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1952 Paris Protocol über die NATO International Military Headquarters, 1952 Ottawa Agreement über den Status der NATO und ihrer nationalen Vertreter und internationalen Mitarbeiter sowie das 1994 Brussels Agreement über den Status von Vertretern Dritter bei der NATO.</w:t>
      </w:r>
    </w:p>
    <w:p w:rsidR="00000000" w:rsidDel="00000000" w:rsidP="00000000" w:rsidRDefault="00000000" w:rsidRPr="00000000" w14:paraId="0000032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9">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60</w:t>
      </w:r>
    </w:p>
    <w:p w:rsidR="00000000" w:rsidDel="00000000" w:rsidP="00000000" w:rsidRDefault="00000000" w:rsidRPr="00000000" w14:paraId="0000032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w:t>
      </w:r>
      <w:r w:rsidDel="00000000" w:rsidR="00000000" w:rsidRPr="00000000">
        <w:rPr>
          <w:rFonts w:ascii="Times New Roman" w:cs="Times New Roman" w:eastAsia="Times New Roman" w:hAnsi="Times New Roman"/>
          <w:rtl w:val="0"/>
        </w:rPr>
        <w:t xml:space="preserve"> Robert E. Harkavy, zitiert nach John Woodliffe, Die Friedenszeitnutzung ausländischer Militäreinrichtungen im modernen Völkerrecht, 1992, S. 15. </w:t>
      </w:r>
    </w:p>
    <w:p w:rsidR="00000000" w:rsidDel="00000000" w:rsidP="00000000" w:rsidRDefault="00000000" w:rsidRPr="00000000" w14:paraId="0000032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Serge Lazareff, Der Status von Militärkräften nach geltendem Völkerrecht, 1971, S. 7-8. </w:t>
      </w:r>
    </w:p>
    <w:p w:rsidR="00000000" w:rsidDel="00000000" w:rsidP="00000000" w:rsidRDefault="00000000" w:rsidRPr="00000000" w14:paraId="0000032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rtl w:val="0"/>
        </w:rPr>
        <w:t xml:space="preserve"> John Woodliffe, ibid, S. 15. </w:t>
      </w:r>
    </w:p>
    <w:p w:rsidR="00000000" w:rsidDel="00000000" w:rsidP="00000000" w:rsidRDefault="00000000" w:rsidRPr="00000000" w14:paraId="0000033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10</w:t>
      </w:r>
      <w:r w:rsidDel="00000000" w:rsidR="00000000" w:rsidRPr="00000000">
        <w:rPr>
          <w:rFonts w:ascii="Times New Roman" w:cs="Times New Roman" w:eastAsia="Times New Roman" w:hAnsi="Times New Roman"/>
          <w:rtl w:val="0"/>
        </w:rPr>
        <w:t xml:space="preserve"> Gordon B. Baldwin, Das internationale Recht der im Ausland stationierten Streitkräfte, Newport, 1980. </w:t>
      </w:r>
    </w:p>
    <w:p w:rsidR="00000000" w:rsidDel="00000000" w:rsidP="00000000" w:rsidRDefault="00000000" w:rsidRPr="00000000" w14:paraId="0000033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11</w:t>
      </w:r>
      <w:r w:rsidDel="00000000" w:rsidR="00000000" w:rsidRPr="00000000">
        <w:rPr>
          <w:rFonts w:ascii="Times New Roman" w:cs="Times New Roman" w:eastAsia="Times New Roman" w:hAnsi="Times New Roman"/>
          <w:rtl w:val="0"/>
        </w:rPr>
        <w:t xml:space="preserve"> Die Einzelheiten der Vereinbarungen über die Gerichtsbarkeit werden in Serge Lazareff, ibid, Erster Teil, Kapitel III, Abschnitt 4 beschrieben. </w:t>
      </w:r>
    </w:p>
    <w:p w:rsidR="00000000" w:rsidDel="00000000" w:rsidP="00000000" w:rsidRDefault="00000000" w:rsidRPr="00000000" w14:paraId="0000033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12</w:t>
      </w:r>
      <w:r w:rsidDel="00000000" w:rsidR="00000000" w:rsidRPr="00000000">
        <w:rPr>
          <w:rFonts w:ascii="Times New Roman" w:cs="Times New Roman" w:eastAsia="Times New Roman" w:hAnsi="Times New Roman"/>
          <w:rtl w:val="0"/>
        </w:rPr>
        <w:t xml:space="preserve"> Wiener Übereinkommen über diplomatische Beziehungen, 1961. </w:t>
      </w:r>
    </w:p>
    <w:p w:rsidR="00000000" w:rsidDel="00000000" w:rsidP="00000000" w:rsidRDefault="00000000" w:rsidRPr="00000000" w14:paraId="0000033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 "Um die Ziele dieses Vertrags wirksamer zu erreichen, werden die Parteien einzeln und gemeinsam durch kontinuierliche und effektive Selbsthilfe und gegenseitige Unterstützung ihre individuellen und kollektiven Fähigkeiten zur Abwehr bewaffneter Angriffe aufrechterhalten und entwickeln". </w:t>
      </w:r>
    </w:p>
    <w:p w:rsidR="00000000" w:rsidDel="00000000" w:rsidP="00000000" w:rsidRDefault="00000000" w:rsidRPr="00000000" w14:paraId="0000033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14</w:t>
      </w:r>
      <w:r w:rsidDel="00000000" w:rsidR="00000000" w:rsidRPr="00000000">
        <w:rPr>
          <w:rFonts w:ascii="Times New Roman" w:cs="Times New Roman" w:eastAsia="Times New Roman" w:hAnsi="Times New Roman"/>
          <w:rtl w:val="0"/>
        </w:rPr>
        <w:t xml:space="preserve"> Der Begriff wird von Serge Lazareff, ibid, S. 8 verwendet. Unter Berücksichtigung der Entwicklung der militärischen Zusammenarbeit nach der Auflösung des Warschauer Pakts und da die territoriale Souveränität des Empfangsstaates von der oben definierten "friedlichen militärischen Besetzung" unberührt bleibt, scheint der Begriff "friedliche militärische Besetzung" ein Widerspruch in sich zu sein. Die klassische Besatzungsmacht strebt danach, Kontrolle über das Gebiet auszuüben und Besitz zu ergreifen, einschließlich der Ausübung von Gerichtsbarkeitsbefugnissen (occupatio bellica), während die herkömmliche Besetzung durch einen Rechtsakt die abgewendeten Befugnisse der Besatzungsmacht und des besetzten Staates definiert und normalerweise dem besetzten Staat sowohl den Titel als auch die Ausübung seiner Souveränität überlässt. Letztere Situation mag der Ausgangspunkt für die Verhandlungen über die Stationierung von alliierten Streitkräften in einigen europäischen Ländern nach dem Zweiten Weltkrieg gewesen sein. Sowohl innerhalb der Allianz als auch im Rahmen des Partnerschaftsprogramms für den Frieden fehlt jedoch der Vergleich zu "Besatzung" und "Garnisonierung von Streitkräften", da keine Aktivität bisher eine dauerhafte Garnisonierung von Truppen umfasst hat, außer zur Unterstützung von Friedensunterstützungsoperationen. In diesen Fällen wurde die Stationierung auf der Zustimmung des Empfangsstaates und auf separaten Abkommen basiert, aber Dokumente, die im Rahmen der Partnerschaft für den Frieden bereitgestellt wurden, wurden z.B. für den Status der Streitkräfte angewendet. Um die heutigen Beziehungen widerzuspiegeln, wird die Zusammenarbeit innerhalb der NATO und des Partnerschaftsprogramms für den Frieden im Folgenden als "Friedenszeitmilitärkooperation".</w:t>
      </w:r>
    </w:p>
    <w:p w:rsidR="00000000" w:rsidDel="00000000" w:rsidP="00000000" w:rsidRDefault="00000000" w:rsidRPr="00000000" w14:paraId="0000033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15</w:t>
      </w:r>
      <w:r w:rsidDel="00000000" w:rsidR="00000000" w:rsidRPr="00000000">
        <w:rPr>
          <w:rFonts w:ascii="Times New Roman" w:cs="Times New Roman" w:eastAsia="Times New Roman" w:hAnsi="Times New Roman"/>
          <w:rtl w:val="0"/>
        </w:rPr>
        <w:t xml:space="preserve"> Die folgenden Informationen basieren auf Serge Lazareff, Zweiter Teil, Kapitel I, Status der Streitkräfte nach dem aktuellen Völkerrecht, 1971, und den "Travaux Préparatoires" des NATO-SOFA.</w:t>
      </w:r>
    </w:p>
    <w:p w:rsidR="00000000" w:rsidDel="00000000" w:rsidP="00000000" w:rsidRDefault="00000000" w:rsidRPr="00000000" w14:paraId="0000033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16</w:t>
      </w:r>
      <w:r w:rsidDel="00000000" w:rsidR="00000000" w:rsidRPr="00000000">
        <w:rPr>
          <w:rFonts w:ascii="Times New Roman" w:cs="Times New Roman" w:eastAsia="Times New Roman" w:hAnsi="Times New Roman"/>
          <w:rtl w:val="0"/>
        </w:rPr>
        <w:t xml:space="preserve"> Abkommen über den Status der Streitkräfte der Brüsseler Vertragsmächte, 21. Dezember 1949.</w:t>
      </w:r>
    </w:p>
    <w:p w:rsidR="00000000" w:rsidDel="00000000" w:rsidP="00000000" w:rsidRDefault="00000000" w:rsidRPr="00000000" w14:paraId="0000033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17</w:t>
      </w:r>
      <w:r w:rsidDel="00000000" w:rsidR="00000000" w:rsidRPr="00000000">
        <w:rPr>
          <w:rFonts w:ascii="Times New Roman" w:cs="Times New Roman" w:eastAsia="Times New Roman" w:hAnsi="Times New Roman"/>
          <w:rtl w:val="0"/>
        </w:rPr>
        <w:t xml:space="preserve"> D-R(51) 3, Zusammenfassung eines Treffens der Ratsstellvertreter (15. Januar 1951). Belgien, Kanada, Dänemark, Frankreich, Island, Italien, die Niederlande, Norwegen, Portugal, das Vereinigte Königreich und die Vereinigten Staaten nahmen an der Ausarbeitung teil.</w:t>
      </w:r>
    </w:p>
    <w:p w:rsidR="00000000" w:rsidDel="00000000" w:rsidP="00000000" w:rsidRDefault="00000000" w:rsidRPr="00000000" w14:paraId="0000034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18</w:t>
      </w:r>
      <w:r w:rsidDel="00000000" w:rsidR="00000000" w:rsidRPr="00000000">
        <w:rPr>
          <w:rFonts w:ascii="Times New Roman" w:cs="Times New Roman" w:eastAsia="Times New Roman" w:hAnsi="Times New Roman"/>
          <w:rtl w:val="0"/>
        </w:rPr>
        <w:t xml:space="preserve"> Die Vorarbeiten zum NATO-SOFA (und zum Pariser Protokoll) sind in einem Blue Book des U.S. Naval College gesammelt (U.S. Naval War College, International Law Studies, NATO Agreements on Status: Travaux Préparatoires, herausgegeben von Professor für Recht Joseph M. Snee, S.J., NAVPERS 15031, Vol. LIV, 1961).</w:t>
      </w:r>
    </w:p>
    <w:p w:rsidR="00000000" w:rsidDel="00000000" w:rsidP="00000000" w:rsidRDefault="00000000" w:rsidRPr="00000000" w14:paraId="0000034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19</w:t>
      </w:r>
      <w:r w:rsidDel="00000000" w:rsidR="00000000" w:rsidRPr="00000000">
        <w:rPr>
          <w:rFonts w:ascii="Times New Roman" w:cs="Times New Roman" w:eastAsia="Times New Roman" w:hAnsi="Times New Roman"/>
          <w:rtl w:val="0"/>
        </w:rPr>
        <w:t xml:space="preserve"> Ein Beispiel dafür ist, dass der WEU-Rat in seinem 45. Jahresbericht an die WEU-Versammlung empfiehlt, dass ein SOFA für die Zusammenarbeit innerhalb der WEU verabschiedet werden sollte, und ein weiterer Entwurf einer WEU-Empfehlung aus dem Jahr 1998 legt nahe, dass das SOFA auf dem NATO-SOFA basieren sollte, siehe Dokument 1625 vom 10. November 1998, BERICHTE im Namen des Politischen Ausschusses von Herrn Urbain, Berichterstatter, enthalten im Zweiten Teil des fünfundvierzigsten Jahresberichts des WEU-Rates an die WEU-Versammlung. Der Entwurf des EU-Status of Forces Agreement (10. Entwurf vom Juli 2003) basiert tatsächlich auf dem NATO-SOFA, übernimmt jedoch gleichzeitig unterschiedliche Begriffe und versucht, auf eine breitere Zielgruppe anzuwenden (Hauptquartiere, die der EU zugewiesen sind, und der EU-Militärstab).</w:t>
      </w:r>
    </w:p>
    <w:p w:rsidR="00000000" w:rsidDel="00000000" w:rsidP="00000000" w:rsidRDefault="00000000" w:rsidRPr="00000000" w14:paraId="0000034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20</w:t>
      </w:r>
      <w:r w:rsidDel="00000000" w:rsidR="00000000" w:rsidRPr="00000000">
        <w:rPr>
          <w:rFonts w:ascii="Times New Roman" w:cs="Times New Roman" w:eastAsia="Times New Roman" w:hAnsi="Times New Roman"/>
          <w:rtl w:val="0"/>
        </w:rPr>
        <w:t xml:space="preserve"> Fragen und Antworten zum NATO-Status-of-Forces-Abkommen, Public Services Division, US-Außenministerium (Nr. 6, April 1956), zitiert nach Serge Lazareff, ebenda, S. 57.</w:t>
      </w:r>
    </w:p>
    <w:p w:rsidR="00000000" w:rsidDel="00000000" w:rsidP="00000000" w:rsidRDefault="00000000" w:rsidRPr="00000000" w14:paraId="0000034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21</w:t>
      </w:r>
      <w:r w:rsidDel="00000000" w:rsidR="00000000" w:rsidRPr="00000000">
        <w:rPr>
          <w:rFonts w:ascii="Times New Roman" w:cs="Times New Roman" w:eastAsia="Times New Roman" w:hAnsi="Times New Roman"/>
          <w:rtl w:val="0"/>
        </w:rPr>
        <w:t xml:space="preserve"> Die Zustimmung ist frei (Wiener Übereinkommen über das Recht der Verträge, 1969) und wird unter dem Grundsatz der souveränen Gleichheit und Unabhängigkeit aller Staaten, wie sie im Völkerrecht zum Ausdruck kommt und durch die Charta der Vereinten Nationen von 1945, Artikel 2 Absatz 1, bestätigt wird, eingegangen.</w:t>
      </w:r>
    </w:p>
    <w:p w:rsidR="00000000" w:rsidDel="00000000" w:rsidP="00000000" w:rsidRDefault="00000000" w:rsidRPr="00000000" w14:paraId="0000034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8">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61</w:t>
      </w:r>
    </w:p>
    <w:p w:rsidR="00000000" w:rsidDel="00000000" w:rsidP="00000000" w:rsidRDefault="00000000" w:rsidRPr="00000000" w14:paraId="0000034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22</w:t>
      </w:r>
      <w:r w:rsidDel="00000000" w:rsidR="00000000" w:rsidRPr="00000000">
        <w:rPr>
          <w:rFonts w:ascii="Times New Roman" w:cs="Times New Roman" w:eastAsia="Times New Roman" w:hAnsi="Times New Roman"/>
          <w:rtl w:val="0"/>
        </w:rPr>
        <w:t xml:space="preserve"> Serge Lazareff, ibid, S. 71.</w:t>
      </w:r>
    </w:p>
    <w:p w:rsidR="00000000" w:rsidDel="00000000" w:rsidP="00000000" w:rsidRDefault="00000000" w:rsidRPr="00000000" w14:paraId="0000034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23</w:t>
      </w:r>
      <w:r w:rsidDel="00000000" w:rsidR="00000000" w:rsidRPr="00000000">
        <w:rPr>
          <w:rFonts w:ascii="Times New Roman" w:cs="Times New Roman" w:eastAsia="Times New Roman" w:hAnsi="Times New Roman"/>
          <w:rtl w:val="0"/>
        </w:rPr>
        <w:t xml:space="preserve"> Im Hinblick auf die NATO Internationalen Militärhauptquartiere, die im Rahmen des Pariser Protokolls errichtet wurden, wird die Zustimmung des Gastlandes in einer Gastgeberländervereinbarung bestätigt. Die Vereinbarung erläutert im Allgemeinen die Immunitäten und Privilegien des Hauptquartiers und seines Personals, legt die Personalstärken und die Verfahren fest, die in Bezug auf die Zusammenarbeit mit dem Gastland und etwaige Voraussetzungen für die Aktivitäten des Hauptquartiers anzuwenden sind.</w:t>
      </w:r>
    </w:p>
    <w:p w:rsidR="00000000" w:rsidDel="00000000" w:rsidP="00000000" w:rsidRDefault="00000000" w:rsidRPr="00000000" w14:paraId="0000034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24</w:t>
      </w:r>
      <w:r w:rsidDel="00000000" w:rsidR="00000000" w:rsidRPr="00000000">
        <w:rPr>
          <w:rFonts w:ascii="Times New Roman" w:cs="Times New Roman" w:eastAsia="Times New Roman" w:hAnsi="Times New Roman"/>
          <w:rtl w:val="0"/>
        </w:rPr>
        <w:t xml:space="preserve"> John Woodliffe, ibid, S. 35.</w:t>
      </w:r>
    </w:p>
    <w:p w:rsidR="00000000" w:rsidDel="00000000" w:rsidP="00000000" w:rsidRDefault="00000000" w:rsidRPr="00000000" w14:paraId="0000034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25</w:t>
      </w:r>
      <w:r w:rsidDel="00000000" w:rsidR="00000000" w:rsidRPr="00000000">
        <w:rPr>
          <w:rFonts w:ascii="Times New Roman" w:cs="Times New Roman" w:eastAsia="Times New Roman" w:hAnsi="Times New Roman"/>
          <w:rtl w:val="0"/>
        </w:rPr>
        <w:t xml:space="preserve"> Einige Partnerstaaten erfordern möglicherweise immer noch ein anderes Verfahren, das aufgrund der nach dem Kalten Krieg eingeführten strengen Rechtsregime erforderlich ist.</w:t>
      </w:r>
    </w:p>
    <w:p w:rsidR="00000000" w:rsidDel="00000000" w:rsidP="00000000" w:rsidRDefault="00000000" w:rsidRPr="00000000" w14:paraId="0000035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26</w:t>
      </w:r>
      <w:r w:rsidDel="00000000" w:rsidR="00000000" w:rsidRPr="00000000">
        <w:rPr>
          <w:rFonts w:ascii="Times New Roman" w:cs="Times New Roman" w:eastAsia="Times New Roman" w:hAnsi="Times New Roman"/>
          <w:rtl w:val="0"/>
        </w:rPr>
        <w:t xml:space="preserve"> Referenzen:</w:t>
      </w:r>
    </w:p>
    <w:p w:rsidR="00000000" w:rsidDel="00000000" w:rsidP="00000000" w:rsidRDefault="00000000" w:rsidRPr="00000000" w14:paraId="0000035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Protokoll zwischen der Regierung der Republik Lettland, der Regierung der Republik Litauen und der Regierung der Republik Estland über den Status des Baltischen Verteidigungskollegs und seines Personals (14. Juni 1999), Artikel 12, 2, und Memorandum of Understanding zwischen den Verteidigungsministerien von Estland, Lettland und Litauen über den Betrieb, die Verwaltung und die Finanzierung des Baltischen Verteidigungskollegs (11. Dezember 1998), Abschnitt 8.</w:t>
      </w:r>
    </w:p>
    <w:p w:rsidR="00000000" w:rsidDel="00000000" w:rsidP="00000000" w:rsidRDefault="00000000" w:rsidRPr="00000000" w14:paraId="0000035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Memorandum of Understanding zwischen den Verteidigungsministerien von Estland, Lettland und Litauen über den Betrieb, die Finanzierung und die Verwaltung des Baltischen Bataillons (7. Mai 1999), Abschnitt 6.6. n</w:t>
      </w:r>
    </w:p>
    <w:p w:rsidR="00000000" w:rsidDel="00000000" w:rsidP="00000000" w:rsidRDefault="00000000" w:rsidRPr="00000000" w14:paraId="0000035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Memorandum of Understanding zwischen den Verteidigungsministerien von Estland, Lettland und Litauen über die Organisation, den Betrieb, die Finanzierung und die Verwaltung des Baltischen Marinegeschwaders (September 1999), Abschnitt 3.4.</w:t>
      </w:r>
    </w:p>
    <w:p w:rsidR="00000000" w:rsidDel="00000000" w:rsidP="00000000" w:rsidRDefault="00000000" w:rsidRPr="00000000" w14:paraId="0000035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27</w:t>
      </w:r>
      <w:r w:rsidDel="00000000" w:rsidR="00000000" w:rsidRPr="00000000">
        <w:rPr>
          <w:rFonts w:ascii="Times New Roman" w:cs="Times New Roman" w:eastAsia="Times New Roman" w:hAnsi="Times New Roman"/>
          <w:rtl w:val="0"/>
        </w:rPr>
        <w:t xml:space="preserve"> "Force" bezieht sich auf das Personal, das den Land-, See- oder Luftstreitkräften einer Vertragspartei angehört, wenn es sich im Hoheitsgebiet einer anderen Vertragspartei im nordatlantischen Vertragsgebiet im Zusammenhang mit ihren dienstlichen Aufgaben befindet, vorausgesetzt, dass sich die beiden betroffenen Vertragsparteien darauf einigen können, dass bestimmte Einzelpersonen, Einheiten oder Formationen nicht als "Kraft" angesehen werden oder in diesem Abkommen eingeschlossen sind.</w:t>
      </w:r>
    </w:p>
    <w:p w:rsidR="00000000" w:rsidDel="00000000" w:rsidP="00000000" w:rsidRDefault="00000000" w:rsidRPr="00000000" w14:paraId="000003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28</w:t>
      </w:r>
      <w:r w:rsidDel="00000000" w:rsidR="00000000" w:rsidRPr="00000000">
        <w:rPr>
          <w:rFonts w:ascii="Times New Roman" w:cs="Times New Roman" w:eastAsia="Times New Roman" w:hAnsi="Times New Roman"/>
          <w:rtl w:val="0"/>
        </w:rPr>
        <w:t xml:space="preserve"> Wie vom Vorsitzenden in MS-R(51) 13, Zusammenfassung des Protokolls einer Sitzung der Arbeitsgruppe zum Status (23. April 1951) erläutert.</w:t>
      </w:r>
    </w:p>
    <w:p w:rsidR="00000000" w:rsidDel="00000000" w:rsidP="00000000" w:rsidRDefault="00000000" w:rsidRPr="00000000" w14:paraId="000003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29</w:t>
      </w:r>
      <w:r w:rsidDel="00000000" w:rsidR="00000000" w:rsidRPr="00000000">
        <w:rPr>
          <w:rFonts w:ascii="Times New Roman" w:cs="Times New Roman" w:eastAsia="Times New Roman" w:hAnsi="Times New Roman"/>
          <w:rtl w:val="0"/>
        </w:rPr>
        <w:t xml:space="preserve"> Eingefügt in MS-D(51) 28, Überarbeiteter Entwurf des Statusabkommens über die Streitkräfte (27. April 1951), nach Diskussionen in MS-R(51) 13, Zusammenfassung des Protokolls einer Sitzung der Arbeitsgruppe zum Status (23. April 1951), die tatsächlich nicht das Thema des diplomatischen Personals berührte.</w:t>
      </w:r>
    </w:p>
    <w:p w:rsidR="00000000" w:rsidDel="00000000" w:rsidP="00000000" w:rsidRDefault="00000000" w:rsidRPr="00000000" w14:paraId="000003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30</w:t>
      </w:r>
      <w:r w:rsidDel="00000000" w:rsidR="00000000" w:rsidRPr="00000000">
        <w:rPr>
          <w:rFonts w:ascii="Times New Roman" w:cs="Times New Roman" w:eastAsia="Times New Roman" w:hAnsi="Times New Roman"/>
          <w:rtl w:val="0"/>
        </w:rPr>
        <w:t xml:space="preserve"> D-R(51) 41, Zusammenfassung des Protokolls einer Sitzung der Stellvertreter des Rates, 24. Mai 1951.</w:t>
      </w:r>
    </w:p>
    <w:p w:rsidR="00000000" w:rsidDel="00000000" w:rsidP="00000000" w:rsidRDefault="00000000" w:rsidRPr="00000000" w14:paraId="000003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31</w:t>
      </w:r>
      <w:r w:rsidDel="00000000" w:rsidR="00000000" w:rsidRPr="00000000">
        <w:rPr>
          <w:rFonts w:ascii="Times New Roman" w:cs="Times New Roman" w:eastAsia="Times New Roman" w:hAnsi="Times New Roman"/>
          <w:rtl w:val="0"/>
        </w:rPr>
        <w:t xml:space="preserve"> Trotz dieser Aussage stellte das US-Berufungsgericht für den Bezirk Columbia in den frühen 1960er Jahren die Frage nach den Formalitäten eines Abkommens, das Personal vom SOFA ausschließt (siehe Lazareff, ebenda, S. 83, Fußnote 34). Ein belgischer Korporal, der als Sekretär des belgischen Militärattachés in den USA tätig war und der belgischen Botschaft gemäß dem Wiener Übereinkommen über diplomatische Beziehungen (1961) zugeteilt war, verursachte einen Verkehrsunfall, und das Opfer verlangte Schadenersatz gemäß Artikel VIII des NATO-SOFA. Das Gericht entschied, dass die Akkreditierung des Korporals bei den USA gemäß diplomatischen Verfahren kein Abkommen im Sinne von Artikel I, Absatz 1(a) des NATO-SOFA darstellte und dass der Korporal dem NATO-SOFA unterlag. Die Entscheidung des Gerichts erscheint kontrovers und steht im Widerspruch zu den Absichten der Verfasser des SOFA. Einige Länder haben das Problem durch einseitige Dokumente gelöst, z. B. interne Leitfäden zum SOFA, in denen ausgedrückt wird, dass das NATO-SOFA tatsächlich nicht für Personal gilt, das unter diplomatischen Regimen, einschließlich des Ottawa-Abkommens, entsandt wird (z. B. das Vereinigte Königreich).</w:t>
      </w:r>
    </w:p>
    <w:p w:rsidR="00000000" w:rsidDel="00000000" w:rsidP="00000000" w:rsidRDefault="00000000" w:rsidRPr="00000000" w14:paraId="000003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32</w:t>
      </w:r>
      <w:r w:rsidDel="00000000" w:rsidR="00000000" w:rsidRPr="00000000">
        <w:rPr>
          <w:rFonts w:ascii="Times New Roman" w:cs="Times New Roman" w:eastAsia="Times New Roman" w:hAnsi="Times New Roman"/>
          <w:rtl w:val="0"/>
        </w:rPr>
        <w:t xml:space="preserve"> Siehe MS-R(51) 13, Zusammenfassung des Protokolls einer Sitzung der Arbeitsgruppe zum Status (23. April 1951), Absatz 10 (Urlaub) und 18 (Transit).</w:t>
      </w:r>
    </w:p>
    <w:p w:rsidR="00000000" w:rsidDel="00000000" w:rsidP="00000000" w:rsidRDefault="00000000" w:rsidRPr="00000000" w14:paraId="000003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33</w:t>
      </w:r>
      <w:r w:rsidDel="00000000" w:rsidR="00000000" w:rsidRPr="00000000">
        <w:rPr>
          <w:rFonts w:ascii="Times New Roman" w:cs="Times New Roman" w:eastAsia="Times New Roman" w:hAnsi="Times New Roman"/>
          <w:rtl w:val="0"/>
        </w:rPr>
        <w:t xml:space="preserve"> Lazareff, ebenda, S. 80-82, und D-D(51) 269, Memorandum des Vereinigten Königreichs zum Status des Streitkräfteabkommens über vorläufige Umsetzung und Anspruchsverfahren (29. Oktober 1951), in dem das Vereinigte Königreich erklärt, dass es bereit ist, Pass- und Visumanforderungen für Personal, das sich im Urlaub im Vereinigten Königreich befindet, zu erlassen, vorausgesetzt, dass der Aufenthalt im Vereinigten Königreich 21 Tage nicht überschreitet und die Person 1) einen militärischen Ausweis mit sich führt und 2) einen Bewegungsbefehl hat, der a) angibt, dass die Person im Urlaub ist und b) die Dauer des Urlaubs.</w:t>
      </w:r>
    </w:p>
    <w:p w:rsidR="00000000" w:rsidDel="00000000" w:rsidP="00000000" w:rsidRDefault="00000000" w:rsidRPr="00000000" w14:paraId="000003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jc w:val="both"/>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34</w:t>
      </w:r>
      <w:r w:rsidDel="00000000" w:rsidR="00000000" w:rsidRPr="00000000">
        <w:rPr>
          <w:rFonts w:ascii="Times New Roman" w:cs="Times New Roman" w:eastAsia="Times New Roman" w:hAnsi="Times New Roman"/>
          <w:rtl w:val="0"/>
        </w:rPr>
        <w:t xml:space="preserve"> MS-D(51) 3, Status of Forces Agreement - Notiz des Vereinigten Königreichs zur Definition von Kontingent im Entwurf (7. Februar 1951).</w:t>
      </w:r>
      <w:r w:rsidDel="00000000" w:rsidR="00000000" w:rsidRPr="00000000">
        <w:rPr>
          <w:rtl w:val="0"/>
        </w:rPr>
      </w:r>
    </w:p>
    <w:p w:rsidR="00000000" w:rsidDel="00000000" w:rsidP="00000000" w:rsidRDefault="00000000" w:rsidRPr="00000000" w14:paraId="0000036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35</w:t>
      </w:r>
      <w:r w:rsidDel="00000000" w:rsidR="00000000" w:rsidRPr="00000000">
        <w:rPr>
          <w:rFonts w:ascii="Times New Roman" w:cs="Times New Roman" w:eastAsia="Times New Roman" w:hAnsi="Times New Roman"/>
          <w:rtl w:val="0"/>
        </w:rPr>
        <w:t xml:space="preserve"> Siehe MS(F)-R(51) 1, Zusammenfassendes Protokoll eines Treffens der Arbeitsgruppe für den Status (Finanzunterausschuss) (13. Februar 1951) und MS(J)-R(51) 1, Zusammenfassendes Protokoll eines Treffens der </w:t>
      </w:r>
    </w:p>
    <w:p w:rsidR="00000000" w:rsidDel="00000000" w:rsidP="00000000" w:rsidRDefault="00000000" w:rsidRPr="00000000" w14:paraId="0000036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9">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62</w:t>
      </w:r>
    </w:p>
    <w:p w:rsidR="00000000" w:rsidDel="00000000" w:rsidP="00000000" w:rsidRDefault="00000000" w:rsidRPr="00000000" w14:paraId="0000036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Arbeitsgruppe für den Status (Juristischer Unterausschuss) (8. Februar 1951).</w:t>
      </w:r>
    </w:p>
    <w:p w:rsidR="00000000" w:rsidDel="00000000" w:rsidP="00000000" w:rsidRDefault="00000000" w:rsidRPr="00000000" w14:paraId="0000036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36</w:t>
      </w:r>
      <w:r w:rsidDel="00000000" w:rsidR="00000000" w:rsidRPr="00000000">
        <w:rPr>
          <w:rFonts w:ascii="Times New Roman" w:cs="Times New Roman" w:eastAsia="Times New Roman" w:hAnsi="Times New Roman"/>
          <w:rtl w:val="0"/>
        </w:rPr>
        <w:t xml:space="preserve"> Die verschiedenen Kategorien von militärischem und paramilitärischem Personal sollten wie folgt unterteilt werden:</w:t>
      </w:r>
    </w:p>
    <w:p w:rsidR="00000000" w:rsidDel="00000000" w:rsidP="00000000" w:rsidRDefault="00000000" w:rsidRPr="00000000" w14:paraId="0000036E">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Reservisten:</w:t>
      </w:r>
      <w:r w:rsidDel="00000000" w:rsidR="00000000" w:rsidRPr="00000000">
        <w:rPr>
          <w:rFonts w:ascii="Times New Roman" w:cs="Times New Roman" w:eastAsia="Times New Roman" w:hAnsi="Times New Roman"/>
          <w:rtl w:val="0"/>
        </w:rPr>
        <w:t xml:space="preserve"> Reservisten gehören zu den Streitkräften und fallen somit unter das NATO-SOFA, wenn sie ihre militärischen Aufgaben in einem Aufnahmestaat ausüben. Wenn ein Reservist in seiner/ihrer privaten Kapazität im Ausland lebt, fällt er/sie nicht unter das NATO-SOFA in dieser Funktion. Sobald er/sie jedoch militärische Aufgaben ausübt, wird sein/ihr Status vom NATO-SOFA bestimmt ("amtliche Aufgaben"), siehe Anderson/Burkhardt, The Handbook of The Law of Visiting Forces edited by Dieter Fleck (Oxford, 2001), S. 52.</w:t>
      </w:r>
    </w:p>
    <w:p w:rsidR="00000000" w:rsidDel="00000000" w:rsidP="00000000" w:rsidRDefault="00000000" w:rsidRPr="00000000" w14:paraId="0000036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Pensionierte Militärangehörige:</w:t>
      </w:r>
      <w:r w:rsidDel="00000000" w:rsidR="00000000" w:rsidRPr="00000000">
        <w:rPr>
          <w:rFonts w:ascii="Times New Roman" w:cs="Times New Roman" w:eastAsia="Times New Roman" w:hAnsi="Times New Roman"/>
          <w:rtl w:val="0"/>
        </w:rPr>
        <w:t xml:space="preserve"> Der Status dieser Kategorie ist ähnlich wie der der Reservisten. Pensionierte Angehörige gehören zu den Streitkräften und können reaktiviert werden. Sie sind geschützt durch das NATO-SOFA, wenn sie ihre militärischen Aufgaben in einem Aufnahmestaat ausüben. Wenn ein pensioniertes Mitglied einer Streitkraft im Ausland lebt, fällt er/sie in seiner/ihrer privaten Kapazität nicht unter das NATO-SOFA, aber der Status wird bestimmt durch das NATO-SOFA, sobald er/sie militärische Aufgaben ausübt ("amtliche Aufgaben"), siehe Anderson/Burkhardt, ibid, S. 52-53.</w:t>
      </w:r>
    </w:p>
    <w:p w:rsidR="00000000" w:rsidDel="00000000" w:rsidP="00000000" w:rsidRDefault="00000000" w:rsidRPr="00000000" w14:paraId="00000370">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Paramilitärisches Personal:</w:t>
      </w:r>
      <w:r w:rsidDel="00000000" w:rsidR="00000000" w:rsidRPr="00000000">
        <w:rPr>
          <w:rFonts w:ascii="Times New Roman" w:cs="Times New Roman" w:eastAsia="Times New Roman" w:hAnsi="Times New Roman"/>
          <w:rtl w:val="0"/>
        </w:rPr>
        <w:t xml:space="preserve"> Paramilitärische Kräfte werden in vielen NATO- und PfP-Ländern eingesetzt, entweder als Spezialpolizei (Gendarmerie), als Rettungsdienst oder Grenzschutz. In einigen Ländern beziehen sich die Einheiten auf das Innenministerium oder das Justizministerium. In Krisenzeiten oder Notfällen können die Kräfte, unter Beachtung nationaler Gesetze, dem militärischen Kommandeur übertragen werden, und das Personal, das in den Einheiten dient, kann von der militärischen Struktur ausgeliehen werden. Die Frage, ob solche Einheiten berechtigt sind, unter das NATO-SOFA zu fallen, wenn sie ins Ausland geschickt werden, wird im Handbuch des Rechts der Besuchstruppen aufgeworfen. Laut Webster's Handy Dictionary umfasst der Bezug auf "die Land-, See- oder Luftstreitkräfte" die Marine, Armee und Luftwaffe eines Landes. Es scheint also, dass nur die traditionellen Dienste von der Definition in Artikel 1 erfasst werden. Es könnte jedoch argumentiert werden, dass wenn die Streitkräfte durch paramilitärische Einheiten ergänzt werden, d.h. die Autorität der Einheiten auf die militärische Befehlskette übertragen wird, die Einheiten dann unter die Definition fallen, da sie ab dem Zeitpunkt der Übertragung in eine der genannten Streitkräfte integriert sind (gehören), unabhängig davon, ob die Einheiten für eine Übung oder eine militärische Operation übertragen werden. Dies scheint auch die Schlussfolgerung von Anderson/Burkhardt, ibid, S. 53 zu sein.</w:t>
      </w:r>
    </w:p>
    <w:p w:rsidR="00000000" w:rsidDel="00000000" w:rsidP="00000000" w:rsidRDefault="00000000" w:rsidRPr="00000000" w14:paraId="0000037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37</w:t>
      </w:r>
      <w:r w:rsidDel="00000000" w:rsidR="00000000" w:rsidRPr="00000000">
        <w:rPr>
          <w:rFonts w:ascii="Times New Roman" w:cs="Times New Roman" w:eastAsia="Times New Roman" w:hAnsi="Times New Roman"/>
          <w:rtl w:val="0"/>
        </w:rPr>
        <w:t xml:space="preserve"> MS-R(51) 13, Zusammenfassungsprotokoll einer Sitzung der Arbeitsgruppe zum Status (23. April 1951), Abs. 12. </w:t>
      </w:r>
    </w:p>
    <w:p w:rsidR="00000000" w:rsidDel="00000000" w:rsidP="00000000" w:rsidRDefault="00000000" w:rsidRPr="00000000" w14:paraId="0000037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38</w:t>
      </w:r>
      <w:r w:rsidDel="00000000" w:rsidR="00000000" w:rsidRPr="00000000">
        <w:rPr>
          <w:rFonts w:ascii="Times New Roman" w:cs="Times New Roman" w:eastAsia="Times New Roman" w:hAnsi="Times New Roman"/>
          <w:rtl w:val="0"/>
        </w:rPr>
        <w:t xml:space="preserve"> Der entsendende Staat ist nicht verpflichtet, einen Staatsangehörigen des Empfangsstaates aufzunehmen, selbst wenn die Person vom entsendenden Staat beschäftigt wird, wenn der Empfangsstaat eine Ausweisungsanordnung gegen die Person erlässt. </w:t>
      </w:r>
    </w:p>
    <w:p w:rsidR="00000000" w:rsidDel="00000000" w:rsidP="00000000" w:rsidRDefault="00000000" w:rsidRPr="00000000" w14:paraId="0000037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39</w:t>
      </w:r>
      <w:r w:rsidDel="00000000" w:rsidR="00000000" w:rsidRPr="00000000">
        <w:rPr>
          <w:rFonts w:ascii="Times New Roman" w:cs="Times New Roman" w:eastAsia="Times New Roman" w:hAnsi="Times New Roman"/>
          <w:rtl w:val="0"/>
        </w:rPr>
        <w:t xml:space="preserve"> Der entsendende Staat behält das Recht, die Gerichtsbarkeit über Angehörige seiner Streitkräfte auszuüben, unabhängig davon, ob das Mitglied gleichzeitig Staatsangehöriger des Empfangsstaates ist. </w:t>
      </w:r>
    </w:p>
    <w:p w:rsidR="00000000" w:rsidDel="00000000" w:rsidP="00000000" w:rsidRDefault="00000000" w:rsidRPr="00000000" w14:paraId="0000037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40</w:t>
      </w:r>
      <w:r w:rsidDel="00000000" w:rsidR="00000000" w:rsidRPr="00000000">
        <w:rPr>
          <w:rFonts w:ascii="Times New Roman" w:cs="Times New Roman" w:eastAsia="Times New Roman" w:hAnsi="Times New Roman"/>
          <w:rtl w:val="0"/>
        </w:rPr>
        <w:t xml:space="preserve"> Ein Mitglied einer entsendenden Streitkraft, das gleichzeitig Staatsangehöriger des Empfangsstaates ist, unterliegt der Besteuerung im Empfangsstaat. </w:t>
      </w:r>
    </w:p>
    <w:p w:rsidR="00000000" w:rsidDel="00000000" w:rsidP="00000000" w:rsidRDefault="00000000" w:rsidRPr="00000000" w14:paraId="0000037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41</w:t>
      </w:r>
      <w:r w:rsidDel="00000000" w:rsidR="00000000" w:rsidRPr="00000000">
        <w:rPr>
          <w:rFonts w:ascii="Times New Roman" w:cs="Times New Roman" w:eastAsia="Times New Roman" w:hAnsi="Times New Roman"/>
          <w:rtl w:val="0"/>
        </w:rPr>
        <w:t xml:space="preserve"> Die Präambel enthält auch das Prinzip, dass Staatsangehörige des Empfangsstaates keine Privilegien oder Immunitäten gemäß dem NATO-SOFA genießen: Das NATO-SOFA gilt nur für Streitkräfte, wenn sie sich im Gebiet einer anderen Vertragspartei aufhalten: "Im Wunsch jedoch, den Status solcher Streitkräfte zu definieren, während sie sich im Gebiet einer anderen Partei aufhalten". Gemäß dem Pariser Protokoll genießen Staatsangehörige, die Mitglieder eines Internationalen Militärhauptquartiers sind, die in diesem Protokoll gewährten Privilegien, aber nicht unbedingt diejenigen, die gemäß dem NATO-SOFA gewährt werden, siehe Serge Lazareff, S. 75, a.a.O. </w:t>
      </w:r>
    </w:p>
    <w:p w:rsidR="00000000" w:rsidDel="00000000" w:rsidP="00000000" w:rsidRDefault="00000000" w:rsidRPr="00000000" w14:paraId="0000037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42</w:t>
      </w:r>
      <w:r w:rsidDel="00000000" w:rsidR="00000000" w:rsidRPr="00000000">
        <w:rPr>
          <w:rFonts w:ascii="Times New Roman" w:cs="Times New Roman" w:eastAsia="Times New Roman" w:hAnsi="Times New Roman"/>
          <w:rtl w:val="0"/>
        </w:rPr>
        <w:t xml:space="preserve"> MS-D(51) 3, Status of Forces Agreement Vereinigtes Königreich Notiz zur Definition von "Kontingent" im Entwurf (7. Februar 1951), siehe Blue Book S. 365-366. Der Vorsitzende der Arbeitsgruppe wies auch in D-R(51) 15, Zusammenfassungsprotokoll einer Sitzung der Stellvertreter des Rates (2. März 1951) darauf hin, siehe Blue Book S. 129. Siehe auch MS-D(51) 3, Status of Forces Agreement Vereinigtes Königreich Notiz zur Definition von "Kontingent" im Entwurf (7. Februar 1951), siehe Blue Book S. 365-366. </w:t>
      </w:r>
    </w:p>
    <w:p w:rsidR="00000000" w:rsidDel="00000000" w:rsidP="00000000" w:rsidRDefault="00000000" w:rsidRPr="00000000" w14:paraId="0000037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43</w:t>
      </w:r>
      <w:r w:rsidDel="00000000" w:rsidR="00000000" w:rsidRPr="00000000">
        <w:rPr>
          <w:rFonts w:ascii="Times New Roman" w:cs="Times New Roman" w:eastAsia="Times New Roman" w:hAnsi="Times New Roman"/>
          <w:rtl w:val="0"/>
        </w:rPr>
        <w:t xml:space="preserve"> Lazareff, a.a.O., S. 94. Neuere Autoren teilen nicht die Skeptiker, siehe Anderson/Burkhardt, a.a.O., S. 55, die erklären, dass "es eine gemeinsame Auffassung in der Allianz ist, dass die Formulierung des Textes klar ist". </w:t>
      </w:r>
    </w:p>
    <w:p w:rsidR="00000000" w:rsidDel="00000000" w:rsidP="00000000" w:rsidRDefault="00000000" w:rsidRPr="00000000" w14:paraId="0000037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44</w:t>
      </w:r>
      <w:r w:rsidDel="00000000" w:rsidR="00000000" w:rsidRPr="00000000">
        <w:rPr>
          <w:rFonts w:ascii="Times New Roman" w:cs="Times New Roman" w:eastAsia="Times New Roman" w:hAnsi="Times New Roman"/>
          <w:rtl w:val="0"/>
        </w:rPr>
        <w:t xml:space="preserve"> MS-D(51) 3, Status of Forces Agreement, Vereinigtes Königreich, Hinweis zur Definition des Begriffs "Kontingent" im Entwurf (7. Februar 1951), siehe Blue Book S. 365-366.</w:t>
      </w:r>
    </w:p>
    <w:p w:rsidR="00000000" w:rsidDel="00000000" w:rsidP="00000000" w:rsidRDefault="00000000" w:rsidRPr="00000000" w14:paraId="0000038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45</w:t>
      </w:r>
      <w:r w:rsidDel="00000000" w:rsidR="00000000" w:rsidRPr="00000000">
        <w:rPr>
          <w:rFonts w:ascii="Times New Roman" w:cs="Times New Roman" w:eastAsia="Times New Roman" w:hAnsi="Times New Roman"/>
          <w:rtl w:val="0"/>
        </w:rPr>
        <w:t xml:space="preserve"> MS-D(51) 3, Status of Forces Agreement - Vereinigtes Königreich, Hinweis zur Definition des Begriffs "Kontingent"</w:t>
      </w:r>
    </w:p>
    <w:p w:rsidR="00000000" w:rsidDel="00000000" w:rsidP="00000000" w:rsidRDefault="00000000" w:rsidRPr="00000000" w14:paraId="0000038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63</w:t>
      </w:r>
      <w:r w:rsidDel="00000000" w:rsidR="00000000" w:rsidRPr="00000000">
        <w:rPr>
          <w:rtl w:val="0"/>
        </w:rPr>
      </w:r>
    </w:p>
    <w:p w:rsidR="00000000" w:rsidDel="00000000" w:rsidP="00000000" w:rsidRDefault="00000000" w:rsidRPr="00000000" w14:paraId="0000038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Entwurf (7. Februar 1951), siehe Blaues Buch S. 365-366.</w:t>
      </w:r>
    </w:p>
    <w:p w:rsidR="00000000" w:rsidDel="00000000" w:rsidP="00000000" w:rsidRDefault="00000000" w:rsidRPr="00000000" w14:paraId="0000038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46</w:t>
      </w:r>
      <w:r w:rsidDel="00000000" w:rsidR="00000000" w:rsidRPr="00000000">
        <w:rPr>
          <w:rFonts w:ascii="Times New Roman" w:cs="Times New Roman" w:eastAsia="Times New Roman" w:hAnsi="Times New Roman"/>
          <w:rtl w:val="0"/>
        </w:rPr>
        <w:t xml:space="preserve"> Lazareff, ibid, S. 88.</w:t>
      </w:r>
    </w:p>
    <w:p w:rsidR="00000000" w:rsidDel="00000000" w:rsidP="00000000" w:rsidRDefault="00000000" w:rsidRPr="00000000" w14:paraId="0000038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47</w:t>
      </w:r>
      <w:r w:rsidDel="00000000" w:rsidR="00000000" w:rsidRPr="00000000">
        <w:rPr>
          <w:rFonts w:ascii="Times New Roman" w:cs="Times New Roman" w:eastAsia="Times New Roman" w:hAnsi="Times New Roman"/>
          <w:rtl w:val="0"/>
        </w:rPr>
        <w:t xml:space="preserve"> MS(J)-R(51) 4, Zusammenfassendes Protokoll eines Treffens der Arbeitsgruppe zu Statusfragen, Juristischer Unterabteilung (16. Februar 1951), siehe Blaues Buch S. 99.</w:t>
      </w:r>
    </w:p>
    <w:p w:rsidR="00000000" w:rsidDel="00000000" w:rsidP="00000000" w:rsidRDefault="00000000" w:rsidRPr="00000000" w14:paraId="0000038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48</w:t>
      </w:r>
      <w:r w:rsidDel="00000000" w:rsidR="00000000" w:rsidRPr="00000000">
        <w:rPr>
          <w:rFonts w:ascii="Times New Roman" w:cs="Times New Roman" w:eastAsia="Times New Roman" w:hAnsi="Times New Roman"/>
          <w:rtl w:val="0"/>
        </w:rPr>
        <w:t xml:space="preserve"> Lazareff, ibid, S. 89-90, zitiert Dr. Richard Schubert (Military Law Review, Juli 1962). Siehe auch Anderson/Burkhardt, ibid, S. 55, die etwas verwirrend sowohl feststellen, dass "der Arbeitgeber nicht unbedingt die Streitkräfte selbst sein muss, sondern mit Regierungsbehörden verbunden sein kann, die die Streitkräfte unterstützen..." als auch dass "Personen, die bei anderen Regierungsorganisationen außerhalb der Streitkräfte beschäftigt sind, nicht als zivilie Bestandteile gelten".</w:t>
      </w:r>
    </w:p>
    <w:p w:rsidR="00000000" w:rsidDel="00000000" w:rsidP="00000000" w:rsidRDefault="00000000" w:rsidRPr="00000000" w14:paraId="0000038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49</w:t>
      </w:r>
      <w:r w:rsidDel="00000000" w:rsidR="00000000" w:rsidRPr="00000000">
        <w:rPr>
          <w:rFonts w:ascii="Times New Roman" w:cs="Times New Roman" w:eastAsia="Times New Roman" w:hAnsi="Times New Roman"/>
          <w:rtl w:val="0"/>
        </w:rPr>
        <w:t xml:space="preserve"> Lazareff, ibid, S. 90-91, fasst die französische und die US-amerikanische Praxis zusammen (U.S.-Türkei-Abkommen (1954), U.S.-Japan-Administrativabkommen (1952), beide erweitern die Definition. Siehe auch die Praxis unter dem U.S.-Korea-Abkommen, wie oben zitiert, und die Praxis unter den deutschen Zusatzabkommen.</w:t>
      </w:r>
    </w:p>
    <w:p w:rsidR="00000000" w:rsidDel="00000000" w:rsidP="00000000" w:rsidRDefault="00000000" w:rsidRPr="00000000" w14:paraId="0000038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50</w:t>
      </w:r>
      <w:r w:rsidDel="00000000" w:rsidR="00000000" w:rsidRPr="00000000">
        <w:rPr>
          <w:rFonts w:ascii="Times New Roman" w:cs="Times New Roman" w:eastAsia="Times New Roman" w:hAnsi="Times New Roman"/>
          <w:rtl w:val="0"/>
        </w:rPr>
        <w:t xml:space="preserve"> D-D(51) 57, Status of Forces Agreement Überarbeiteter Entwurf (28. Februar 1951), siehe Blaues Buch S. 430-431, sowie die französischen Anmerkungen in MSD(51) 19, Status of Forces Agreement - Stellungnahme der französischen Regierung (7. April 1951), siehe Blaues Buch S. 463.</w:t>
      </w:r>
    </w:p>
    <w:p w:rsidR="00000000" w:rsidDel="00000000" w:rsidP="00000000" w:rsidRDefault="00000000" w:rsidRPr="00000000" w14:paraId="0000039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51</w:t>
      </w:r>
      <w:r w:rsidDel="00000000" w:rsidR="00000000" w:rsidRPr="00000000">
        <w:rPr>
          <w:rFonts w:ascii="Times New Roman" w:cs="Times New Roman" w:eastAsia="Times New Roman" w:hAnsi="Times New Roman"/>
          <w:rtl w:val="0"/>
        </w:rPr>
        <w:t xml:space="preserve"> Das SOFA erfordert die Staatsbürgerschaft eines Staates, der "Vertragspartei des Nordatlantikvertrags" ist. Laut Lazareff, ibid, S. 92, bedeutet das, dass der Staat Vertragspartei des Nordatlantikvertrags sein muss, aber nicht Vertragspartei des NATO-SOFA sein muss. Dies kann der Fall sein, wenn der Beitritt zum SOFA sehr zeitaufwändig ist, wie es bei der Bundesrepublik Deutschland (BRD) der Fall war. Mit dem PfP-SOFA kommt ein weiterer Aspekt hinzu: Ein Staatsangehöriger eines PfP-Staates kann als Mitglied eines zivilen Bestandteils eines PfP-Staates anerkannt werden, qualifiziert aber nicht als Mitglied eines zivilen Bestandteils eines NATO-Staates unter das NATO-SOFA zu fallen.</w:t>
      </w:r>
    </w:p>
    <w:p w:rsidR="00000000" w:rsidDel="00000000" w:rsidP="00000000" w:rsidRDefault="00000000" w:rsidRPr="00000000" w14:paraId="0000039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52</w:t>
      </w:r>
      <w:r w:rsidDel="00000000" w:rsidR="00000000" w:rsidRPr="00000000">
        <w:rPr>
          <w:rFonts w:ascii="Times New Roman" w:cs="Times New Roman" w:eastAsia="Times New Roman" w:hAnsi="Times New Roman"/>
          <w:rtl w:val="0"/>
        </w:rPr>
        <w:t xml:space="preserve"> Webster's Handy Dictionary, Oxford University Press, 1992.</w:t>
      </w:r>
    </w:p>
    <w:p w:rsidR="00000000" w:rsidDel="00000000" w:rsidP="00000000" w:rsidRDefault="00000000" w:rsidRPr="00000000" w14:paraId="0000039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53</w:t>
      </w:r>
      <w:r w:rsidDel="00000000" w:rsidR="00000000" w:rsidRPr="00000000">
        <w:rPr>
          <w:rFonts w:ascii="Times New Roman" w:cs="Times New Roman" w:eastAsia="Times New Roman" w:hAnsi="Times New Roman"/>
          <w:rtl w:val="0"/>
        </w:rPr>
        <w:t xml:space="preserve"> Lazareff, ibid, S. 95.</w:t>
      </w:r>
    </w:p>
    <w:p w:rsidR="00000000" w:rsidDel="00000000" w:rsidP="00000000" w:rsidRDefault="00000000" w:rsidRPr="00000000" w14:paraId="0000039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54</w:t>
      </w:r>
      <w:r w:rsidDel="00000000" w:rsidR="00000000" w:rsidRPr="00000000">
        <w:rPr>
          <w:rFonts w:ascii="Times New Roman" w:cs="Times New Roman" w:eastAsia="Times New Roman" w:hAnsi="Times New Roman"/>
          <w:rtl w:val="0"/>
        </w:rPr>
        <w:t xml:space="preserve"> Siehe auch Anderson/Burkhardt, ibid, S. 58.</w:t>
      </w:r>
    </w:p>
    <w:p w:rsidR="00000000" w:rsidDel="00000000" w:rsidP="00000000" w:rsidRDefault="00000000" w:rsidRPr="00000000" w14:paraId="0000039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55</w:t>
      </w:r>
      <w:r w:rsidDel="00000000" w:rsidR="00000000" w:rsidRPr="00000000">
        <w:rPr>
          <w:rFonts w:ascii="Times New Roman" w:cs="Times New Roman" w:eastAsia="Times New Roman" w:hAnsi="Times New Roman"/>
          <w:rtl w:val="0"/>
        </w:rPr>
        <w:t xml:space="preserve"> Siehe Max Johnson, The Handbook of The Law of Visiting Forces herausgegeben von Dieter Fleck (Oxford, 2001), S. 277. Max Johnson beschreibt auch die Praxis der Anerkennung von Angehörigen von Personal, das NATO-IMHQs zugeteilt oder von NATO-IMHQs angestellt wurde, als internationale Zivilisten.</w:t>
      </w:r>
    </w:p>
    <w:p w:rsidR="00000000" w:rsidDel="00000000" w:rsidP="00000000" w:rsidRDefault="00000000" w:rsidRPr="00000000" w14:paraId="0000039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55 </w:t>
      </w:r>
      <w:r w:rsidDel="00000000" w:rsidR="00000000" w:rsidRPr="00000000">
        <w:rPr>
          <w:rFonts w:ascii="Times New Roman" w:cs="Times New Roman" w:eastAsia="Times New Roman" w:hAnsi="Times New Roman"/>
          <w:rtl w:val="0"/>
        </w:rPr>
        <w:t xml:space="preserve">Siehe Max Johnson, The Handbook of The Law of Visiting Forces, herausgegeben von Dieter Fleck (Oxford, 2001), S. 277. Max Johnson beschreibt auch die Praxis, Abhängige von Personal, das NATO IMHQs zugewiesen ist oder von einem NATO IMHQ angestellt wurde, als internationale Zivilisten anzuerkennen. </w:t>
      </w:r>
    </w:p>
    <w:p w:rsidR="00000000" w:rsidDel="00000000" w:rsidP="00000000" w:rsidRDefault="00000000" w:rsidRPr="00000000" w14:paraId="0000039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56</w:t>
      </w:r>
      <w:r w:rsidDel="00000000" w:rsidR="00000000" w:rsidRPr="00000000">
        <w:rPr>
          <w:rFonts w:ascii="Times New Roman" w:cs="Times New Roman" w:eastAsia="Times New Roman" w:hAnsi="Times New Roman"/>
          <w:rtl w:val="0"/>
        </w:rPr>
        <w:t xml:space="preserve"> MS(J)-R(51) 1, Zusammenfassendes Protokoll eines Treffens der Arbeitsgruppe für den Status, Unterausschuss Juristische Fragen (8. Februar 1951). </w:t>
      </w:r>
    </w:p>
    <w:p w:rsidR="00000000" w:rsidDel="00000000" w:rsidP="00000000" w:rsidRDefault="00000000" w:rsidRPr="00000000" w14:paraId="0000039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57</w:t>
      </w:r>
      <w:r w:rsidDel="00000000" w:rsidR="00000000" w:rsidRPr="00000000">
        <w:rPr>
          <w:rFonts w:ascii="Times New Roman" w:cs="Times New Roman" w:eastAsia="Times New Roman" w:hAnsi="Times New Roman"/>
          <w:rtl w:val="0"/>
        </w:rPr>
        <w:t xml:space="preserve"> MS-D(51)5, Status of Forces Agreement - Neufassung der Artikel I bis VI (12. Februar 1951). </w:t>
      </w:r>
    </w:p>
    <w:p w:rsidR="00000000" w:rsidDel="00000000" w:rsidP="00000000" w:rsidRDefault="00000000" w:rsidRPr="00000000" w14:paraId="000003A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58</w:t>
      </w:r>
      <w:r w:rsidDel="00000000" w:rsidR="00000000" w:rsidRPr="00000000">
        <w:rPr>
          <w:rFonts w:ascii="Times New Roman" w:cs="Times New Roman" w:eastAsia="Times New Roman" w:hAnsi="Times New Roman"/>
          <w:rtl w:val="0"/>
        </w:rPr>
        <w:t xml:space="preserve"> MS-D(51) 11/11(R), Status of Forces Agreement - Überarbeiteter Text (Artikel I-V, IX, XI-XIX) des Entwurfs (19./20. Februar 1951). </w:t>
      </w:r>
    </w:p>
    <w:p w:rsidR="00000000" w:rsidDel="00000000" w:rsidP="00000000" w:rsidRDefault="00000000" w:rsidRPr="00000000" w14:paraId="000003A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59</w:t>
      </w:r>
      <w:r w:rsidDel="00000000" w:rsidR="00000000" w:rsidRPr="00000000">
        <w:rPr>
          <w:rFonts w:ascii="Times New Roman" w:cs="Times New Roman" w:eastAsia="Times New Roman" w:hAnsi="Times New Roman"/>
          <w:rtl w:val="0"/>
        </w:rPr>
        <w:t xml:space="preserve"> MS(J)-R(51) 6, Zusammenfassendes Protokoll eines Treffens der Arbeitsgruppe für den Status, Unterausschuss Juristische Fragen (22. Februar 1951). </w:t>
      </w:r>
    </w:p>
    <w:p w:rsidR="00000000" w:rsidDel="00000000" w:rsidP="00000000" w:rsidRDefault="00000000" w:rsidRPr="00000000" w14:paraId="000003A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60</w:t>
      </w:r>
      <w:r w:rsidDel="00000000" w:rsidR="00000000" w:rsidRPr="00000000">
        <w:rPr>
          <w:rFonts w:ascii="Times New Roman" w:cs="Times New Roman" w:eastAsia="Times New Roman" w:hAnsi="Times New Roman"/>
          <w:rtl w:val="0"/>
        </w:rPr>
        <w:t xml:space="preserve"> D-D(51) 57, Status of Forces Agreement - Überarbeiteter Entwurf (28. Februar 1951). </w:t>
      </w:r>
    </w:p>
    <w:p w:rsidR="00000000" w:rsidDel="00000000" w:rsidP="00000000" w:rsidRDefault="00000000" w:rsidRPr="00000000" w14:paraId="000003A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61</w:t>
      </w:r>
      <w:r w:rsidDel="00000000" w:rsidR="00000000" w:rsidRPr="00000000">
        <w:rPr>
          <w:rFonts w:ascii="Times New Roman" w:cs="Times New Roman" w:eastAsia="Times New Roman" w:hAnsi="Times New Roman"/>
          <w:rtl w:val="0"/>
        </w:rPr>
        <w:t xml:space="preserve"> MS-D(51) 20, Status of Forces Agreement - Änderungsvorschläge der Vereinigten Staaten (09. April 1951). </w:t>
      </w:r>
    </w:p>
    <w:p w:rsidR="00000000" w:rsidDel="00000000" w:rsidP="00000000" w:rsidRDefault="00000000" w:rsidRPr="00000000" w14:paraId="000003A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62</w:t>
      </w:r>
      <w:r w:rsidDel="00000000" w:rsidR="00000000" w:rsidRPr="00000000">
        <w:rPr>
          <w:rFonts w:ascii="Times New Roman" w:cs="Times New Roman" w:eastAsia="Times New Roman" w:hAnsi="Times New Roman"/>
          <w:rtl w:val="0"/>
        </w:rPr>
        <w:t xml:space="preserve"> MS-D(51) 21, Status of Forces Agreement - Änderungsvorschläge der Niederlande (10. April 1951). </w:t>
      </w:r>
    </w:p>
    <w:p w:rsidR="00000000" w:rsidDel="00000000" w:rsidP="00000000" w:rsidRDefault="00000000" w:rsidRPr="00000000" w14:paraId="000003A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63</w:t>
      </w:r>
      <w:r w:rsidDel="00000000" w:rsidR="00000000" w:rsidRPr="00000000">
        <w:rPr>
          <w:rFonts w:ascii="Times New Roman" w:cs="Times New Roman" w:eastAsia="Times New Roman" w:hAnsi="Times New Roman"/>
          <w:rtl w:val="0"/>
        </w:rPr>
        <w:t xml:space="preserve"> MS-R(51) 13, Zusammenfassendes Protokoll eines Treffens der Arbeitsgruppe für den Status (23. April 1951). </w:t>
      </w:r>
    </w:p>
    <w:p w:rsidR="00000000" w:rsidDel="00000000" w:rsidP="00000000" w:rsidRDefault="00000000" w:rsidRPr="00000000" w14:paraId="000003A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D">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64</w:t>
      </w:r>
      <w:r w:rsidDel="00000000" w:rsidR="00000000" w:rsidRPr="00000000">
        <w:rPr>
          <w:rFonts w:ascii="Times New Roman" w:cs="Times New Roman" w:eastAsia="Times New Roman" w:hAnsi="Times New Roman"/>
          <w:rtl w:val="0"/>
        </w:rPr>
        <w:t xml:space="preserve"> MS-D(51) 28, Status of Forces Agreement - Überarbeiteter Entwurf (27. April 1951). </w:t>
      </w:r>
    </w:p>
    <w:p w:rsidR="00000000" w:rsidDel="00000000" w:rsidP="00000000" w:rsidRDefault="00000000" w:rsidRPr="00000000" w14:paraId="000003A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65</w:t>
      </w:r>
      <w:r w:rsidDel="00000000" w:rsidR="00000000" w:rsidRPr="00000000">
        <w:rPr>
          <w:rFonts w:ascii="Times New Roman" w:cs="Times New Roman" w:eastAsia="Times New Roman" w:hAnsi="Times New Roman"/>
          <w:rtl w:val="0"/>
        </w:rPr>
        <w:t xml:space="preserve"> MS-R(51) 18, Zusammenfassendes Protokoll eines Treffens der Arbeitsgruppe für den Status (01. Mai 1951). </w:t>
      </w:r>
    </w:p>
    <w:p w:rsidR="00000000" w:rsidDel="00000000" w:rsidP="00000000" w:rsidRDefault="00000000" w:rsidRPr="00000000" w14:paraId="000003B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66</w:t>
      </w:r>
      <w:r w:rsidDel="00000000" w:rsidR="00000000" w:rsidRPr="00000000">
        <w:rPr>
          <w:rFonts w:ascii="Times New Roman" w:cs="Times New Roman" w:eastAsia="Times New Roman" w:hAnsi="Times New Roman"/>
          <w:rtl w:val="0"/>
        </w:rPr>
        <w:t xml:space="preserve"> D-D(51) 127, Status of Forces Agreement - Überarbeiteter Entwurf (07. Mai 1951). </w:t>
      </w:r>
    </w:p>
    <w:p w:rsidR="00000000" w:rsidDel="00000000" w:rsidP="00000000" w:rsidRDefault="00000000" w:rsidRPr="00000000" w14:paraId="000003B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67</w:t>
      </w:r>
      <w:r w:rsidDel="00000000" w:rsidR="00000000" w:rsidRPr="00000000">
        <w:rPr>
          <w:rFonts w:ascii="Times New Roman" w:cs="Times New Roman" w:eastAsia="Times New Roman" w:hAnsi="Times New Roman"/>
          <w:rtl w:val="0"/>
        </w:rPr>
        <w:t xml:space="preserve"> D-D(51) 138, Status of Forces Agreement - Endgültiger Entwurf (01. Juni 1951). </w:t>
      </w:r>
    </w:p>
    <w:p w:rsidR="00000000" w:rsidDel="00000000" w:rsidP="00000000" w:rsidRDefault="00000000" w:rsidRPr="00000000" w14:paraId="000003B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68</w:t>
      </w:r>
      <w:r w:rsidDel="00000000" w:rsidR="00000000" w:rsidRPr="00000000">
        <w:rPr>
          <w:rFonts w:ascii="Times New Roman" w:cs="Times New Roman" w:eastAsia="Times New Roman" w:hAnsi="Times New Roman"/>
          <w:rtl w:val="0"/>
        </w:rPr>
        <w:t xml:space="preserve"> Lazareff, a.a.O., S. 79. </w:t>
      </w:r>
    </w:p>
    <w:p w:rsidR="00000000" w:rsidDel="00000000" w:rsidP="00000000" w:rsidRDefault="00000000" w:rsidRPr="00000000" w14:paraId="000003B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7">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69</w:t>
      </w:r>
      <w:r w:rsidDel="00000000" w:rsidR="00000000" w:rsidRPr="00000000">
        <w:rPr>
          <w:rFonts w:ascii="Times New Roman" w:cs="Times New Roman" w:eastAsia="Times New Roman" w:hAnsi="Times New Roman"/>
          <w:rtl w:val="0"/>
        </w:rPr>
        <w:t xml:space="preserve"> Lazareff, a.a.O., S. 80. Das Handbook of the Law of Visiting Forces enthält widersprüchliche Aussagen zu dieser Frage. Kapitel IV (Anderson/Burkhardt, S. 54) wiederholt weitgehend den Standpunkt, den Lazareff angeboten hat (die Anwesenheit muss irgendwie mit der Allianz verbunden sein), während Kapitel V (Max Johnson, S. 263) nahelegt, dass das NATO-SOFA als Standardposition angewendet wird. </w:t>
      </w:r>
    </w:p>
    <w:p w:rsidR="00000000" w:rsidDel="00000000" w:rsidP="00000000" w:rsidRDefault="00000000" w:rsidRPr="00000000" w14:paraId="000003B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9">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70</w:t>
      </w:r>
      <w:r w:rsidDel="00000000" w:rsidR="00000000" w:rsidRPr="00000000">
        <w:rPr>
          <w:rFonts w:ascii="Times New Roman" w:cs="Times New Roman" w:eastAsia="Times New Roman" w:hAnsi="Times New Roman"/>
          <w:rtl w:val="0"/>
        </w:rPr>
        <w:t xml:space="preserve"> MS-R(51) 13, Zusammenfassendes Protokoll eines Treffens der Arbeitsgruppe für den Status (23. April 1951).</w:t>
      </w:r>
    </w:p>
    <w:p w:rsidR="00000000" w:rsidDel="00000000" w:rsidP="00000000" w:rsidRDefault="00000000" w:rsidRPr="00000000" w14:paraId="000003BA">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71</w:t>
      </w:r>
      <w:r w:rsidDel="00000000" w:rsidR="00000000" w:rsidRPr="00000000">
        <w:rPr>
          <w:rFonts w:ascii="Times New Roman" w:cs="Times New Roman" w:eastAsia="Times New Roman" w:hAnsi="Times New Roman"/>
          <w:rtl w:val="0"/>
        </w:rPr>
        <w:t xml:space="preserve"> Siehe Fußnote 69. Auf dem NATO-Rechtsseminar 2000 in Nordwijk, veranstaltet von den Niederlanden, wurde auch die Anwendbarkeit des NATO-SOFA erörtert. Einige der neuesten Mitglieder der Allianz brachten den Punkt auf, dass nationale Übungen, die ausschließlich von einem NATO-Staat auf dem Gebiet eines anderen NATO-Staates durchgeführt werden, nicht unter das SOFA fallen sollten. Der Haupt- und möglicherweise einzige Grund dafür ist, dass das NATO-SOFA Bestimmungen enthält, die dem Empfangsstaat finanzielle Haftungsanteile auferlegen, unabhängig davon, ob der Empfangsstaat </w:t>
      </w:r>
    </w:p>
    <w:p w:rsidR="00000000" w:rsidDel="00000000" w:rsidP="00000000" w:rsidRDefault="00000000" w:rsidRPr="00000000" w14:paraId="000003B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D">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64</w:t>
      </w:r>
    </w:p>
    <w:p w:rsidR="00000000" w:rsidDel="00000000" w:rsidP="00000000" w:rsidRDefault="00000000" w:rsidRPr="00000000" w14:paraId="000003BE">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der Übung teilnimmt. Es ist eine langjährige Tradition, nationale, bilaterale sowie multinationale Übungen innerhalb der Allianz durchzuführen, da das Verständnis der NATO-Verpflichtungen unter den Verbündeten eng mit dem Washingtoner Vertrag, Artikel 3, zusammenhängt. Da die Durchführung von Übungen Verträgen zwischen dem Empfangsstaat und dem Entsendestaat unterliegt (und manchmal auch Zahlungen), und da nichts den Empfangsstaat daran hindern würde, die Planung und Nutzung der Einrichtungen zu überwachen und zu unterstützen, scheinen keine praktischen oder rechtlichen Gründe zu bestehen, solche Aktivitäten vom NATO-SOFA auszuschließen. Siehe die Schlussfolgerung des Symposiums: Dokumente des Seminars über das NATO/Partnerschaft für den Frieden-Abkommen über den Status der Streitkräfte, Noordwijk, Niederlande, September 2000.</w:t>
      </w:r>
    </w:p>
    <w:p w:rsidR="00000000" w:rsidDel="00000000" w:rsidP="00000000" w:rsidRDefault="00000000" w:rsidRPr="00000000" w14:paraId="000003C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72</w:t>
      </w:r>
      <w:r w:rsidDel="00000000" w:rsidR="00000000" w:rsidRPr="00000000">
        <w:rPr>
          <w:rFonts w:ascii="Times New Roman" w:cs="Times New Roman" w:eastAsia="Times New Roman" w:hAnsi="Times New Roman"/>
          <w:rtl w:val="0"/>
        </w:rPr>
        <w:t xml:space="preserve"> "Um die Ziele dieses Vertrags wirksamer zu erreichen, werden die Parteien einzeln und gemeinsam durch kontinuierliche und wirksame Selbsthilfe und gegenseitige Hilfe ihre individuellen und kollektiven Fähigkeiten zur Abwehr bewaffneter Angriffe erhalten und entwickeln."</w:t>
      </w:r>
    </w:p>
    <w:p w:rsidR="00000000" w:rsidDel="00000000" w:rsidP="00000000" w:rsidRDefault="00000000" w:rsidRPr="00000000" w14:paraId="000003C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73</w:t>
      </w:r>
      <w:r w:rsidDel="00000000" w:rsidR="00000000" w:rsidRPr="00000000">
        <w:rPr>
          <w:rFonts w:ascii="Times New Roman" w:cs="Times New Roman" w:eastAsia="Times New Roman" w:hAnsi="Times New Roman"/>
          <w:rtl w:val="0"/>
        </w:rPr>
        <w:t xml:space="preserve"> Wie von Max Johnson in Das Handbuch des Rechts für Besuchende Streitkräfte, herausgegeben von Dieter Fleck (Oxford, 2001), S. 263 vorgeschlagen.</w:t>
      </w:r>
    </w:p>
    <w:p w:rsidR="00000000" w:rsidDel="00000000" w:rsidP="00000000" w:rsidRDefault="00000000" w:rsidRPr="00000000" w14:paraId="000003C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74</w:t>
      </w:r>
      <w:r w:rsidDel="00000000" w:rsidR="00000000" w:rsidRPr="00000000">
        <w:rPr>
          <w:rFonts w:ascii="Times New Roman" w:cs="Times New Roman" w:eastAsia="Times New Roman" w:hAnsi="Times New Roman"/>
          <w:rtl w:val="0"/>
        </w:rPr>
        <w:t xml:space="preserve"> Zum Beispiel Wiener Übereinkommen über diplomatische Beziehungen, das Abkommen über den Status der NATO, nationale Vertreter und internationales Personal (Ottawa, 1951) oder bilaterale Abkommen.</w:t>
      </w:r>
    </w:p>
    <w:p w:rsidR="00000000" w:rsidDel="00000000" w:rsidP="00000000" w:rsidRDefault="00000000" w:rsidRPr="00000000" w14:paraId="000003C6">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65</w:t>
      </w:r>
    </w:p>
    <w:p w:rsidR="00000000" w:rsidDel="00000000" w:rsidP="00000000" w:rsidRDefault="00000000" w:rsidRPr="00000000" w14:paraId="000003C8">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pStyle w:val="Heading2"/>
        <w:spacing w:line="240" w:lineRule="auto"/>
        <w:jc w:val="center"/>
        <w:rPr>
          <w:rFonts w:ascii="Times New Roman" w:cs="Times New Roman" w:eastAsia="Times New Roman" w:hAnsi="Times New Roman"/>
          <w:b w:val="1"/>
        </w:rPr>
      </w:pPr>
      <w:bookmarkStart w:colFirst="0" w:colLast="0" w:name="_90ut4btvjidr" w:id="10"/>
      <w:bookmarkEnd w:id="10"/>
      <w:r w:rsidDel="00000000" w:rsidR="00000000" w:rsidRPr="00000000">
        <w:rPr>
          <w:rFonts w:ascii="Times New Roman" w:cs="Times New Roman" w:eastAsia="Times New Roman" w:hAnsi="Times New Roman"/>
          <w:b w:val="1"/>
          <w:rtl w:val="0"/>
        </w:rPr>
        <w:t xml:space="preserve">Internationaler Strafgerichtshof und</w:t>
      </w:r>
    </w:p>
    <w:p w:rsidR="00000000" w:rsidDel="00000000" w:rsidP="00000000" w:rsidRDefault="00000000" w:rsidRPr="00000000" w14:paraId="000003CA">
      <w:pPr>
        <w:pStyle w:val="Heading2"/>
        <w:spacing w:line="240" w:lineRule="auto"/>
        <w:jc w:val="center"/>
        <w:rPr>
          <w:rFonts w:ascii="Times New Roman" w:cs="Times New Roman" w:eastAsia="Times New Roman" w:hAnsi="Times New Roman"/>
          <w:b w:val="1"/>
        </w:rPr>
      </w:pPr>
      <w:bookmarkStart w:colFirst="0" w:colLast="0" w:name="_cmqopou93epa" w:id="11"/>
      <w:bookmarkEnd w:id="11"/>
      <w:r w:rsidDel="00000000" w:rsidR="00000000" w:rsidRPr="00000000">
        <w:rPr>
          <w:rFonts w:ascii="Times New Roman" w:cs="Times New Roman" w:eastAsia="Times New Roman" w:hAnsi="Times New Roman"/>
          <w:b w:val="1"/>
          <w:rtl w:val="0"/>
        </w:rPr>
        <w:t xml:space="preserve">seine Auswirkungen auf die </w:t>
      </w:r>
    </w:p>
    <w:p w:rsidR="00000000" w:rsidDel="00000000" w:rsidP="00000000" w:rsidRDefault="00000000" w:rsidRPr="00000000" w14:paraId="000003CB">
      <w:pPr>
        <w:pStyle w:val="Heading2"/>
        <w:spacing w:line="240" w:lineRule="auto"/>
        <w:jc w:val="center"/>
        <w:rPr>
          <w:rFonts w:ascii="Times New Roman" w:cs="Times New Roman" w:eastAsia="Times New Roman" w:hAnsi="Times New Roman"/>
          <w:b w:val="1"/>
        </w:rPr>
      </w:pPr>
      <w:bookmarkStart w:colFirst="0" w:colLast="0" w:name="_4lt7n5me5xk1" w:id="12"/>
      <w:bookmarkEnd w:id="12"/>
      <w:r w:rsidDel="00000000" w:rsidR="00000000" w:rsidRPr="00000000">
        <w:rPr>
          <w:rFonts w:ascii="Times New Roman" w:cs="Times New Roman" w:eastAsia="Times New Roman" w:hAnsi="Times New Roman"/>
          <w:b w:val="1"/>
          <w:rtl w:val="0"/>
        </w:rPr>
        <w:t xml:space="preserve">Estnischen Verteidigungskräfte</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Von Martin Roger*</w:t>
      </w:r>
    </w:p>
    <w:p w:rsidR="00000000" w:rsidDel="00000000" w:rsidP="00000000" w:rsidRDefault="00000000" w:rsidRPr="00000000" w14:paraId="000003CE">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Martin Roger ist beim estnischen Außenministerium tätig und absolviert derzeit ein postgraduales Studium der Rechtswissenschaften an der Universität von Amsterdam.</w:t>
      </w:r>
    </w:p>
    <w:p w:rsidR="00000000" w:rsidDel="00000000" w:rsidP="00000000" w:rsidRDefault="00000000" w:rsidRPr="00000000" w14:paraId="000003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 ich gebeten wurde, einen Artikel für das Baltic Defence Review über den Internationalen Strafgerichtshof (ICC) zu schreiben, war der erste Vorschlag sicherlich, die Probleme in Bezug auf die umstrittenen Abkommen mit den Vereinigten Staaten gemäß Artikel 98 des Römischen Statuts des ICC anzusprechen. Aber dann dachte ich, dass das Thema seine "brennende" Natur irgendwie verloren hat und anscheinend vorerst nicht mehr auf der Tagesordnung steht, nachdem Estland beschlossen hat, kein Artikel-98-Abkommen mit den USA abzuschließen.¹ Stattdessen möchte ich in diesem Artikel kurz auf einige langfristige Fragen eingehen, die mit der Auswirkung einer Staatspartei des Römischen Statuts auf die Verteidigungskräfte zusammenhängen. Es ist allgemein bekannt, dass die Täter der im Römischen Statut aufgeführten Verbrechen eher Personen mit Verbindungen zu den Streitkräften sind. In diesem Zusammenhang möchte ich auf die Fragen der strafrechtlichen Zuständigkeit und der Befehlsverantwortung in der estnischen Strafgesetzgebung eingehen und schließlich, obwohl dies Artikel 98 betrifft, die Frage behandeln, ob die Status-of-Forces-Abkommen die Anwendung der Bestimmungen des Römischen Statuts ausschließen.</w:t>
      </w:r>
    </w:p>
    <w:p w:rsidR="00000000" w:rsidDel="00000000" w:rsidP="00000000" w:rsidRDefault="00000000" w:rsidRPr="00000000" w14:paraId="000003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Komplementarität und der Umfang der Zuständigkeit nationaler Gerichte</w:t>
      </w:r>
    </w:p>
    <w:p w:rsidR="00000000" w:rsidDel="00000000" w:rsidP="00000000" w:rsidRDefault="00000000" w:rsidRPr="00000000" w14:paraId="000003D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zentrale Konzept des Internationalen Strafgerichtshofs (ICC) ist die Komplementarität. Gemäß Artikel 1 des Römischen Statuts soll der ICC "ergänzend zu nationalen Gerichtsbarkeiten" agieren. Der Kern der Komplementarität wird in Artikel 17 festgehalten. Kurz gesagt tritt das Gericht</w:t>
      </w:r>
    </w:p>
    <w:p w:rsidR="00000000" w:rsidDel="00000000" w:rsidP="00000000" w:rsidRDefault="00000000" w:rsidRPr="00000000" w14:paraId="000003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66</w:t>
      </w:r>
    </w:p>
    <w:p w:rsidR="00000000" w:rsidDel="00000000" w:rsidP="00000000" w:rsidRDefault="00000000" w:rsidRPr="00000000" w14:paraId="000003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nur dann ein, wenn der Staat selbst nicht willens oder in der Lage ist, Täter von Völkermord, Verbrechen gegen die Menschlichkeit und Kriegsverbrechen zu untersuchen und strafrechtlich zu verfolgen. Daher muss der Staat über ein solides Strafrechtssystem verfügen. Das bedeutet, dass er Handlungen unter Strafe stellen sollte, die als Verbrechen unter die Zuständigkeit des ICC fallen, wenn er nicht möchte, dass der ICC eingreift. Es gibt nichts im Statut, was verlangt, dass der Vertragsstaat die Bestimmungen wortwörtlich in nationale Strafgesetze übernimmt, aber es könnte hilfreich sein, sie im Gesetzgebungsprozess im Hinterkopf zu behalten.</w:t>
      </w:r>
    </w:p>
    <w:p w:rsidR="00000000" w:rsidDel="00000000" w:rsidP="00000000" w:rsidRDefault="00000000" w:rsidRPr="00000000" w14:paraId="000003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Falls der ICC seine Zuständigkeit ausüben kann, kann er dies nur in Bezug auf Verbrechen tun, die auf dem Gebiet eines Vertragsstaates begangen wurden oder von einem Staatsangehörigen eines Vertragsstaates begangen wurden. Damit ein nationales Gericht seine primäre Zuständigkeit ausüben kann, muss es entsprechende Gesetze als Grundlage haben. Daher ist die gesetzgebende Zuständigkeit (Befugnis zur Gesetzgebung) immer eine Voraussetzung für die durchsetzende Zuständigkeit (Befugnis zur Durchsetzung von Gesetzen). Die Hauptart der Zuständigkeit ist die territoriale Zuständigkeit - ein Staat hat die Zuständigkeit für Handlungen, die auf seinem Hoheitsgebiet begangen werden². Es muss auch darauf hingewiesen werden, dass die territoriale Zuständigkeit auch in Fällen gilt, in denen das Verbrechen außerhalb begonnen, aber auf dem Gebiet eines bestimmten Staates abgeschlossen wurde.</w:t>
      </w:r>
    </w:p>
    <w:p w:rsidR="00000000" w:rsidDel="00000000" w:rsidP="00000000" w:rsidRDefault="00000000" w:rsidRPr="00000000" w14:paraId="000003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ist weithin anerkannt, dass die territoriale Zuständigkeit eine der häufigsten Merkmale der staatlichen Souveränität ist. Die territoriale Zuständigkeit findet ihren festen Platz im estnischen Strafgesetzbuch: Gemäß Abschnitt 6 Absatz 1 gilt das Strafrecht Estlands für Handlungen, die innerhalb des estnischen Hoheitsgebiets begangen werden. Das estnische Strafgesetzbuch stellt Handlungen wie Völkermord, Verbrechen gegen die Menschlichkeit und Kriegsverbrechen unter Strafe. Falls diese genannten Verbrechen in Estland begangen werden, können die nationalen Gerichte auf der Grundlage der festgelegten Zuständigkeit handeln und haben auch die sachliche Zuständigkeit für diese Kernverbrechen. Daher kann der ICC keine Zuständigkeit ausüben, wenn die Strafverfolgungsbehörden und nationalen Gerichte in gutem Glauben bei der Ausübung ihrer Aufgaben handeln.</w:t>
      </w:r>
    </w:p>
    <w:p w:rsidR="00000000" w:rsidDel="00000000" w:rsidP="00000000" w:rsidRDefault="00000000" w:rsidRPr="00000000" w14:paraId="000003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Fall der territorialen Zuständigkeit scheint klar und einfach zu sein. Bezüglich der anderen Grundlage für die Zuständigkeit des ICC, nämlich der Zuständigkeit über Staatsangehörige der Vertragsstaaten, könnten die Dinge komplizierter sein. Gemäß Abschnitt 7 Absatz 3 des Strafgesetzbuchs gilt das estnische Strafrecht für eine außerhalb des estnischen Hoheitsgebiets begangene Handlung, wenn diese Handlung gemäß dem estnischen Strafrecht strafbar ist und am Ort der Tat strafbar ist, oder wenn am Ort der Tat keine Strafgewalt besteht und der Täter zum Zeitpunkt der Tat ein estnischer Staatsbürger ist oder nach Begehung der Tat estnischer Staatsbürger wird [...].</w:t>
      </w:r>
    </w:p>
    <w:p w:rsidR="00000000" w:rsidDel="00000000" w:rsidP="00000000" w:rsidRDefault="00000000" w:rsidRPr="00000000" w14:paraId="000003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folgt, dass wenn zum Beispiel ein Mitglied der estnischen Verteidigungskräfte, ein estnischer Staatsangehöriger, Kriegsverbrechen im Ausland begeht, allein die Tatsache, estnischer Staatsangehöriger zu sein, nicht ausreicht, um die Zuständigkeit eines nationalen Gerichts festzustellen. Es besteht ein Erfordernis der doppelten Strafbarkeit - die Handlung muss auch gemäß den Strafgesetzen des Tatortes strafbar sein.</w:t>
      </w:r>
    </w:p>
    <w:p w:rsidR="00000000" w:rsidDel="00000000" w:rsidP="00000000" w:rsidRDefault="00000000" w:rsidRPr="00000000" w14:paraId="000003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67</w:t>
      </w:r>
    </w:p>
    <w:p w:rsidR="00000000" w:rsidDel="00000000" w:rsidP="00000000" w:rsidRDefault="00000000" w:rsidRPr="00000000" w14:paraId="000003E4">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3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solche Bedingung findet im finnischen Strafgesetzbuch keinen Platz (siehe Abschnitt 6 (1) des Rikoslaki), aber eine fast identische Regelung findet sich im deutschen Strafgesetzbuch (siehe § 7 (2) des Strafgesetzbuchs). Daher muss die Regierung vorsichtig sein, wenn sie erwägt, Truppen in postkonfliktuelle Situationen zu entsenden, in denen möglicherweise keine Strafgesetze vorhanden sind, die als Richtschnur dienen können. Man könnte darauf verweisen, dass in der Regel keine Truppen entsandt werden, es sei denn, es besteht eine Vereinbarung über den Status der Soldaten. Die Fragen im Zusammenhang mit dem Status-of-Forces Agreement (SOFA) werden unten behandelt. Es sei jedoch gesagt, dass diese nicht immer vollständigen Ausschluss von der Zuständigkeit des Tatortes gewähren. Die Lösung könnte auch die universelle Gerichtsbarkeit sein, die in Abschnitt 8 des estnischen Strafgesetzbuchs vorgesehen ist. Gemäß diesem Abschnitt "gilt ungeachtet des Rechts des Tatortes das estnische Strafrecht für eine außerhalb des estnischen Hoheitsgebiets begangene Handlung, wenn die Strafbarkeit der Handlung aus einem für Estland bindenden internationalen Abkommen resultiert". Wie aus dem Wortlaut hervorgeht, ist für die Ausübung der universellen Gerichtsbarkeit keine doppelte Strafbarkeit erforderlich. Was die Verbrechen nach dem Römischen Statut betrifft, so verpflichten Artikel 5 der Genozidkonvention und die entsprechenden Artikel der vier Genfer Abkommen von 1949 (Artikel 49, 50, 129 und 149) einen Mitgliedstaat dazu, strafrechtliche Gesetzgebung zur Umsetzung der Bestimmungen zu erlassen. Was Verbrechen gegen die Menschlichkeit betrifft, existiert kein spezifischer Vertrag dazu, und auch das Römische Statut legt einem Vertragsstaat keine Verpflichtung auf, es in nationales Recht zu überführen. Deutschland hat beispielsweise in seinem neuen Strafgesetzbuch für Völkerstrafrecht (Völkerstrafgesetzbuch, § 1) eine universelle Bedingung für die in dem Römischen Statut aufgeführten Verbrechen festgelegt, ohne besondere Voraussetzungen zu stellen. Dadurch wird eine absolute Gewähr gegen die Mängel geboten, die sich aus der Verwendung anderer Zuständigkeitsgrundlagen ergeben können. Folglich ist die nationale Zuständigkeit für Verbrechen gegen die Menschlichkeit in Estland begrenzter als bei den anderen beiden Verbrechen gemäß dem Römischen Statut. Dies kann auch bedeuten, dass den nationalen Gerichten weniger Möglichkeiten zur Ausübung des primären Zuständigkeitsrechts gemäß dem Prinzip der Komplementarität zur Verfügung stehen.</w:t>
      </w:r>
    </w:p>
    <w:p w:rsidR="00000000" w:rsidDel="00000000" w:rsidP="00000000" w:rsidRDefault="00000000" w:rsidRPr="00000000" w14:paraId="000003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Die strafrechtliche Verantwortlichkeit von Befehlshabern im Römischen Statut und im estnischen Strafgesetzbuch</w:t>
      </w:r>
    </w:p>
    <w:p w:rsidR="00000000" w:rsidDel="00000000" w:rsidP="00000000" w:rsidRDefault="00000000" w:rsidRPr="00000000" w14:paraId="000003E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der grundlegenden Fragen des allgemeinen Völkerstrafrechts betrifft die Frage der Vorgesetztenverantwortung, die ursprünglich nur auf die militärische Verantwortung beschränkt war, später aber auch auf zivile Vorgesetzte ausgeweitet wurde. Kurz gesagt regelt das Konzept der Vorgesetztenverantwortung die Fälle, in denen ein militärischer Befehlshaber für die kriminellen Handlungen seiner Untergebenen verantwortlich gemacht werden kann.</w:t>
      </w:r>
    </w:p>
    <w:p w:rsidR="00000000" w:rsidDel="00000000" w:rsidP="00000000" w:rsidRDefault="00000000" w:rsidRPr="00000000" w14:paraId="000003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Recht in Bezug auf das Thema ist umstritten und diskutabel und noch nicht klar. Die Rechtsprechung des Internationalen Strafgerichtshofs für das ehemalige Jugoslawien (ICTY) hat im ¹elebici-Fall die folgenden Voraussetzungen festgelegt:</w:t>
      </w:r>
    </w:p>
    <w:p w:rsidR="00000000" w:rsidDel="00000000" w:rsidP="00000000" w:rsidRDefault="00000000" w:rsidRPr="00000000" w14:paraId="000003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Vorliegen einer Vorgesetzten-Untergebenen-Beziehung;</w:t>
      </w:r>
    </w:p>
    <w:p w:rsidR="00000000" w:rsidDel="00000000" w:rsidP="00000000" w:rsidRDefault="00000000" w:rsidRPr="00000000" w14:paraId="000003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68</w:t>
      </w:r>
    </w:p>
    <w:p w:rsidR="00000000" w:rsidDel="00000000" w:rsidP="00000000" w:rsidRDefault="00000000" w:rsidRPr="00000000" w14:paraId="000003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das tatsächliche Wissen oder die Kenntnis (durch spezifische Informationen, die auf die Notwendigkeit weiterer Untersuchungen hinweisen), dass die Tat begangen wurde oder begangen werden sollte;</w:t>
      </w:r>
    </w:p>
    <w:p w:rsidR="00000000" w:rsidDel="00000000" w:rsidP="00000000" w:rsidRDefault="00000000" w:rsidRPr="00000000" w14:paraId="000003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das Versäumnis des Vorgesetzten, erforderliche und angemessene Maßnahmen zu ergreifen, um das Verbrechen zu verhindern oder den Täter zu bekämpfen.³ </w:t>
      </w:r>
    </w:p>
    <w:p w:rsidR="00000000" w:rsidDel="00000000" w:rsidP="00000000" w:rsidRDefault="00000000" w:rsidRPr="00000000" w14:paraId="000003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Fragen wurden spezifischer in Artikel 28 (a) des Römischen Statuts erläutert. Dies umfasst sowohl die de jure als auch die de facto Befehlskette (Kräfte unterstehen effektivem Befehl und Kontrolle). Die Verantwortung ergibt sich aus dem Versagen des Kommandanten, die Kontrolle ordnungsgemäß auszuüben, das heißt, ein Kommandant muss alle Maßnahmen ergreifen, um sicherzustellen, dass die ihm unterstellten Kräfte die Regeln des humanitären Völkerrechts befolgen. Für den Staatsanwalt ist es in der Regel am schwierigsten, das subjektive Element, das tatsächliche Wissen oder den "hätte wissen müssen"-Standard, nachzuweisen. Es ist wahrscheinlich, dass sich der ICC auf die einschlägige Rechtsprechung des ICTY in dieser Angelegenheit stützen wird. Der ICTY hat festgestellt, dass auch indirekte Beweise verwendet werden können, um das Wissen festzustellen, aber es besteht keine Vermutung, dass der Kommandant allein aufgrund der Befehlsposition automatisch haftbar ist.⁴ Noch schwieriger ist es, den "hätte wissen müssen"-Standard festzulegen: Dies impliziert die Pflicht des Kommandanten, relevante Daten zu sammeln und zu analysieren. Wenn er/sie es versäumt, diese Informationen zu sammeln oder willentlich Informationen zu ignorieren, die auf die tatsächliche oder wahrscheinliche Begehung von Verbrechen hinweisen, erfüllt er/sie den "hätte wissen müssen"-Standard.</w:t>
      </w:r>
    </w:p>
    <w:p w:rsidR="00000000" w:rsidDel="00000000" w:rsidP="00000000" w:rsidRDefault="00000000" w:rsidRPr="00000000" w14:paraId="000003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Römische Statut legt den Staaten, die Vertragsparteien sind, keine Verpflichtung auf, das Konzept der Befehlsverantwortung in ihre nationalen Gesetzgebungen aufzunehmen, obwohl es aufgrund des Prinzips der Komplementarität sehr nützlich ist, dies zu tun. Der estnische Strafgesetzbuch regelt die Frage der Befehlsverantwortung in § 88 (1) wie folgt:</w:t>
      </w:r>
    </w:p>
    <w:p w:rsidR="00000000" w:rsidDel="00000000" w:rsidP="00000000" w:rsidRDefault="00000000" w:rsidRPr="00000000" w14:paraId="000003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eine in diesem Kapitel vorgesehene Straftat wird auch der Vertreter staatlicher Gewalten oder der militärische Kommandant bestraft, der den Befehl zur Begehung der Straftat erteilt, der Begehung der Straftat zugestimmt oder es versäumt hat, die Begehung der Straftat zu verhindern, obwohl es in seiner oder ihrer Macht gestanden hätte, dies zu tun, zusätzlich zum eigentlichen Täter".</w:t>
      </w:r>
    </w:p>
    <w:p w:rsidR="00000000" w:rsidDel="00000000" w:rsidP="00000000" w:rsidRDefault="00000000" w:rsidRPr="00000000" w14:paraId="000003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Bestimmung bezieht sich daher nicht einfach auf die Befehlsverantwortung, wie sie im Völkerstrafrecht verstanden wird, sondern behandelt bestimmte Fragen der individuellen strafrechtlichen Verantwortlichkeit, wie zum Beispiel das Anordnen von Straftaten. In den beiden ersten Fällen (Anordnung und Einwilligung zur Begehung der Straftat) haftet der Kommandeur als Mittäter, und daher ergibt sich die Verantwortung aufgrund einer positiven Handlung. Der dritte Fall, das Unterlassen, ist ein klassischer Fall der Befehlsverantwortung im Völkerstrafrecht. Daher ist es die Ansicht des Verfassers dieses Artikels, dass diese Verantwortlichkeitsquellen im Strafgesetzbuch besser differenziert hätten werden sollen, da es sich auch um unterschiedliche Konzepte des Völkerrechts handelt. Die Befehlsverantwortung ist Verantwortung aufgrund des Unterlassens; die Mittäterschaft ist Verantwortung durch eine positive Handlung.</w:t>
      </w:r>
    </w:p>
    <w:p w:rsidR="00000000" w:rsidDel="00000000" w:rsidP="00000000" w:rsidRDefault="00000000" w:rsidRPr="00000000" w14:paraId="000003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Darüber hinaus besteht keine Verantwortlichkeit für den Kommandanten,</w:t>
      </w:r>
    </w:p>
    <w:p w:rsidR="00000000" w:rsidDel="00000000" w:rsidP="00000000" w:rsidRDefault="00000000" w:rsidRPr="00000000" w14:paraId="000003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69</w:t>
      </w:r>
    </w:p>
    <w:p w:rsidR="00000000" w:rsidDel="00000000" w:rsidP="00000000" w:rsidRDefault="00000000" w:rsidRPr="00000000" w14:paraId="000004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wenn er oder sie nicht versäumt hat, alle zumutbaren Maßnahmen zu ergreifen, um sicherzustellen, dass die Verbrechen untersucht werden. Das subjektive Element (Mens rea) der Verantwortlichkeit scheint nachsichtiger zu sein: Gemäß den Kommentaren zu § 88 (1) des Strafgesetzbuchs muss der Kommandant tatsächliche Kenntnis von den zu begehenden Taten haben, jedoch nicht, wenn der Standard des "hätte wissen müssen" erfüllt ist. Es obliegt der möglichen Rechtsprechung, die genauen subjektiven Anforderungen an die Befehlsverantwortung nach estnischem Strafrecht festzulegen.</w:t>
      </w:r>
    </w:p>
    <w:p w:rsidR="00000000" w:rsidDel="00000000" w:rsidP="00000000" w:rsidRDefault="00000000" w:rsidRPr="00000000" w14:paraId="000004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3">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ICC und Statusabkommen für Truppen</w:t>
      </w:r>
    </w:p>
    <w:p w:rsidR="00000000" w:rsidDel="00000000" w:rsidP="00000000" w:rsidRDefault="00000000" w:rsidRPr="00000000" w14:paraId="000004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dritte Thema, das ich kurz behandeln möchte, betrifft die prozedurale Zusammenarbeit mit dem ICC. Artikel 98 Absatz 2 des Römischen Statuts sieht vor, dass das Gericht berücksichtigen muss, dass, wenn ein Antrag die Verpflichtungen des Staatenparteis aus internationalen Abkommen verletzt, die Zustimmung des entsendenden Staates zur Überstellung an den ICC erfordern, das Gericht zuerst die Zustimmung dieses Staates einholen muss. Wenn ausländische Streitkräfte sich auf dem Territorium eines anderen Staates befinden, wird ihr Status in der Regel durch ein Statusabkommen für Truppen (SOFA) geregelt. Solche Abkommen, wie beispielsweise das NATO SOFA,⁵ bieten Lösungen, wenn es zu einer kollisionsbedingten Zuständigkeit zwischen dem Staat, der Truppen entsendet, und dem Staat kommt, der die Truppen auf seinem Territorium aufnimmt. Normalerweise hat der entsendende Staat in Fällen von Straftaten, die im Rahmen der offiziellen Aufgaben begangen werden, die primäre Gerichtsbarkeit über sein Militärpersonal. Estland wendet das NATO SOFA durch das sogenannte PfP SOF</w:t>
      </w:r>
      <w:r w:rsidDel="00000000" w:rsidR="00000000" w:rsidRPr="00000000">
        <w:rPr>
          <w:rFonts w:ascii="Times New Roman" w:cs="Times New Roman" w:eastAsia="Times New Roman" w:hAnsi="Times New Roman"/>
          <w:rtl w:val="0"/>
        </w:rPr>
        <w:t xml:space="preserve">A an.⁶ Es müssen zwei Gruppen von Beziehungen unter den SOFA-Abkommen unterschieden werden: ers</w:t>
      </w:r>
      <w:r w:rsidDel="00000000" w:rsidR="00000000" w:rsidRPr="00000000">
        <w:rPr>
          <w:rFonts w:ascii="Times New Roman" w:cs="Times New Roman" w:eastAsia="Times New Roman" w:hAnsi="Times New Roman"/>
          <w:rtl w:val="0"/>
        </w:rPr>
        <w:t xml:space="preserve">tens die Beziehungen zwischen Staaten, die Vertragsstaaten des Römischen Statuts sind, und zweitens die Beziehungen </w:t>
      </w:r>
      <w:r w:rsidDel="00000000" w:rsidR="00000000" w:rsidRPr="00000000">
        <w:rPr>
          <w:rFonts w:ascii="Times New Roman" w:cs="Times New Roman" w:eastAsia="Times New Roman" w:hAnsi="Times New Roman"/>
          <w:b w:val="1"/>
          <w:i w:val="1"/>
          <w:rtl w:val="0"/>
        </w:rPr>
        <w:t xml:space="preserve">zwischen</w:t>
      </w:r>
      <w:r w:rsidDel="00000000" w:rsidR="00000000" w:rsidRPr="00000000">
        <w:rPr>
          <w:rFonts w:ascii="Times New Roman" w:cs="Times New Roman" w:eastAsia="Times New Roman" w:hAnsi="Times New Roman"/>
          <w:rtl w:val="0"/>
        </w:rPr>
        <w:t xml:space="preserve"> einem Vertragsstaat und einem Nicht-Vertragsstaat.⁷</w:t>
      </w:r>
    </w:p>
    <w:p w:rsidR="00000000" w:rsidDel="00000000" w:rsidP="00000000" w:rsidRDefault="00000000" w:rsidRPr="00000000" w14:paraId="000004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wurde gesagt, dass SOFA-Abkommen die Ausübung der Gerichtsbarkeit durch den ICC nicht verhindern und daher die Zuordnung der primären Gerichtsbarkeit zur offiziellen Funktion irrelevant ist, wenn es die Beziehungen zwischen Vertragsstaaten des Römischen Statuts regelt. In der Praxis wird dies kein Problem darstellen, da der ICC den nationalen Behörden zunächst die Möglichkeit geben muss, selbst Verfahren einzuleiten, und das Recht eines entsendenden Staates, seine primäre Gerichtsbarkeit auszuüben, ein Aspekt der Anwendung des Grundsatzes der Komplementarität ist. Wenn das SOFA die Beziehungen zwischen einem Vertragsstaat und einem Nicht-Vertragsstaat betrifft, der nicht an Artikel 27 des Römischen Statuts gebunden ist, gibt die textliche Auslegung dem Nicht-Vertragsstaat in gewisser Weise eine stärkere Position, um das SOFA geltend zu machen und sein Personal vom ICC auszuschließen. Tatsache ist jedoch, dass letztendlich der ICC in dieser Angelegenheit das letzte Wort hat. Die Frage, ob das SOFA, das nach Inkrafttreten des Römischen Statuts geschlossen wurde, für diesen Staat dem Römischen Statut unterworfen werden sollte, ist etwas theoretischer Natur, da Artikel 98 Absatz 2 keinen Unterschied zwischen Abkommen macht, die vor oder nach Inkrafttreten des Römischen Statuts geschlossen wurden. Diese Unterscheidung wird zum Beispiel in Artikel 97 Absatz (c) getroffen, der speziell die Frage der bestehenden Verpflichtungen behandelt.</w:t>
      </w:r>
    </w:p>
    <w:p w:rsidR="00000000" w:rsidDel="00000000" w:rsidP="00000000" w:rsidRDefault="00000000" w:rsidRPr="00000000" w14:paraId="000004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70</w:t>
      </w:r>
    </w:p>
    <w:p w:rsidR="00000000" w:rsidDel="00000000" w:rsidP="00000000" w:rsidRDefault="00000000" w:rsidRPr="00000000" w14:paraId="0000040A">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4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diesem kurzen Artikel habe ich versucht, einige der Fragen im Zusammenhang mit dem ICC, den Verteidigungskräften und der estnischen innerstaatlichen Zuständigkeit und Gesetzgebung zu erörtern. Es gibt einige Mängel im estnischen Strafrecht in Bezug auf die Gerichtsbarkeit, die einen umfassenderen Geltungsbereich haben könnten. Das Gesetz über die Kommandoverantwortung ist im selben Artikel wie die individuelle strafrechtliche Verantwortung für positive Handlungen festgelegt, was irreführend sein könnte. Es scheint auch keine Verantwortung vorzusehen, wenn der Kommandant von den begangenen Verbrechen hätte wissen müssen. Insgesamt bereiten die SOFA-Abkommen keine Probleme für die Zusammenarbeit mit dem ICC, solange der Staat seine primäre Zuständigkeit </w:t>
      </w:r>
      <w:r w:rsidDel="00000000" w:rsidR="00000000" w:rsidRPr="00000000">
        <w:rPr>
          <w:rFonts w:ascii="Times New Roman" w:cs="Times New Roman" w:eastAsia="Times New Roman" w:hAnsi="Times New Roman"/>
          <w:i w:val="1"/>
          <w:rtl w:val="0"/>
        </w:rPr>
        <w:t xml:space="preserve">bona fide</w:t>
      </w:r>
      <w:r w:rsidDel="00000000" w:rsidR="00000000" w:rsidRPr="00000000">
        <w:rPr>
          <w:rFonts w:ascii="Times New Roman" w:cs="Times New Roman" w:eastAsia="Times New Roman" w:hAnsi="Times New Roman"/>
          <w:rtl w:val="0"/>
        </w:rPr>
        <w:t xml:space="preserve"> ausübt.</w:t>
      </w:r>
    </w:p>
    <w:p w:rsidR="00000000" w:rsidDel="00000000" w:rsidP="00000000" w:rsidRDefault="00000000" w:rsidRPr="00000000" w14:paraId="000004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Teile: Die Beendigung der (militärischen) Hilfe ändert die estnisch-amerikanischen Beziehungen nicht, Eesti Päevaleht, 3. Juli 2003. Trotzdem beschloss der US-Präsident im November 2003, die Hilfe teilweise wiederherzustellen.</w:t>
      </w:r>
    </w:p>
    <w:p w:rsidR="00000000" w:rsidDel="00000000" w:rsidP="00000000" w:rsidRDefault="00000000" w:rsidRPr="00000000" w14:paraId="000004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Siehe den Lotus-Fall, Urteil Nr. 9, 1927 PCIJ, Serie A, Nr. 10: "der territoriale Charakter von Straftaten in allen Rechtssystemen".</w:t>
      </w:r>
    </w:p>
    <w:p w:rsidR="00000000" w:rsidDel="00000000" w:rsidP="00000000" w:rsidRDefault="00000000" w:rsidRPr="00000000" w14:paraId="000004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Prosecutor v. Delalic and others (¹elebici), Urteil, ICTY Fall Nr. 96-21-T, 16. November 1998, Absatz 330. Siehe auch K. Ambos. "Internationale strafrechtliche Verantwortung im Völkerstrafrecht: Eine juristische Analyse von Nürnberg bis Den Haag", in G. Kirk McDonald, O. Spaak-Goldman (Hrsg.). Substantielle und prozessuale Aspekte des Völkerstrafrechts. Kluwer Law International, 2000.</w:t>
      </w:r>
    </w:p>
    <w:p w:rsidR="00000000" w:rsidDel="00000000" w:rsidP="00000000" w:rsidRDefault="00000000" w:rsidRPr="00000000" w14:paraId="000004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Prosecutor v. Delalic, siehe Anmerkung 3, Absatz 386.</w:t>
      </w:r>
    </w:p>
    <w:p w:rsidR="00000000" w:rsidDel="00000000" w:rsidP="00000000" w:rsidRDefault="00000000" w:rsidRPr="00000000" w14:paraId="000004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Abkommen zwischen den Vertragsparteien des Nordatlantikvertrags über den Status ihrer Truppen, London, 19. Juni 1951. Siehe http://www.nato.int/docu/basictxt/b510619a.htm.</w:t>
      </w:r>
    </w:p>
    <w:p w:rsidR="00000000" w:rsidDel="00000000" w:rsidP="00000000" w:rsidRDefault="00000000" w:rsidRPr="00000000" w14:paraId="000004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Abkommen zwischen den Vertragsparteien des Nordatlantikvertrags und den anderen am Partnerschaftsprogramm für den Frieden teilnehmenden Staaten über den Status ihrer Truppen, Brüssel, 19. Juni 1995. Siehe http://www.nato.int/docu/basictxt/b950619a.htm.</w:t>
      </w:r>
    </w:p>
    <w:p w:rsidR="00000000" w:rsidDel="00000000" w:rsidP="00000000" w:rsidRDefault="00000000" w:rsidRPr="00000000" w14:paraId="000004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w:t>
      </w:r>
      <w:r w:rsidDel="00000000" w:rsidR="00000000" w:rsidRPr="00000000">
        <w:rPr>
          <w:rFonts w:ascii="Times New Roman" w:cs="Times New Roman" w:eastAsia="Times New Roman" w:hAnsi="Times New Roman"/>
          <w:rtl w:val="0"/>
        </w:rPr>
        <w:t xml:space="preserve"> S. Wirth. Immunitäten, damit verbundene Probleme und Artikel 98 des Römischen Statuts. Criminal Law Forum 12, 2001, S. 455.</w:t>
      </w:r>
    </w:p>
    <w:p w:rsidR="00000000" w:rsidDel="00000000" w:rsidP="00000000" w:rsidRDefault="00000000" w:rsidRPr="00000000" w14:paraId="000004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B">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71</w:t>
      </w:r>
    </w:p>
    <w:p w:rsidR="00000000" w:rsidDel="00000000" w:rsidP="00000000" w:rsidRDefault="00000000" w:rsidRPr="00000000" w14:paraId="000004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D">
      <w:pPr>
        <w:pStyle w:val="Heading2"/>
        <w:jc w:val="center"/>
        <w:rPr>
          <w:rFonts w:ascii="Times New Roman" w:cs="Times New Roman" w:eastAsia="Times New Roman" w:hAnsi="Times New Roman"/>
          <w:b w:val="1"/>
        </w:rPr>
      </w:pPr>
      <w:bookmarkStart w:colFirst="0" w:colLast="0" w:name="_549ewtviuggg" w:id="13"/>
      <w:bookmarkEnd w:id="13"/>
      <w:r w:rsidDel="00000000" w:rsidR="00000000" w:rsidRPr="00000000">
        <w:rPr>
          <w:rFonts w:ascii="Times New Roman" w:cs="Times New Roman" w:eastAsia="Times New Roman" w:hAnsi="Times New Roman"/>
          <w:b w:val="1"/>
          <w:rtl w:val="0"/>
        </w:rPr>
        <w:t xml:space="preserve">Kommentar zu aktuellen Fragen: Mitglied werden und Mitglied sein</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Von Ole Espersen*</w:t>
      </w:r>
    </w:p>
    <w:p w:rsidR="00000000" w:rsidDel="00000000" w:rsidP="00000000" w:rsidRDefault="00000000" w:rsidRPr="00000000" w14:paraId="0000042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die wiederhergestellten oder neu gegründeten Demokratien wurde die Mitgliedschaft in internationalen Organisationen als wichtige Voraussetzung für eine sichere Position in der internationalen Staatengemeinschaft angesehen. Dieses Gefühl wurde von den nordischen Ländern in Bezug auf die baltischen Staaten vollständig verstanden und unterstützt. Zuerst die Vereinten Nationen, dann der Europarat und nun die NATO und die EU. Der Beitrittsprozess wird bald abgeschlossen sein und der Alltag kann beginnen.</w:t>
      </w:r>
    </w:p>
    <w:p w:rsidR="00000000" w:rsidDel="00000000" w:rsidP="00000000" w:rsidRDefault="00000000" w:rsidRPr="00000000" w14:paraId="000004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baltischen Staaten werden - wie wir es getan haben - zu schätzen wissen, dass insbesondere für kleine Länder die Einhaltung des Völkerrechts - der Respekt vor dem Grundsatz der "Herrschaft des Rechts" - von entscheidender Bedeutung ist. Die Mitgliedschaft in den meisten internationalen Organisationen hat genau diesen wichtigen Zweck. Das beeindruckendste Beispiel ist natürlich die EU. Wenn wir - die vielen kleinen oder mittelgroßen Länder - das Völkerrecht umsetzen und weiterentwickeln, z.B. innerhalb der Vereinten Nationen und der EU, haben wir eine viel bessere Chance, dasselbe von den Großmächten erfolgreich zu erwarten und/oder zu fordern. Wenn wir nachgeben, vielleicht um kurzfristige Interessen zu bedienen, verlieren wir den Nutzen der Rechtsstaatlichkeit. Wir sind alle Vollmitglieder der Gesellschaft des Völkerrechts geworden. Die Mitgliedschaft verpflichtet uns, für eine zivilisierte und gerechte Weltordnung zu kämpfen.</w:t>
      </w:r>
    </w:p>
    <w:p w:rsidR="00000000" w:rsidDel="00000000" w:rsidP="00000000" w:rsidRDefault="00000000" w:rsidRPr="00000000" w14:paraId="000004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Überlegungen bilden den Hintergrund für die folgenden Gedanken, die meiner Meinung nach für Länder wie Estland, Lettland, Litauen und auch Dänemark relevant sind.</w:t>
      </w:r>
    </w:p>
    <w:p w:rsidR="00000000" w:rsidDel="00000000" w:rsidP="00000000" w:rsidRDefault="00000000" w:rsidRPr="00000000" w14:paraId="000004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Seit ich in den 1950er Jahren erstmals mit dem Völkerrecht vertraut wurde, haben sich große Entwicklungen auf diesem Gebiet vollzogen. Mein Professor sprach damals von einem System, das sich "Völkerrecht" nannte, aber größtenteils nur aus Prinzipien oder Ideen bestand. Die meisten sogenannten Pflichten waren nicht mit einer verbindlichen Verantwortung, einem Gerichtssystem oder Durchsetzungsverfahren verbunden. Es war eine Verspottung des Rechts! Gleichzeitig erkannte er natürlich an, dass bestimmte Teile des Völkerrechts tatsächlich in der Praxis funktionierten. Aber nur, weil alle Parteien es als nützlich empfanden. Dies gilt zum Beispiel für</w:t>
      </w:r>
    </w:p>
    <w:p w:rsidR="00000000" w:rsidDel="00000000" w:rsidP="00000000" w:rsidRDefault="00000000" w:rsidRPr="00000000" w14:paraId="000004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72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Internationale Postvereinigung. </w:t>
      </w:r>
    </w:p>
    <w:p w:rsidR="00000000" w:rsidDel="00000000" w:rsidP="00000000" w:rsidRDefault="00000000" w:rsidRPr="00000000" w14:paraId="000004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Völkerrecht hat sich heute zu etwas ganz anderem entwickelt. Mehr Länder sind dem Internationalen Gerichtshof beigetreten, und das Gericht ist so beschäftigt wie nie zuvor. Im Jahr 1998 wurde ein Internationaler Strafgerichtshof eingerichtet. Die Satzung des Internationalen Strafgerichtshofs ist ebenso lang und kompliziert wie die meisten unserer nationalen Gesetze zur Justizverwaltung. Der Welthandelsorganisation wurden mehr Befugnisse zur Schlichtung übertragen als je zuvor, und die internationale Organisation, die Europäische Gemeinschaft, kann Geldstrafen gegen Mitgliedsländer verhängen. Es sind Regeln entstanden, die Souveränität wurde eingeschränkt und eine wachsende Grundlage für eine internationale Gesellschaft auf der Grundlage des Rechtsstaats wurde geschaffen.</w:t>
      </w:r>
    </w:p>
    <w:p w:rsidR="00000000" w:rsidDel="00000000" w:rsidP="00000000" w:rsidRDefault="00000000" w:rsidRPr="00000000" w14:paraId="000004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Bisher gibt es Gründe, optimistisch zu sein. Die meisten Länder, die in dieser Entwicklung führend oder kooperativ waren, sind immer noch bestrebt, eine solide Grundlage für eine internationale Gemeinschaft zu schaffen. Es gibt jedoch dunkle Wolken über uns. Der Bereich der Menschenrechte und des Menschenrechtsschutzes wird von bestimmten politischen und religiösen Kreisen angegriffen. Dies ist natürlich ernsthaft, da die Menschenrechte, einschließlich der Gewissensfreiheit, der Meinungsfreiheit, der Versammlungsfreiheit und der Vereinigungsfreiheit, die grundlegenden Elemente eines jeden durch Rechtsstaatlichkeit regierten Staates oder einer Gesellschaft sind, auch der internationalen Gesellschaft. Die Vereinigten Staaten haben den Internationalen Strafgerichtshof auf eine Weise angegriffen, die absolut im Widerspruch zu jeder Vorstellung einer auf Rechtsstaatlichkeit basierenden Gesellschaft steht. Bestechung und Druck wurden sehr oft als Mittel eingesetzt. Kleine Länder waren dem Druck ausgesetzt, der jeder Art von Anstand widerspricht.</w:t>
      </w:r>
    </w:p>
    <w:p w:rsidR="00000000" w:rsidDel="00000000" w:rsidP="00000000" w:rsidRDefault="00000000" w:rsidRPr="00000000" w14:paraId="000004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Vereinten Nationen wurden unter Druck gesetzt und mit der Drohung konfrontiert, Truppen aus UN-Einsätzen abzuziehen. Viele Länder haben nachgegeben und dadurch die gesamte Idee der Straflosigkeit geschwächt, die einer der Hauptgründe für die Schaffung des Internationalen Strafgerichtshofs war. Dem Sicherheitssystem der Vereinten Nationen wurde der stärkste Schlag versetzt durch Verstöße gegen das Verbot des Einsatzes von Gewalt, außer in Fällen der Selbstverteidigung oder wenn der Sicherheitsrat den Einsatz von Gewalt autorisiert hat. Der Generalsekretär der Vereinten Nationen warnte einen Tag vor Beginn des Irakkriegs sehr ernsthaft vor jeglichem Einsatz von Gewalt auf diese Weise. Doch man hörte nicht auf ihn. Die Vereinigten Staaten, Spanien, Dänemark, Australien - unter anderem - fanden, dass sie selbst das Recht hatten, eine Reihe von Resolutionen der Vereinten Nationen so zu interpretieren, dass sie frei waren, Gewalt im Irak anzuwenden. Sie nahmen sich das Recht heraus, im Namen der Weltgesellschaft zu interpretieren.</w:t>
      </w:r>
    </w:p>
    <w:p w:rsidR="00000000" w:rsidDel="00000000" w:rsidP="00000000" w:rsidRDefault="00000000" w:rsidRPr="00000000" w14:paraId="000004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Internationale Gerichtshof, Teil des Systems der Vereinten Nationen, hat bereits 1949 eindeutig entschieden, dass der unbefugte Einsatz von Gewalt durch ein Land auf dem Gebiet eines anderen Landes gemäß internationalem Recht klar verboten ist. Der Gerichtshof hat folgende Erklärung abgegeben:</w:t>
      </w:r>
    </w:p>
    <w:p w:rsidR="00000000" w:rsidDel="00000000" w:rsidP="00000000" w:rsidRDefault="00000000" w:rsidRPr="00000000" w14:paraId="000004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Gericht würde das behauptete Interventionsrecht als Ausdruck einer Politik der Gewalt betrachten, die in der Vergangenheit zu schwerwiegenden Missbräuchen geführt hat</w:t>
      </w:r>
    </w:p>
    <w:p w:rsidR="00000000" w:rsidDel="00000000" w:rsidP="00000000" w:rsidRDefault="00000000" w:rsidRPr="00000000" w14:paraId="000004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73</w:t>
      </w:r>
    </w:p>
    <w:p w:rsidR="00000000" w:rsidDel="00000000" w:rsidP="00000000" w:rsidRDefault="00000000" w:rsidRPr="00000000" w14:paraId="000004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und daher unabhängig von den aktuellen Mängeln der internationalen Organisation keinen Platz im Völkerrecht finden kann. Intervention ist vielleicht in der hier vorliegenden besonderen Form noch weniger zulässig, denn aufgrund der Natur der Sache würde sie den mächtigsten Staaten vorbehalten sein und könnte leicht zur Verfälschung der Verwaltung der internationalen Gerechtigkeit selbst führen."</w:t>
      </w:r>
    </w:p>
    <w:p w:rsidR="00000000" w:rsidDel="00000000" w:rsidP="00000000" w:rsidRDefault="00000000" w:rsidRPr="00000000" w14:paraId="000004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Noch ernster war die Warnung, die am 17. März 2003 vom Generalsekretär Kofi Annan ausgesprochen wurde. Er sagte: "Die Mitglieder des Sicherheitsrats stehen nun vor einer schwerwiegenden Entscheidung. Wenn sie sich nicht auf eine gemeinsame Position einigen können und Maßnahmen ohne die Autorität des Sicherheitsrats ergriffen werden, würde dies die Legitimität und Unterstützung für solche Maßnahmen ernsthaft beeinträchtigen".</w:t>
      </w:r>
    </w:p>
    <w:p w:rsidR="00000000" w:rsidDel="00000000" w:rsidP="00000000" w:rsidRDefault="00000000" w:rsidRPr="00000000" w14:paraId="000004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Mein eigenes Land ist dafür bekannt, die internationale Entwicklung der Menschenrechte und des Rechtsstaats zu unterstützen. Seit 1945 basieren wir unsere Außenpolitik auf den Vereinten Nationen. Wir haben sie auch auf der Nordatlantischen Vertragsorganisation (NATO) aufgebaut, einer Organisation, die zur Verteidigung der Demokratie und des Rechtsstaats gegründet wurde. Es ist zu hoffen, dass die Ereignisse des letzten Jahres eine kurze Unterbrechung in unserer Geschichte sein werden. Es ist zu hoffen, dass die große Mehrheit in der Welt und innerhalb der Mitgliedschaft des Sicherheitsrats den Kurs ändern wird. Es ist zu hoffen, dass Dänemark und Länder in ähnlicher Position überdenken, was getan wurde, und fragen: "Was wurde wirklich durch diese Verletzung wichtiger Regeln des Völkerrechts erreicht?" Wir müssen die Vereinigten Staaten überzeugen - vielleicht nach einigen Jahren des Funktionierens des Internationalen Strafgerichtshofs (ICC) -, dass wir alle Mitgliedstaaten des Gerichts sein sollten, um der schwerwiegenden Ungerechtigkeit entgegenzuwirken, die Straflosigkeit in vielen Ländern und Beziehungen geschaffen hat. Dann wird hoffentlich die positive Entwicklung des Völkerrechts und der internationalen Gesellschaft auf der Grundlage des Rechtsstaats nach diesem bedauerlichen und sehr schwerwiegenden Schlag, der ihm versetzt wurde, fortgesetzt.</w:t>
      </w:r>
    </w:p>
    <w:p w:rsidR="00000000" w:rsidDel="00000000" w:rsidP="00000000" w:rsidRDefault="00000000" w:rsidRPr="00000000" w14:paraId="000004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74</w:t>
      </w:r>
    </w:p>
    <w:p w:rsidR="00000000" w:rsidDel="00000000" w:rsidP="00000000" w:rsidRDefault="00000000" w:rsidRPr="00000000" w14:paraId="000004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1">
      <w:pPr>
        <w:pStyle w:val="Heading2"/>
        <w:jc w:val="center"/>
        <w:rPr>
          <w:rFonts w:ascii="Times New Roman" w:cs="Times New Roman" w:eastAsia="Times New Roman" w:hAnsi="Times New Roman"/>
          <w:b w:val="1"/>
        </w:rPr>
      </w:pPr>
      <w:bookmarkStart w:colFirst="0" w:colLast="0" w:name="_qtgbw2pgmof5" w:id="14"/>
      <w:bookmarkEnd w:id="14"/>
      <w:r w:rsidDel="00000000" w:rsidR="00000000" w:rsidRPr="00000000">
        <w:rPr>
          <w:rFonts w:ascii="Times New Roman" w:cs="Times New Roman" w:eastAsia="Times New Roman" w:hAnsi="Times New Roman"/>
          <w:b w:val="1"/>
          <w:rtl w:val="0"/>
        </w:rPr>
        <w:t xml:space="preserve">Abschnitt III</w:t>
      </w:r>
    </w:p>
    <w:p w:rsidR="00000000" w:rsidDel="00000000" w:rsidP="00000000" w:rsidRDefault="00000000" w:rsidRPr="00000000" w14:paraId="00000442">
      <w:pPr>
        <w:pStyle w:val="Heading2"/>
        <w:jc w:val="center"/>
        <w:rPr>
          <w:rFonts w:ascii="Times New Roman" w:cs="Times New Roman" w:eastAsia="Times New Roman" w:hAnsi="Times New Roman"/>
          <w:b w:val="1"/>
        </w:rPr>
      </w:pPr>
      <w:bookmarkStart w:colFirst="0" w:colLast="0" w:name="_nqs42a1g0p4j" w:id="15"/>
      <w:bookmarkEnd w:id="15"/>
      <w:r w:rsidDel="00000000" w:rsidR="00000000" w:rsidRPr="00000000">
        <w:rPr>
          <w:rFonts w:ascii="Times New Roman" w:cs="Times New Roman" w:eastAsia="Times New Roman" w:hAnsi="Times New Roman"/>
          <w:b w:val="1"/>
          <w:rtl w:val="0"/>
        </w:rPr>
        <w:t xml:space="preserve">Militärische Konzepte, Strukturen und Doktrinen</w:t>
      </w:r>
    </w:p>
    <w:p w:rsidR="00000000" w:rsidDel="00000000" w:rsidP="00000000" w:rsidRDefault="00000000" w:rsidRPr="00000000" w14:paraId="000004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Gemäß ihrer langjährigen Tradition informiert die Baltic Defence Review ihre Leser über Veränderungen und Entwicklungen in den wichtigsten konzeptionellen Dokumenten Estlands, Lettlands und Litauens. Dieses Mal veröffentlichen wir ein neues Nationales Verteidigungskonzept Lettlands, das von den lettischen Behörden verabschiedet wurde, um den weiteren Ausbau der Lettischen Nationalen Streitkräfte nach dem Beitritt zur NATO zu planen. Unter vielen anderen neuen oder angepassten Elementen reflektiert das Dokument eine politische Entscheidung zur Abschaffung der Wehrpflicht und zur Umstellung auf ein ausschließlich freiwilliges Kräfteformat.</w:t>
      </w:r>
    </w:p>
    <w:p w:rsidR="00000000" w:rsidDel="00000000" w:rsidP="00000000" w:rsidRDefault="00000000" w:rsidRPr="00000000" w14:paraId="000004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Dann richtet der Abschnitt die Aufmerksamkeit unserer Leser auf ein weitgehend unerforschtes Gebiet im Bereich des militärischen Denkens. Unter Anerkennung der Bedeutung der Kriegsprinzipien für die Gestaltung des Militärberufs und militärischer Institutionen behandelt Leutnant Commander P. Richard Moller die Notwendigkeit, Prinzipien der Friedenszeitbereitschaft zu definieren und in der Praxis anzuwenden, was entscheidend ist, wenn wir die Kraft und Dynamik unserer Streitkräfte aufrechterhalten wollen. Der Autor schlägt vor, dass die Entwicklung angemessener Prinzipien der Friedenszeitbereitschaft dazu dient, schwache, umständliche und ineffektive Streitkräfte zu vermeiden, die in bürokratischen Auseinandersetzungen während der Friedenszeit stecken bleiben und im Kriegsfall zu einem anfänglichen militärischen Desaster führen. Unter Berufung auf den Erfolg von Geschäftsorganisationen bei der Aufrechterhaltung organisatorischer Agilität versucht der Autor, Schlüsselelemente dieses Erfolgs auf das militärische Umfeld zu übertragen, definiert klare Prinzipien der Friedenszeitbereitschaft und erläutert ihre mögliche Anwendung in den Streitkräften.</w:t>
      </w:r>
    </w:p>
    <w:p w:rsidR="00000000" w:rsidDel="00000000" w:rsidP="00000000" w:rsidRDefault="00000000" w:rsidRPr="00000000" w14:paraId="000004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letzte Artikel des Abschnitts ist das Ergebnis eines lobenswerten Versuchs eines Studenten des Baltic Defence College, in den Bereich der öffentlichen Debatte über Sicherheits- und Verteidigungspolitik einzutreten. Hier skizziert Major Hennadiy Kovalenko die Bemühungen zur Reform der Streitkräfte der Ukraine und erörtert die Zusammenarbeit der Ukraine mit der NATO. Er gibt einige Empfehlungen, was getan werden muss, um diese Zusammenarbeit zu optimieren und das strategische Ziel der Ukraine, sich in die westliche Sicherheits- und Verteidigungsgemeinschaft zu integrieren, voranzutreiben.</w:t>
      </w:r>
    </w:p>
    <w:p w:rsidR="00000000" w:rsidDel="00000000" w:rsidP="00000000" w:rsidRDefault="00000000" w:rsidRPr="00000000" w14:paraId="0000044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A">
      <w:pPr>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77</w:t>
      </w:r>
    </w:p>
    <w:p w:rsidR="00000000" w:rsidDel="00000000" w:rsidP="00000000" w:rsidRDefault="00000000" w:rsidRPr="00000000" w14:paraId="0000044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C">
      <w:pPr>
        <w:pStyle w:val="Heading2"/>
        <w:jc w:val="center"/>
        <w:rPr>
          <w:rFonts w:ascii="Times New Roman" w:cs="Times New Roman" w:eastAsia="Times New Roman" w:hAnsi="Times New Roman"/>
          <w:b w:val="1"/>
        </w:rPr>
      </w:pPr>
      <w:bookmarkStart w:colFirst="0" w:colLast="0" w:name="_6mzesjgc8f5k" w:id="16"/>
      <w:bookmarkEnd w:id="16"/>
      <w:r w:rsidDel="00000000" w:rsidR="00000000" w:rsidRPr="00000000">
        <w:rPr>
          <w:rFonts w:ascii="Times New Roman" w:cs="Times New Roman" w:eastAsia="Times New Roman" w:hAnsi="Times New Roman"/>
          <w:b w:val="1"/>
          <w:rtl w:val="0"/>
        </w:rPr>
        <w:t xml:space="preserve">Staatsverteidigungskonzept </w:t>
      </w:r>
    </w:p>
    <w:p w:rsidR="00000000" w:rsidDel="00000000" w:rsidP="00000000" w:rsidRDefault="00000000" w:rsidRPr="00000000" w14:paraId="0000044D">
      <w:pPr>
        <w:pStyle w:val="Heading2"/>
        <w:jc w:val="center"/>
        <w:rPr>
          <w:rFonts w:ascii="Times New Roman" w:cs="Times New Roman" w:eastAsia="Times New Roman" w:hAnsi="Times New Roman"/>
          <w:b w:val="1"/>
        </w:rPr>
      </w:pPr>
      <w:bookmarkStart w:colFirst="0" w:colLast="0" w:name="_562xppl8zbpf" w:id="17"/>
      <w:bookmarkEnd w:id="17"/>
      <w:r w:rsidDel="00000000" w:rsidR="00000000" w:rsidRPr="00000000">
        <w:rPr>
          <w:rFonts w:ascii="Times New Roman" w:cs="Times New Roman" w:eastAsia="Times New Roman" w:hAnsi="Times New Roman"/>
          <w:b w:val="1"/>
          <w:rtl w:val="0"/>
        </w:rPr>
        <w:t xml:space="preserve">der Republik Lettland</w:t>
      </w:r>
    </w:p>
    <w:p w:rsidR="00000000" w:rsidDel="00000000" w:rsidP="00000000" w:rsidRDefault="00000000" w:rsidRPr="00000000" w14:paraId="0000044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Genehmigt vom Ministerrat am 30. September 2003</w:t>
      </w:r>
    </w:p>
    <w:p w:rsidR="00000000" w:rsidDel="00000000" w:rsidP="00000000" w:rsidRDefault="00000000" w:rsidRPr="00000000" w14:paraId="0000045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Verabschiedet vom Parlament (Saeima) am 13. November 2003</w:t>
      </w:r>
    </w:p>
    <w:p w:rsidR="00000000" w:rsidDel="00000000" w:rsidP="00000000" w:rsidRDefault="00000000" w:rsidRPr="00000000" w14:paraId="0000045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5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5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Einführung</w:t>
      </w:r>
    </w:p>
    <w:p w:rsidR="00000000" w:rsidDel="00000000" w:rsidP="00000000" w:rsidRDefault="00000000" w:rsidRPr="00000000" w14:paraId="000004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Ziel des Staatsverteidigungskonzepts besteht darin, die Leitlinien für die Stärkung und Verbesserung des Verteidigungssystems gemäß der geopolitischen Situation Lettlands und den Verpflichtungen Lettlands gegenüber der kollektiven Sicherheit der Nordatlantischen Vertragsorganisation (im Folgenden NATO) festzulegen, deren vollwertiges Mitglied Lettland in der Mitte des Jahres 2004 werden wird. Das Konzept legt die grundlegenden strategischen Prinzipien fest, die die Umsetzung der mit der Staatsverteidigung verbundenen Aufgaben leiten werden, und bildet die Grundlage für die Planung der Entwicklung der Nationalen Streitkräfte (im Folgenden NAF). </w:t>
      </w:r>
    </w:p>
    <w:p w:rsidR="00000000" w:rsidDel="00000000" w:rsidP="00000000" w:rsidRDefault="00000000" w:rsidRPr="00000000" w14:paraId="000004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Staatsverteidigungskonzept der Republik Lettland wurde vom Ministerrat am 30. September 2003 genehmigt und vom Parlament (Saeima) am 13. November 2003 verabschiedet. Es basiert auf der Analyse der Gefährdung des Staates, der militärischen Risikoanalyse und den prognostizierten Trends in der Entwicklung der internationalen Sicherheit.</w:t>
      </w:r>
    </w:p>
    <w:p w:rsidR="00000000" w:rsidDel="00000000" w:rsidP="00000000" w:rsidRDefault="00000000" w:rsidRPr="00000000" w14:paraId="000004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Verteidigungspolitik und -strategie des Staates wurden entwickelt, um mögliche Bedrohungen abzuwehren. Die Verfassung der Republik Lettland [Satversme], das Konzept der nationalen Sicherheit und das Konzept der Außenpolitik sowie andere von der Republik Lettland verabschiedete Vorschriften legen die Grundsätze, Ziele, Aufgaben und rechtlichen Mechanismen der Staatsverteidigung fest.</w:t>
      </w:r>
    </w:p>
    <w:p w:rsidR="00000000" w:rsidDel="00000000" w:rsidP="00000000" w:rsidRDefault="00000000" w:rsidRPr="00000000" w14:paraId="000004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Vorschriften und Aktionspläne Lettlands im Zusammenhang mit der Staatsverteidigung werden entsprechend den grundlegenden Prinzipien des Staatsverteidigungskonzepts aktualisiert.</w:t>
      </w:r>
    </w:p>
    <w:p w:rsidR="00000000" w:rsidDel="00000000" w:rsidP="00000000" w:rsidRDefault="00000000" w:rsidRPr="00000000" w14:paraId="000004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Internationales Sicherheitsumfeld und Lettland</w:t>
      </w:r>
    </w:p>
    <w:p w:rsidR="00000000" w:rsidDel="00000000" w:rsidP="00000000" w:rsidRDefault="00000000" w:rsidRPr="00000000" w14:paraId="000004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Sicherheit Lettlands wird durch seine geopolitische und internationale Lage, seine innere Sicherheit und wirtschaftliche Situation, das Bildungswesen und das kulturelle Potenzial des Staates, die Fähigkeiten der militärischen und zivilen Verteidigungssysteme, die ökologische Situation und andere wichtige Faktoren bestimmt.</w:t>
      </w:r>
    </w:p>
    <w:p w:rsidR="00000000" w:rsidDel="00000000" w:rsidP="00000000" w:rsidRDefault="00000000" w:rsidRPr="00000000" w14:paraId="000004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Sicherheit Lettlands ist eng mit der internationalen Sicherheit verbunden. Sie wird durch die transnationale Verbreitung asymmetrischer Bedrohungen (internationaler Terrorismus, ethnische Konflikte, Migration, Verbreitung von Massenvernichtungswaffen,</w:t>
      </w:r>
    </w:p>
    <w:p w:rsidR="00000000" w:rsidDel="00000000" w:rsidP="00000000" w:rsidRDefault="00000000" w:rsidRPr="00000000" w14:paraId="000004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78</w:t>
      </w:r>
    </w:p>
    <w:p w:rsidR="00000000" w:rsidDel="00000000" w:rsidP="00000000" w:rsidRDefault="00000000" w:rsidRPr="00000000" w14:paraId="000004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organisierte Kriminalität usw.), die zunehmende Möglichkeit ihres Auftretens sowie die begrenzte Fähigkeit zur Vorhersage von Zeit und Ort solcher Bedrohungen gekennzeichnet.</w:t>
      </w:r>
    </w:p>
    <w:p w:rsidR="00000000" w:rsidDel="00000000" w:rsidP="00000000" w:rsidRDefault="00000000" w:rsidRPr="00000000" w14:paraId="000004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Seit seiner Gründung arbeitet die NATO daran, den Frieden in Europa auf der Grundlage gemeinsamer Werte wie Demokratie und Achtung der Menschenrechte zu fördern. Nach dem Ende des Kalten Krieges hat sich das Bündnis an neue Gegebenheiten und aktuelle Sicherheitsbedürfnisse angepasst. Das wichtigste Ziel der NATO besteht darin, die Freiheit, Sicherheit und Stabilität ihrer Mitgliedstaaten zu verteidigen und Stabilität und Frieden in der Welt zu fördern.</w:t>
      </w:r>
    </w:p>
    <w:p w:rsidR="00000000" w:rsidDel="00000000" w:rsidP="00000000" w:rsidRDefault="00000000" w:rsidRPr="00000000" w14:paraId="000004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grundlegende Grundlage der lettischen Verteidigung ist die Mitgliedschaft Lettlands im kollektiven Sicherheits- und Verteidigungssystem der NATO. Durch die Mitgliedschaft in der Allianz steigt die Verantwortung Lettlands für die Stärkung der gemeinsamen internationalen Sicherheit sowie für die Prävention und Bewältigung asymmetrischer Bedrohungen. Eine engere Zusammenarbeit zwischen der Europäischen Union (im Folgenden EU) und den Vereinigten Staaten von Amerika (im Folgenden USA) ist für die Sicherheit Lettlands von entscheidender Bedeutung, solange die Funktionen der NATO und der EU klar voneinander getrennt und eine Überlappung der Funktionen vermieden wird. Die Zusammenarbeit zwischen den EU-Ländern im Bereich der militärischen Sicherheit und Verteidigung muss das Wachstum der militärischen Fähigkeiten europäischer Nationen im Rahmen einer harmonisierten und ausgewogenen transatlantischen Zusammenarbeit stärken.</w:t>
      </w:r>
    </w:p>
    <w:p w:rsidR="00000000" w:rsidDel="00000000" w:rsidP="00000000" w:rsidRDefault="00000000" w:rsidRPr="00000000" w14:paraId="000004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USA spielen eine wichtige Rolle bei der Förderung der europäischen Sicherheit. Die Unterstützung der Vereinigten Staaten von Amerika bei der Stärkung der Unabhängigkeit und Sicherheit der baltischen Staaten war ein entscheidender Faktor. Daher wird die bilaterale Zusammenarbeit mit den USA weiterhin eine der wichtigsten Prioritäten in der lettischen Verteidigungspolitik sein.</w:t>
      </w:r>
    </w:p>
    <w:p w:rsidR="00000000" w:rsidDel="00000000" w:rsidP="00000000" w:rsidRDefault="00000000" w:rsidRPr="00000000" w14:paraId="0000046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Kontext der Bedrohung durch Terrorismus haben präventive Maßnahmen zur Gewährleistung des internationalen Friedens und zur Bekämpfung der Verbreitung von Massenvernichtungswaffen an Bedeutung gewonnen. Es ist für die Sicherheit Lettlands wichtig, dass auf seinem Territorium keine Terroristen oder terroristischen Organisationen aktiv sind.</w:t>
      </w:r>
    </w:p>
    <w:p w:rsidR="00000000" w:rsidDel="00000000" w:rsidP="00000000" w:rsidRDefault="00000000" w:rsidRPr="00000000" w14:paraId="000004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Lettland unterstützt internationale Maßnahmen zur Rüstungskontrolle, die angesichts der aktuellen asymmetrischen Bedrohungen für die europäische und weltweite Sicherheit wichtig sind. Lettland trägt weiterhin zur europäischen Sicherheitsdebatte bei und beteiligt sich aktiv an den Rüstungskontrollmaßnahmen, die von der Organisation für Sicherheit und Zusammenarbeit in Europa (OSZE) durchgeführt werden und die Förderung von Offenheit und Vertrauen zwischen den OSZE-Mitgliedsstaaten sicherstellen.</w:t>
      </w:r>
    </w:p>
    <w:p w:rsidR="00000000" w:rsidDel="00000000" w:rsidP="00000000" w:rsidRDefault="00000000" w:rsidRPr="00000000" w14:paraId="000004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Regionale Zusammenarbeit fördert Sicherheit und Stabilität in Europa. Die Zusammenarbeit zwischen den Staaten der Ostseeregion ist zu einem erfolgreichen Beispiel für die Förderung regionaler Sicherheit und Verteidigung geworden.</w:t>
      </w:r>
    </w:p>
    <w:p w:rsidR="00000000" w:rsidDel="00000000" w:rsidP="00000000" w:rsidRDefault="00000000" w:rsidRPr="00000000" w14:paraId="000004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Sicherheit Lettlands ist untrennbar mit der gemeinsamen Sicherheit der baltischen Staaten verbunden. Die militärische Zusammenarbeit zwischen den baltischen Staaten fördert nicht nur ihre individuellen Verteidigungsfähigkeiten, sondern auch ihre zielgerichtete Integration in europäische und NATO-Sicherheits- und Verteidigungsstrukturen.</w:t>
      </w:r>
    </w:p>
    <w:p w:rsidR="00000000" w:rsidDel="00000000" w:rsidP="00000000" w:rsidRDefault="00000000" w:rsidRPr="00000000" w14:paraId="00000474">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475">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79</w:t>
      </w:r>
    </w:p>
    <w:p w:rsidR="00000000" w:rsidDel="00000000" w:rsidP="00000000" w:rsidRDefault="00000000" w:rsidRPr="00000000" w14:paraId="0000047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Grundlegende strategische Prinzipien der Landesverteidigung</w:t>
      </w:r>
      <w:r w:rsidDel="00000000" w:rsidR="00000000" w:rsidRPr="00000000">
        <w:rPr>
          <w:rtl w:val="0"/>
        </w:rPr>
      </w:r>
    </w:p>
    <w:p w:rsidR="00000000" w:rsidDel="00000000" w:rsidP="00000000" w:rsidRDefault="00000000" w:rsidRPr="00000000" w14:paraId="00000477">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grundlegende Aufgabe der Landesverteidigung besteht darin, die nationale Souveränität, territoriale Integrität und die Sicherheit der Bevölkerung zu gewährleisten. Durch die Mitgliedschaft Lettlands in der NATO wird die Sicherheit und Unabhängigkeit des Staates sichergestellt. Es ist die Verantwortung der NATO, ihre Mitgliedstaaten vor jeder Art von Bedrohung zu verteidigen. Neben der Mitgliedschaft in der NATO wird die Verantwortung Lettlands für die Stärkung des internationalen Friedens, der Sicherheit und Stabilität zunehmen, da die Sicherheit Lettlands und die internationale Sicherheit untrennbar miteinander verbunden sind.</w:t>
      </w:r>
    </w:p>
    <w:p w:rsidR="00000000" w:rsidDel="00000000" w:rsidP="00000000" w:rsidRDefault="00000000" w:rsidRPr="00000000" w14:paraId="000004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Ziel Lettlands in der Europäischen Union besteht darin, an der Förderung von Demokratie und Wohlstand in unserem Land, in der baltischen Region und in anderen Staaten teilzunehmen. Die Teilnahme an der EU erhöht die nationale Sicherheit und Stabilität. Die EU ist ein strategischer Partner der NATO bei der Verhinderung internationaler Konflikte. Die Beteiligung der NAF an von der EU geführten Operationen wird die Zusammenarbeit, das gegenseitige Vertrauen und den Erfolg bei der Prävention und Bewältigung von Krisen fördern. Es ist wichtig, jede Überlappung von Funktionen zwischen NATO und EU in diesem Prozess zu vermeiden.</w:t>
      </w:r>
    </w:p>
    <w:p w:rsidR="00000000" w:rsidDel="00000000" w:rsidP="00000000" w:rsidRDefault="00000000" w:rsidRPr="00000000" w14:paraId="000004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für die Teilnahme an internationalen Operationen bestimmten Einheiten der NAF sollten auf die Teilnahme an sowohl NATO- als auch EU-geführten Operationen vorbereitet sein.</w:t>
      </w:r>
    </w:p>
    <w:p w:rsidR="00000000" w:rsidDel="00000000" w:rsidP="00000000" w:rsidRDefault="00000000" w:rsidRPr="00000000" w14:paraId="0000047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Verteidigung Lettlands basiert auf mehreren grundlegenden strategischen Prinzipien: kollektive Verteidigung, professionelle Streitkräfte, Zusammenarbeit zwischen der Gesellschaft und den Nationalen Streitkräften sowie internationale militärische Zusammenarbeit.</w:t>
      </w:r>
    </w:p>
    <w:p w:rsidR="00000000" w:rsidDel="00000000" w:rsidP="00000000" w:rsidRDefault="00000000" w:rsidRPr="00000000" w14:paraId="000004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0">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3.1. Kollektive Verteidigung</w:t>
      </w:r>
    </w:p>
    <w:p w:rsidR="00000000" w:rsidDel="00000000" w:rsidP="00000000" w:rsidRDefault="00000000" w:rsidRPr="00000000" w14:paraId="00000481">
      <w:pPr>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4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Ziel Lettlands als eines der nächsten Mitglieder der Allianz ist es, die militärischen Fähigkeiten der NAF zu verbessern und deren Bereitschaft zur Teilnahme an NATO-/EU-geführten und anderen internationalen Operationen zu steigern. Im Falle einer Bedrohung des Staates muss die NAF in der Lage sein, ihre militärischen Selbstverteidigungsfähigkeiten aufrechtzuerhalten, bis Unterstützung von NATO-Truppen eingetroffen ist.</w:t>
      </w:r>
    </w:p>
    <w:p w:rsidR="00000000" w:rsidDel="00000000" w:rsidP="00000000" w:rsidRDefault="00000000" w:rsidRPr="00000000" w14:paraId="000004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Verteidigungsfähigkeiten Lettlands werden gemäß den Richtlinien für die Entwicklung von NATO-Fähigkeiten entwickelt. Die Erklärung des Prager Gipfels legt die Verpflichtungen der NATO-Mitgliedsstaaten zur Erfüllung militärischer Fähigkeiten fest. Die Entwicklung und Verbesserung der militärischen Fähigkeiten erfolgt in folgenden Bereichen:</w:t>
      </w:r>
    </w:p>
    <w:p w:rsidR="00000000" w:rsidDel="00000000" w:rsidP="00000000" w:rsidRDefault="00000000" w:rsidRPr="00000000" w14:paraId="000004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Kommando-, Kontroll-, Kommunikations- und Informationssystem;</w:t>
      </w:r>
    </w:p>
    <w:p w:rsidR="00000000" w:rsidDel="00000000" w:rsidP="00000000" w:rsidRDefault="00000000" w:rsidRPr="00000000" w14:paraId="000004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Entwicklung militärischer Fähigkeiten;</w:t>
      </w:r>
    </w:p>
    <w:p w:rsidR="00000000" w:rsidDel="00000000" w:rsidP="00000000" w:rsidRDefault="00000000" w:rsidRPr="00000000" w14:paraId="000004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Verteidigung gegen Massenvernichtungswaffen; und</w:t>
      </w:r>
    </w:p>
    <w:p w:rsidR="00000000" w:rsidDel="00000000" w:rsidP="00000000" w:rsidRDefault="00000000" w:rsidRPr="00000000" w14:paraId="000004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Einsatzfähigkeiten der NAF.</w:t>
      </w:r>
    </w:p>
    <w:p w:rsidR="00000000" w:rsidDel="00000000" w:rsidP="00000000" w:rsidRDefault="00000000" w:rsidRPr="00000000" w14:paraId="000004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Interoperabilität der NAF mit NATO-Truppen ist eine Voraussetzung für eine erfolgreiche Integration in die Allianz. Dies ermöglicht eine effektive Zusammenarbeit zwischen den verschiedenen Arten von Kräften und Einheiten in den Streitkräften der NATO-Mitgliedsstaaten.</w:t>
      </w:r>
    </w:p>
    <w:p w:rsidR="00000000" w:rsidDel="00000000" w:rsidP="00000000" w:rsidRDefault="00000000" w:rsidRPr="00000000" w14:paraId="000004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Falle einer Gefährdung des Staates muss die NAF bereit sein, an der Verhinderung und Bewältigung der Bedrohung teilzunehmen. Lettland muss die Unterstützung für ausländische Streitkräfte durch das Gastlandunterstützungssystem sicherstellen. Dieses System wird sowohl während internationaler militärischer Übungen </w:t>
      </w:r>
    </w:p>
    <w:p w:rsidR="00000000" w:rsidDel="00000000" w:rsidP="00000000" w:rsidRDefault="00000000" w:rsidRPr="00000000" w14:paraId="000004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80</w:t>
      </w:r>
    </w:p>
    <w:p w:rsidR="00000000" w:rsidDel="00000000" w:rsidP="00000000" w:rsidRDefault="00000000" w:rsidRPr="00000000" w14:paraId="000004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 auch im Falle einer Gefährdung des Staates, einschließlich Operationen gemäß Artikel 5 des Washingtoner Vertrags und solchen außerhalb von Artikel 5, sowie im Falle einer Naturkatastrophe und der Bewältigung ihrer Folgen eingesetzt. Die Verbesserung des Gastlandunterstützungssystems für ausländische Streitkräfte muss fortgesetzt werden.</w:t>
      </w:r>
    </w:p>
    <w:p w:rsidR="00000000" w:rsidDel="00000000" w:rsidP="00000000" w:rsidRDefault="00000000" w:rsidRPr="00000000" w14:paraId="000004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4">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3.2. Professionelle Streitkräfte</w:t>
      </w:r>
    </w:p>
    <w:p w:rsidR="00000000" w:rsidDel="00000000" w:rsidP="00000000" w:rsidRDefault="00000000" w:rsidRPr="00000000" w14:paraId="0000049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Einsatz der obligatorischen Wehrpflicht innerhalb der NAF könnte bis Ende 2006 beendet werden. Die Gründe für die Professionalisierung der NAF sind wie folgt:</w:t>
      </w:r>
    </w:p>
    <w:p w:rsidR="00000000" w:rsidDel="00000000" w:rsidP="00000000" w:rsidRDefault="00000000" w:rsidRPr="00000000" w14:paraId="000004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Die Streitkräfte müssen den Anforderungen der aktuellen Sicherheitssituation gerecht werden, die von der Qualität der beteiligten Streitkräfte und nicht von ihrer Quantität abhängt.</w:t>
      </w:r>
    </w:p>
    <w:p w:rsidR="00000000" w:rsidDel="00000000" w:rsidP="00000000" w:rsidRDefault="00000000" w:rsidRPr="00000000" w14:paraId="000004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Öffentliche Unterstützung für professionelle Streitkräfte.</w:t>
      </w:r>
    </w:p>
    <w:p w:rsidR="00000000" w:rsidDel="00000000" w:rsidP="00000000" w:rsidRDefault="00000000" w:rsidRPr="00000000" w14:paraId="000004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Die Mitgliedschaft in der NATO bietet Lettland Sicherheitsgarantien und verpflichtet gleichzeitig dazu, die Bereitschaft des Landes zur kollektiven Sicherheit im Rahmen des Bündnisses sicherzustellen.</w:t>
      </w:r>
    </w:p>
    <w:p w:rsidR="00000000" w:rsidDel="00000000" w:rsidP="00000000" w:rsidRDefault="00000000" w:rsidRPr="00000000" w14:paraId="000004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der Beendigung der obligatorischen Wehrpflicht wird die NAF folgende Vorteile erlangen:</w:t>
      </w:r>
    </w:p>
    <w:p w:rsidR="00000000" w:rsidDel="00000000" w:rsidP="00000000" w:rsidRDefault="00000000" w:rsidRPr="00000000" w14:paraId="000004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Höhere operationelle Fähigkeiten zur Teilnahme an internationalen Einsätzen.</w:t>
      </w:r>
    </w:p>
    <w:p w:rsidR="00000000" w:rsidDel="00000000" w:rsidP="00000000" w:rsidRDefault="00000000" w:rsidRPr="00000000" w14:paraId="000004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Einheiten der NAF werden über ein höheres Maß an Gefechtsbereitschaft verfügen.</w:t>
      </w:r>
    </w:p>
    <w:p w:rsidR="00000000" w:rsidDel="00000000" w:rsidP="00000000" w:rsidRDefault="00000000" w:rsidRPr="00000000" w14:paraId="000004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Die NAF wird moderne Waffensysteme und Kampfausrüstung nutzen.</w:t>
      </w:r>
    </w:p>
    <w:p w:rsidR="00000000" w:rsidDel="00000000" w:rsidP="00000000" w:rsidRDefault="00000000" w:rsidRPr="00000000" w14:paraId="000004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Finanzielle Ressourcen werden effektiver eingesetzt.</w:t>
      </w:r>
    </w:p>
    <w:p w:rsidR="00000000" w:rsidDel="00000000" w:rsidP="00000000" w:rsidRDefault="00000000" w:rsidRPr="00000000" w14:paraId="000004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Die NAF wird gut ausgebildete Reserven aufstellen, die zwar klein sind, aber gut vorbereitet.</w:t>
      </w:r>
    </w:p>
    <w:p w:rsidR="00000000" w:rsidDel="00000000" w:rsidP="00000000" w:rsidRDefault="00000000" w:rsidRPr="00000000" w14:paraId="000004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 der Einrichtung und Entwicklung von Streitkräften auf der Grundlage des professionellen Militärdienstes ist die Frage der Personalgewinnung von entscheidender Bedeutung. Das Rekrutierungssystem muss den aktuellen Anforderungen entsprechen: flexibel, modern und wettbewerbsfähig auf dem Arbeitsmarkt.</w:t>
      </w:r>
    </w:p>
    <w:p w:rsidR="00000000" w:rsidDel="00000000" w:rsidP="00000000" w:rsidRDefault="00000000" w:rsidRPr="00000000" w14:paraId="000004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Neben der Frage der Rekrutierung ist es nicht weniger wichtig, den Soldaten und ihren Familien angemessene soziale Garantien zu bieten. Die NAF muss besonderes Augenmerk darauf legen, eine hochwertige Ausbildung, moderne Bewaffnung und Ausrüstung sicherzustellen.</w:t>
      </w:r>
    </w:p>
    <w:p w:rsidR="00000000" w:rsidDel="00000000" w:rsidP="00000000" w:rsidRDefault="00000000" w:rsidRPr="00000000" w14:paraId="000004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der Professionalisierung der NAF wird die Nationalgarde und die Jugendgarde eine unersetzliche Rolle bei der Auswahl von Berufssoldaten spielen. Gleichzeitig wird die Gefechtsbereitschaft und die Qualität der Ausbildung der Nationalgarde-Einheiten erhöht. Die Personalpolitik und die Programme zur beruflichen Entwicklung der Nationalgarde werden entsprechend den aktuellen Anforderungen an militärische Fähigkeiten entwickelt, wobei die Verbindung zur Gesellschaft und das Potenzial der militärischen Reserve erhalten bleiben. Ein solcher Ansatz bildet die Grundlage für die Zukunft der Nationalgarde.</w:t>
      </w:r>
    </w:p>
    <w:p w:rsidR="00000000" w:rsidDel="00000000" w:rsidP="00000000" w:rsidRDefault="00000000" w:rsidRPr="00000000" w14:paraId="000004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 Zusammenarbeit zwischen den Nationalen Streitkräften und der Gesellschaft</w:t>
      </w:r>
    </w:p>
    <w:p w:rsidR="00000000" w:rsidDel="00000000" w:rsidP="00000000" w:rsidRDefault="00000000" w:rsidRPr="00000000" w14:paraId="000004A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erfolgreiche Umsetzung der Aufgaben, die den NAF übertragen wurden, hängt von der Unterstützung und dem Verständnis der Gesellschaft für die Rolle und Funktionen des Verteidigungssystems und der Streitkräfte ab. Das Verständnis der Gesellschaft für das staatliche Verteidigungssystem, </w:t>
      </w:r>
    </w:p>
    <w:p w:rsidR="00000000" w:rsidDel="00000000" w:rsidP="00000000" w:rsidRDefault="00000000" w:rsidRPr="00000000" w14:paraId="000004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E">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81</w:t>
      </w:r>
    </w:p>
    <w:p w:rsidR="00000000" w:rsidDel="00000000" w:rsidP="00000000" w:rsidRDefault="00000000" w:rsidRPr="00000000" w14:paraId="000004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NAF und ihre Grundsätze bildet eine nachhaltige öffentliche Unterstützung für die nationale Sicherheit und Verteidigung.</w:t>
      </w:r>
    </w:p>
    <w:p w:rsidR="00000000" w:rsidDel="00000000" w:rsidP="00000000" w:rsidRDefault="00000000" w:rsidRPr="00000000" w14:paraId="000004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Streitkräfte leisten Unterstützung bei der Vorbeugung, Bewältigung und Beseitigung der Folgen nationaler Notfälle - nehmen an der Vorbeugung von Naturkatastrophen und menschengemachten Katastrophen sowie an der Beseitigung ihrer Folgen teil; neutralisieren nicht explodierte Munition und beteiligen sich an Such- und Rettungs- und Umweltüberwachungsmaßnahmen. Im Gegenzug stellen die Gesellschaft und zivile Institutionen Unterstützung bei der Durchführung militärischer Aufgaben bereit - sorgen für zivile Expertise, Mobilisierungsressourcen oder Beteiligung an nationalen Unterstützungsmaßnahmen sowie die Verfügbarkeit von Materialien und technischen Einrichtungen für die Durchführung dieser Aufgaben.</w:t>
      </w:r>
    </w:p>
    <w:p w:rsidR="00000000" w:rsidDel="00000000" w:rsidP="00000000" w:rsidRDefault="00000000" w:rsidRPr="00000000" w14:paraId="000004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 Internationale militärische Zusammenarbeit</w:t>
      </w:r>
    </w:p>
    <w:p w:rsidR="00000000" w:rsidDel="00000000" w:rsidP="00000000" w:rsidRDefault="00000000" w:rsidRPr="00000000" w14:paraId="000004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6">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3.4.1. Zusammenarbeit mit NATO-Mitgliedstaaten</w:t>
      </w:r>
    </w:p>
    <w:p w:rsidR="00000000" w:rsidDel="00000000" w:rsidP="00000000" w:rsidRDefault="00000000" w:rsidRPr="00000000" w14:paraId="000004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Zusammenarbeit mit NATO-Mitgliedstaaten ist eine wesentliche Voraussetzung für eine erfolgreiche Integration Lettlands in die NATO. Die wichtigsten Bereiche der Zusammenarbeit sind die Ausbildung und Bildung von Militärpersonal (Kadetten, Ausbilder und Offiziere), Fachberatungen zur Entwicklung des Verteidigungssystems, Zusammenarbeit zwischen den Streitkräften und ihrer Beteiligung an internationalen Übungen. Als Mitglied der NATO wird Lettland bestehende bilaterale internationale Zusammenarbeitsprojekte beibehalten und damit die Entwicklung der Streitkräfte unter Verwendung westlicher Erfahrungen fortsetzen. Darüber hinaus werden neue Bereiche bewertet, in denen die Zusammenarbeit mit NATO-Staaten Lettland die Möglichkeit bietet, effektiv in die NATO zu integrieren.</w:t>
      </w:r>
    </w:p>
    <w:p w:rsidR="00000000" w:rsidDel="00000000" w:rsidP="00000000" w:rsidRDefault="00000000" w:rsidRPr="00000000" w14:paraId="000004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3.4.2. Zusammenarbeit zwischen den baltischen Staaten</w:t>
      </w:r>
    </w:p>
    <w:p w:rsidR="00000000" w:rsidDel="00000000" w:rsidP="00000000" w:rsidRDefault="00000000" w:rsidRPr="00000000" w14:paraId="000004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Zusammenarbeit zwischen den Streitkräften der baltischen Staaten ist eine grundlegende Voraussetzung für die Stärkung der Sicherheit Lettlands. Eine enge und intensive Zusammenarbeit gewährleistet regionale Stabilität.</w:t>
      </w:r>
    </w:p>
    <w:p w:rsidR="00000000" w:rsidDel="00000000" w:rsidP="00000000" w:rsidRDefault="00000000" w:rsidRPr="00000000" w14:paraId="000004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Gleichzeitig fördert die Zusammenarbeit zwischen den baltischen Staaten die Entwicklung ihrer Streitkräfte und die gegenseitige Interoperabilität. Mit ihrer Integration in die NATO müssen die baltischen Staaten weiterhin gemeinsame Militärprojekte entwickeln und verbessern, die eine effektive Nutzung begrenzter Ressourcen und die Verbesserung gemeinsamer militärischer Fähigkeiten gewährleisten. Auf der Grundlage gegenseitiger Vereinbarungen wird Lettland die Entwicklung gemeinsamer spezialisierter Einheiten für die baltischen Staaten in der NATO fördern.</w:t>
      </w:r>
    </w:p>
    <w:p w:rsidR="00000000" w:rsidDel="00000000" w:rsidP="00000000" w:rsidRDefault="00000000" w:rsidRPr="00000000" w14:paraId="000004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0">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3.4.3. Zusammenarbeit im Rahmen der Sicherheits- und Verteidigungspolitik der Europäischen Union</w:t>
      </w:r>
    </w:p>
    <w:p w:rsidR="00000000" w:rsidDel="00000000" w:rsidP="00000000" w:rsidRDefault="00000000" w:rsidRPr="00000000" w14:paraId="000004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Lettland unterstützt eine enge Zusammenarbeit zwischen der NATO und der EU. Das Ziel Lettlands in der europäischen Sicherheits- und Verteidigungspolitik besteht darin, Stabilität und Sicherheit in Europa zu fördern, die Krisenmanagementfähigkeiten der EU zu stärken und zur Förderung der transatlantischen Zusammenarbeit beizutragen. Es ist wichtig, dass sich die Sicherheits- und Verteidigungspolitik der NATO und der EU ergänzen, um eine effiziente Nutzung der Ressourcen zu gewährleisten und eine Überlappung der Aufgaben zu vermeiden.</w:t>
      </w:r>
    </w:p>
    <w:p w:rsidR="00000000" w:rsidDel="00000000" w:rsidP="00000000" w:rsidRDefault="00000000" w:rsidRPr="00000000" w14:paraId="000004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3.4.4. Zusammenarbeit mit den Staaten der Ostseeregion und NATO-Partnerländern</w:t>
      </w:r>
    </w:p>
    <w:p w:rsidR="00000000" w:rsidDel="00000000" w:rsidP="00000000" w:rsidRDefault="00000000" w:rsidRPr="00000000" w14:paraId="000004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Zusammenarbeit zwischen den Staaten der Ostseeregion fördert Stabilität und</w:t>
      </w:r>
    </w:p>
    <w:p w:rsidR="00000000" w:rsidDel="00000000" w:rsidP="00000000" w:rsidRDefault="00000000" w:rsidRPr="00000000" w14:paraId="000004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8">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82</w:t>
      </w:r>
    </w:p>
    <w:p w:rsidR="00000000" w:rsidDel="00000000" w:rsidP="00000000" w:rsidRDefault="00000000" w:rsidRPr="00000000" w14:paraId="000004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Sicherheit. Die Erweiterung der NATO und der EU bietet der Region die Möglichkeit, ihre ausgewogene und erfolgreiche Entwicklung sowie ihre langfristige Sicherheit zu gewährleisten. Die Zusammenarbeit mit NATO-Partnerländern, einschließlich Russland, wird Vertrauen, Sicherheit, Stabilität und Offenheit in Europa fördern. Die Mitgliedschaft in der NATO gibt Lettland die Möglichkeit, an der weiteren Entwicklung dieser Zusammenarbeit teilzunehmen und ihren Beitrag zu leisten, indem es seine Erfahrungen mit den GUS-Staaten und den südosteuropäischen Staaten teilt und den demokratischen Reformprozess in Partnerländern fördert.</w:t>
      </w:r>
    </w:p>
    <w:p w:rsidR="00000000" w:rsidDel="00000000" w:rsidP="00000000" w:rsidRDefault="00000000" w:rsidRPr="00000000" w14:paraId="000004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Militärische Verteidigung</w:t>
      </w:r>
    </w:p>
    <w:p w:rsidR="00000000" w:rsidDel="00000000" w:rsidP="00000000" w:rsidRDefault="00000000" w:rsidRPr="00000000" w14:paraId="000004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militärische Verteidigung wird durch die Nationalen Streitkräfte Lettlands sichergestellt. Die operativen Ziele, Aufgaben und die Entwicklung der NAF werden gemäß der militärischen Risikoanalyse und dem Konzept der staatlichen Verteidigung festgelegt. Der Oberbefehlshaber der Nationalen Streitkräfte ist der Präsident, der den Nationalen Sicherheitsrat und den Militärrat leitet, den Oberbefehlshaber der NAF dem Parlament (Saeima) zur Genehmigung empfiehlt und andere Funktionen im Zusammenhang mit der Landesverteidigung gemäß der Verfassung (Satversme) wahrnimmt. Die Saeima genehmigt das Konzept der nationalen Sicherheit und das Konzept der staatlichen Verteidigung, übt parlamentarische Kontrolle über die Nationalen Streitkräfte aus, erlässt Gesetze im Bereich der nationalen Sicherheit und setzt andere Maßnahmen um. Das Kabinett der Minister stellt den nationalen Institutionen die erforderlichen Mittel zur Verfügung, ruft in gesetzlich festgelegten Fällen außergewöhnliche Situationen, den Ausnahmezustand und die Mobilmachung aus, entscheidet über die Beteiligung von NAF-Einheiten an internationalen Einsätzen und nimmt andere Funktionen wahr.</w:t>
      </w:r>
    </w:p>
    <w:p w:rsidR="00000000" w:rsidDel="00000000" w:rsidP="00000000" w:rsidRDefault="00000000" w:rsidRPr="00000000" w14:paraId="000004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0">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4.1. Aufgaben und Entwicklung des Verteidigungsministeriums und der Nationalen Streitkräfte</w:t>
      </w:r>
    </w:p>
    <w:p w:rsidR="00000000" w:rsidDel="00000000" w:rsidP="00000000" w:rsidRDefault="00000000" w:rsidRPr="00000000" w14:paraId="000004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2">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4.1.1. Aufgaben des Verteidigungsministeriums</w:t>
      </w:r>
    </w:p>
    <w:p w:rsidR="00000000" w:rsidDel="00000000" w:rsidP="00000000" w:rsidRDefault="00000000" w:rsidRPr="00000000" w14:paraId="000004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Verteidigungsministerium formuliert die Verteidigungspolitik und koordiniert und überwacht deren Umsetzung. Das Ministerium erarbeitet Vorschläge für die für die Landesverteidigung erforderlichen Finanzmittel und setzt die in anderen Rechtsvorschriften festgelegten Aufgaben um. Im Falle eines nationalen Notfalls nimmt das Verteidigungsministerium innerhalb seines Zuständigkeitsbereichs an der Verhinderung bedrohlicher Situationen teil und koordiniert die Bewältigung der daraus resultierenden Folgen. Das Verteidigungsministerium fördert und gewährleistet die zivil-militärische Zusammenarbeit und koordiniert mit ausländischen Streitkräften die Bereitstellung der Gastgeberstaat-Unterstützung durch die beteiligten staatlichen Institutionen und Behörden.</w:t>
      </w:r>
    </w:p>
    <w:p w:rsidR="00000000" w:rsidDel="00000000" w:rsidP="00000000" w:rsidRDefault="00000000" w:rsidRPr="00000000" w14:paraId="000004D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6">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4.1.2. Aufgaben und Entwicklungsschwerpunkte der NAF</w:t>
      </w:r>
    </w:p>
    <w:p w:rsidR="00000000" w:rsidDel="00000000" w:rsidP="00000000" w:rsidRDefault="00000000" w:rsidRPr="00000000" w14:paraId="000004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NAF muss die folgenden Aufgaben gewährleisten:</w:t>
      </w:r>
    </w:p>
    <w:p w:rsidR="00000000" w:rsidDel="00000000" w:rsidP="00000000" w:rsidRDefault="00000000" w:rsidRPr="00000000" w14:paraId="000004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Verteidigung der Souveränität, territorialen Integrität und der Bevölkerung Lettlands gegen militärische Aggressionen;</w:t>
      </w:r>
    </w:p>
    <w:p w:rsidR="00000000" w:rsidDel="00000000" w:rsidP="00000000" w:rsidRDefault="00000000" w:rsidRPr="00000000" w14:paraId="000004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Einsatzbereitschaft, Fähigkeit zur Teilnahme an internationalen Einsätzen und Nachhaltigkeit der NAF;</w:t>
      </w:r>
    </w:p>
    <w:p w:rsidR="00000000" w:rsidDel="00000000" w:rsidP="00000000" w:rsidRDefault="00000000" w:rsidRPr="00000000" w14:paraId="000004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Fortsetzung der Modernisierung der NAF und Erhöhung des Niveaus der professionellen militärischen Ausbildung;</w:t>
      </w:r>
    </w:p>
    <w:p w:rsidR="00000000" w:rsidDel="00000000" w:rsidP="00000000" w:rsidRDefault="00000000" w:rsidRPr="00000000" w14:paraId="000004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D">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83</w:t>
      </w:r>
    </w:p>
    <w:p w:rsidR="00000000" w:rsidDel="00000000" w:rsidP="00000000" w:rsidRDefault="00000000" w:rsidRPr="00000000" w14:paraId="000004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Effektive Führung und Kontrolle der NAF; und</w:t>
      </w:r>
    </w:p>
    <w:p w:rsidR="00000000" w:rsidDel="00000000" w:rsidP="00000000" w:rsidRDefault="00000000" w:rsidRPr="00000000" w14:paraId="000004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Zusammenarbeit mit staatlichen zivilen Institutionen.</w:t>
      </w:r>
    </w:p>
    <w:p w:rsidR="00000000" w:rsidDel="00000000" w:rsidP="00000000" w:rsidRDefault="00000000" w:rsidRPr="00000000" w14:paraId="000004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NAF nimmt an der Verhinderung und Beseitigung von Gefahren für den Staat teil und erfüllt andere in rechtlichen Bestimmungen festgelegte Aufgaben.</w:t>
      </w:r>
    </w:p>
    <w:p w:rsidR="00000000" w:rsidDel="00000000" w:rsidP="00000000" w:rsidRDefault="00000000" w:rsidRPr="00000000" w14:paraId="000004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Entwicklung der Nationalgarde ist eine der Prioritäten der NAF. Das operative Ziel der Nationalgarde besteht darin, die Unterstützungsfunktionen für die NAF und das zivile Verteidigungssystem des Staates durch folgende Aufgaben sicherzustellen:</w:t>
      </w:r>
    </w:p>
    <w:p w:rsidR="00000000" w:rsidDel="00000000" w:rsidP="00000000" w:rsidRDefault="00000000" w:rsidRPr="00000000" w14:paraId="000004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Gewährleistung des Schutzes von lebenswichtigen Objekten der nationalen Sicherheit, Teilnahme an der Evakuierung von Zivilisten, Koordination der Zusammenarbeit mit der Staatlichen Grenzschutzbehörde und anderen.</w:t>
      </w:r>
    </w:p>
    <w:p w:rsidR="00000000" w:rsidDel="00000000" w:rsidP="00000000" w:rsidRDefault="00000000" w:rsidRPr="00000000" w14:paraId="000004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Gewährleistung der Erfüllung von Unterstützungsfunktionen für ausländische Streitkräfte, die das Gebiet Lettlands überqueren oder in Lettland stationiert werden, um bei der Beseitigung von Gefahren für den Staat zu unterstützen.</w:t>
      </w:r>
    </w:p>
    <w:p w:rsidR="00000000" w:rsidDel="00000000" w:rsidP="00000000" w:rsidRDefault="00000000" w:rsidRPr="00000000" w14:paraId="000004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Aufstellung von Kampfunterstützungs- und Logistikeinheiten in den Bereichen Transport, zivil-militärische Zusammenarbeit, Versorgung, Ingenieurwesen und Luftverteidigung.</w:t>
      </w:r>
    </w:p>
    <w:p w:rsidR="00000000" w:rsidDel="00000000" w:rsidP="00000000" w:rsidRDefault="00000000" w:rsidRPr="00000000" w14:paraId="000004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der Integration in die NATO wurden folgende Entwicklungsprioritäten für die NAF festgelegt:</w:t>
      </w:r>
    </w:p>
    <w:p w:rsidR="00000000" w:rsidDel="00000000" w:rsidP="00000000" w:rsidRDefault="00000000" w:rsidRPr="00000000" w14:paraId="000004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Auf der Grundlage der Leitlinien der NATO zur Fähigkeitsentwicklung: Modernisierung der Befehls- und Kontrollsysteme, Bewaffnung, Ausbildung, Logistik- und Versorgungssysteme; Verbesserung der Luftverteidigung, Luft- und Luftraumüberwachungs- und Kontrollsysteme; und Fortsetzung der Entwicklung von NAF-Einheiten und ihrer Fähigkeit zur Verlegung an den Einsatzort.</w:t>
      </w:r>
    </w:p>
    <w:p w:rsidR="00000000" w:rsidDel="00000000" w:rsidP="00000000" w:rsidRDefault="00000000" w:rsidRPr="00000000" w14:paraId="000004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Die Weiterentwicklung und die Suche nach Möglichkeiten der gegenseitigen Zusammenarbeit mit den anderen baltischen Staaten bei der Entwicklung und Verbesserung der für die kollektive Verteidigung erforderlichen militärischen Fähigkeiten fortsetzen.</w:t>
      </w:r>
    </w:p>
    <w:p w:rsidR="00000000" w:rsidDel="00000000" w:rsidP="00000000" w:rsidRDefault="00000000" w:rsidRPr="00000000" w14:paraId="000004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Die Fähigkeiten zur Unterstützung ausländischer Streitkräfte im Gastland weiterentwickeln.</w:t>
      </w:r>
    </w:p>
    <w:p w:rsidR="00000000" w:rsidDel="00000000" w:rsidP="00000000" w:rsidRDefault="00000000" w:rsidRPr="00000000" w14:paraId="000004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4">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4.2. Struktur der Nationalen Streitkräfte</w:t>
      </w:r>
    </w:p>
    <w:p w:rsidR="00000000" w:rsidDel="00000000" w:rsidP="00000000" w:rsidRDefault="00000000" w:rsidRPr="00000000" w14:paraId="000004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NAF besteht aus den Landstreitkräften, die auf einer Infanteriebrigade und der Nationalgarde basieren, den Seestreitkräften, den Luftstreitkräften, dem Logistikkommando, dem Ausbildungsdoktrin-Kommando und der Nationalen Verteidigungsakademie. </w:t>
      </w:r>
    </w:p>
    <w:p w:rsidR="00000000" w:rsidDel="00000000" w:rsidP="00000000" w:rsidRDefault="00000000" w:rsidRPr="00000000" w14:paraId="000004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Während eines Krieges oder eines Notstands wird die Sicherheitseinheit der Lettischen Zentralbank in die NAF einbezogen, und während eines Krieges wird die Staatliche Grenzschutzbehörde in die Struktur der NAF aufgenommen.</w:t>
      </w:r>
    </w:p>
    <w:p w:rsidR="00000000" w:rsidDel="00000000" w:rsidP="00000000" w:rsidRDefault="00000000" w:rsidRPr="00000000" w14:paraId="000004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von der NAF geforderten militärischen Fähigkeiten zur Erfüllung ihrer Aufgaben bestimmen ihre Struktur sowie die Pläne für die staatliche Verteidigung und die Entwicklung der NAF. Die vielfältigen Aufgaben, die der NAF zugewiesen sind, umfassen das Spektrum von bedrohlichen Situationen vom Frieden bis zum Krieg.</w:t>
      </w:r>
    </w:p>
    <w:p w:rsidR="00000000" w:rsidDel="00000000" w:rsidP="00000000" w:rsidRDefault="00000000" w:rsidRPr="00000000" w14:paraId="000004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C">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4.3. Personal und Ausbildung</w:t>
      </w:r>
    </w:p>
    <w:p w:rsidR="00000000" w:rsidDel="00000000" w:rsidP="00000000" w:rsidRDefault="00000000" w:rsidRPr="00000000" w14:paraId="000004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Ausbildung von professionellem Personal für das staatliche Verteidigungssystem ist eine der Voraussetzungen für die Bereitschaft Lettlands für die Mitgliedschaft in der NATO. Das Ausbildungssystem wird regelmäßig verbessert, um die Entwicklung der militärischen Fähigkeiten sicherzustellen. Ein wichtiger Bestandteil zur Steigerung der Professionalität des Personals </w:t>
      </w:r>
    </w:p>
    <w:p w:rsidR="00000000" w:rsidDel="00000000" w:rsidP="00000000" w:rsidRDefault="00000000" w:rsidRPr="00000000" w14:paraId="000004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84</w:t>
      </w:r>
    </w:p>
    <w:p w:rsidR="00000000" w:rsidDel="00000000" w:rsidP="00000000" w:rsidRDefault="00000000" w:rsidRPr="00000000" w14:paraId="000005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 die Teilnahme an gemeinsamen Übungseinsätzen, die alle Arten von Streitkräften umfassen und reale Kampfsituationen möglichst realitätsnah abbilden. Um dem Verteidigungssystem entsprechend vorbereitetes Personal zur Verfügung zu stellen, wird das aktuelle Karriereplanungssystem gemäß den Praktiken anderer NATO-Mitgliedstaaten verbessert. Zudem wird eine moderne Datenbank für das Personalmanagement der NAF aufgebaut.</w:t>
      </w:r>
    </w:p>
    <w:p w:rsidR="00000000" w:rsidDel="00000000" w:rsidP="00000000" w:rsidRDefault="00000000" w:rsidRPr="00000000" w14:paraId="000005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4">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4.4. Bewaffnung und Infrastruktur</w:t>
      </w:r>
    </w:p>
    <w:p w:rsidR="00000000" w:rsidDel="00000000" w:rsidP="00000000" w:rsidRDefault="00000000" w:rsidRPr="00000000" w14:paraId="000005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Lettland als zukünftigen NATO-Mitgliedstaat ist es wichtig, die Interoperabilität seiner Streitkräfte mit der NATO sicherzustellen und sie mit moderner Bewaffnung auszustatten. Die Prioritäten für die Beschaffung von Waffen werden durch die Strukturen der Streitkräfte und die Entwicklung militärischer Fähigkeiten im Rahmen des kollektiven Sicherheitssystems, einschließlich der Zusammenarbeit der baltischen Staaten, bestimmt. Die Beschaffungsprogramme für Bewaffnung sehen den Kauf von Waffensystemen und Kampfausrüstung vor, die den modernen Anforderungen entsprechen und das Ziel verfolgen, den Streitkräften die für die Erfüllung ihrer Aufgaben geeignete Bewaffnung zur Verfügung zu stellen.</w:t>
      </w:r>
    </w:p>
    <w:p w:rsidR="00000000" w:rsidDel="00000000" w:rsidP="00000000" w:rsidRDefault="00000000" w:rsidRPr="00000000" w14:paraId="000005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militärische Infrastruktur ist eine wesentliche Voraussetzung, um die Aufgaben des Verteidigungssystems zu erfüllen. Alle Infrastrukturprojekte und -wartungsarbeiten werden gemäß den langfristigen Entwicklungsplänen der NAF durchgeführt. Das Ziel dieser infrastrukturellen Verbesserungen besteht darin, den Betrieb der NAF-Einheiten, die Instandhaltung von Bewaffnungssystemen und die gesteigerten Kampffähigkeiten sicherzustellen sowie die notwendige Trainingsumgebung und -möglichkeiten zu gewährleisten, was auch die effiziente Nutzung von Ressourcen beinhaltet.</w:t>
      </w:r>
    </w:p>
    <w:p w:rsidR="00000000" w:rsidDel="00000000" w:rsidP="00000000" w:rsidRDefault="00000000" w:rsidRPr="00000000" w14:paraId="000005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A">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4.5. Informationssicherheit</w:t>
      </w:r>
    </w:p>
    <w:p w:rsidR="00000000" w:rsidDel="00000000" w:rsidP="00000000" w:rsidRDefault="00000000" w:rsidRPr="00000000" w14:paraId="000005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die Leistungsfähigkeit des staatlichen Verteidigungssystems sicherzustellen, werden die Fähigkeiten zur Übermittlung, Empfang und Speicherung von klassifizierten Informationen gemäß den Praktiken der NATO-Mitgliedstaaten entwickelt. Priorität wird der Fähigkeit eingeräumt, klassifizierte Informationen schnell und effektiv zwischen staatlichen Institutionen sowie zwischen Lettlands Vertretungen im Ausland und NATO-Mitgliedstaaten auszutauschen.</w:t>
      </w:r>
    </w:p>
    <w:p w:rsidR="00000000" w:rsidDel="00000000" w:rsidP="00000000" w:rsidRDefault="00000000" w:rsidRPr="00000000" w14:paraId="000005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E">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4.6. Ressourcen</w:t>
      </w:r>
    </w:p>
    <w:p w:rsidR="00000000" w:rsidDel="00000000" w:rsidP="00000000" w:rsidRDefault="00000000" w:rsidRPr="00000000" w14:paraId="000005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 zum Jahr 2008 werden 2 % des Bruttoinlandsprodukts Lettlands für die staatliche Verteidigung, Sicherheit und Integration in die NATO bereitgestellt. Die finanziellen Ressourcen müssen die Professionalisierung und Modernisierung der NAF gewährleisten. Lettland muss Streitkräfte entwickeln, die NATO-interoperabel, einsatzbereit und gemäß den Richtlinien der NATO versorgt werden können. Die Hauptbereiche der Investitionen umfassen die Umsetzung der im Zeitplan für die Durchführung von Reformen festgelegten Aufgaben des Verteidigungssystems, die Verbesserung der Karriereplanung und des Ausbildungssystems für das Verteidigungsministerium und die NAF, den Kauf moderner Waffensysteme und Kampfausrüstung, die Interoperabilität der militärischen Kräfte mit der NATO und andere Bereiche, die in den Leitlinien des Ministers für die Entwicklung des staatlichen Verteidigungssystems und der Budgetplanung festgelegt sind.</w:t>
      </w:r>
    </w:p>
    <w:p w:rsidR="00000000" w:rsidDel="00000000" w:rsidP="00000000" w:rsidRDefault="00000000" w:rsidRPr="00000000" w14:paraId="000005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2">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85</w:t>
      </w:r>
    </w:p>
    <w:p w:rsidR="00000000" w:rsidDel="00000000" w:rsidP="00000000" w:rsidRDefault="00000000" w:rsidRPr="00000000" w14:paraId="000005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Planungs-, Programmierungs- und Budgetierungssystem hat seine Wirksamkeit bewiesen. Es verbessert und gewährleistet einen Überblick über den Planungs- und Programmierungsprozess und sorgt für die zielgerichtete Nutzung von Mitteln und deren Kontrolle. Die Budgetprogramme wurden verbessert, um einen Überblick über die Finanzierung und die erzielten Ergebnisse zu gewährleisten. </w:t>
      </w:r>
    </w:p>
    <w:p w:rsidR="00000000" w:rsidDel="00000000" w:rsidP="00000000" w:rsidRDefault="00000000" w:rsidRPr="00000000" w14:paraId="000005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Planungs-, Programmierungs- und Budgetierungssystem wird kontinuierlich aktualisiert, um aktuelle Budgetierungsprinzipien und -elemente einzubeziehen. </w:t>
      </w:r>
    </w:p>
    <w:p w:rsidR="00000000" w:rsidDel="00000000" w:rsidP="00000000" w:rsidRDefault="00000000" w:rsidRPr="00000000" w14:paraId="000005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wirksame und stabile Entwicklung der nationalen Wirtschaft und ihr Wachstum sind wichtige Faktoren zur Steigerung der Verteidigungsfähigkeiten des Staates und zur Verbesserung der materiell-technischen Einrichtungen. </w:t>
      </w:r>
    </w:p>
    <w:p w:rsidR="00000000" w:rsidDel="00000000" w:rsidP="00000000" w:rsidRDefault="00000000" w:rsidRPr="00000000" w14:paraId="000005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Zivilschutz- und Krisenmanagementsystem </w:t>
      </w:r>
    </w:p>
    <w:p w:rsidR="00000000" w:rsidDel="00000000" w:rsidP="00000000" w:rsidRDefault="00000000" w:rsidRPr="00000000" w14:paraId="000005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Zivilschutz ist Teil des nationalen Sicherheitssystems. Die Arbeit des Zivilschutzsystems wird vom Innenministerium geplant, koordiniert, verwaltet und kontrolliert. </w:t>
      </w:r>
    </w:p>
    <w:p w:rsidR="00000000" w:rsidDel="00000000" w:rsidP="00000000" w:rsidRDefault="00000000" w:rsidRPr="00000000" w14:paraId="000005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Zivilschutzsystem besteht aus nationalen, administrativen und kommunalen Behörden, Unternehmen, Geschäftseinheiten, Einrichtungen und Organisationen sowie allen Personen, die das gesetzliche Mindestalter erreicht haben, arbeitsfähig sind und zur lettischen Staatsangehörigkeit gehören. </w:t>
      </w:r>
    </w:p>
    <w:p w:rsidR="00000000" w:rsidDel="00000000" w:rsidP="00000000" w:rsidRDefault="00000000" w:rsidRPr="00000000" w14:paraId="000005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Interoperabilität des Zivilschutz- und Krisenmanagementsystems mit den Krisenmanagement- und Warnsystemen der NATO- und EU-Mitgliedstaaten, den Zivilschutzsystemen und anderen ist für das Management nationaler Notfälle unerlässlich. </w:t>
      </w:r>
    </w:p>
    <w:p w:rsidR="00000000" w:rsidDel="00000000" w:rsidP="00000000" w:rsidRDefault="00000000" w:rsidRPr="00000000" w14:paraId="000005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Zusammenarbeit zwischen nationalen Verwaltungsbehörden im Rahmen des Krisenmanagementsystems wird durch das Krisenmanagementzentrum koordiniert, das direkt dem Ministerpräsidenten unterstellt ist. Das Krisenmanagementzentrum erarbeitet potenzielle Krisenszenarien, standardisierte Betriebsverfahren und Pläne zur Vorbeugung, Bewältigung und Beseitigung der Folgen einer bedrohlichen Situation und organisiert und koordiniert Schulungen im Krisenmanagement.</w:t>
      </w:r>
    </w:p>
    <w:p w:rsidR="00000000" w:rsidDel="00000000" w:rsidP="00000000" w:rsidRDefault="00000000" w:rsidRPr="00000000" w14:paraId="000005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 Schlussfolgerung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Verteidigungspolitik des Staates ist Teil der Sicherheitspolitik Lettlands. Die wichtigste Priorität der Verteidigungspolitik besteht darin, die Verteidigung des Staates zu gewährleisten und im Rahmen der internationalen Zusammenarbeit weltweit Stabilität zu fördern und den Frieden in der Region und der Welt zu sichern. </w:t>
      </w:r>
    </w:p>
    <w:p w:rsidR="00000000" w:rsidDel="00000000" w:rsidP="00000000" w:rsidRDefault="00000000" w:rsidRPr="00000000" w14:paraId="000005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Grundlage für eine effektive Landesverteidigung ist die Teilnahme am NATO-Kollektivsicherheitssystem und an der Sicherheits- und Verteidigungspolitik der EU, professionelle Streitkräfte, hochqualifizierte Reservetruppen der Nationalgarde und die Unterstützung der Gesellschaft. </w:t>
      </w:r>
    </w:p>
    <w:p w:rsidR="00000000" w:rsidDel="00000000" w:rsidP="00000000" w:rsidRDefault="00000000" w:rsidRPr="00000000" w14:paraId="000005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lettischen Streitkräfte werden entwickelt, um ihre militärischen Fähigkeiten und ihre Einsatzbereitschaft sicherzustellen, um: </w:t>
      </w:r>
    </w:p>
    <w:p w:rsidR="00000000" w:rsidDel="00000000" w:rsidP="00000000" w:rsidRDefault="00000000" w:rsidRPr="00000000" w14:paraId="000005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Die Verteidigung Lettlands zu gewährleisten; </w:t>
      </w:r>
    </w:p>
    <w:p w:rsidR="00000000" w:rsidDel="00000000" w:rsidP="00000000" w:rsidRDefault="00000000" w:rsidRPr="00000000" w14:paraId="000005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Die Verpflichtungen als NATO- und EU-Mitglied zu erfüllen; und </w:t>
      </w:r>
    </w:p>
    <w:p w:rsidR="00000000" w:rsidDel="00000000" w:rsidP="00000000" w:rsidRDefault="00000000" w:rsidRPr="00000000" w14:paraId="000005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An internationalen Einsätzen teilzunehmen. </w:t>
      </w:r>
    </w:p>
    <w:p w:rsidR="00000000" w:rsidDel="00000000" w:rsidP="00000000" w:rsidRDefault="00000000" w:rsidRPr="00000000" w14:paraId="000005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staatliche Verteidigungssystem Lettlands wird entsprechend der geopolitischen und historischen Situation Lettlands, der verfügbaren physischen und finanziellen Ressourcen, der militärischen </w:t>
      </w:r>
    </w:p>
    <w:p w:rsidR="00000000" w:rsidDel="00000000" w:rsidP="00000000" w:rsidRDefault="00000000" w:rsidRPr="00000000" w14:paraId="000005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86</w:t>
      </w:r>
    </w:p>
    <w:p w:rsidR="00000000" w:rsidDel="00000000" w:rsidP="00000000" w:rsidRDefault="00000000" w:rsidRPr="00000000" w14:paraId="000005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Fähigkeiten im Rahmen der kollektiven Sicherheit, die die Struktur der lettischen Streitkräfte bestimmen, der beruflichen Qualifikation des Personals, der Verbesserung des Ausbildungssystems, der Modernisierung von Waffen und Infrastruktur, der Informationssicherheit und der effektiven Nutzung von Ressourcen entwickelt. Die Unterstützung und das Verständnis der Gesellschaft für die Nationalen Streitkräfte und ihre Grundsätze sind von entscheidender Bedeutung.</w:t>
      </w:r>
    </w:p>
    <w:p w:rsidR="00000000" w:rsidDel="00000000" w:rsidP="00000000" w:rsidRDefault="00000000" w:rsidRPr="00000000" w14:paraId="000005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4">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87</w:t>
      </w:r>
    </w:p>
    <w:p w:rsidR="00000000" w:rsidDel="00000000" w:rsidP="00000000" w:rsidRDefault="00000000" w:rsidRPr="00000000" w14:paraId="000005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6">
      <w:pPr>
        <w:pStyle w:val="Heading2"/>
        <w:jc w:val="center"/>
        <w:rPr>
          <w:rFonts w:ascii="Times New Roman" w:cs="Times New Roman" w:eastAsia="Times New Roman" w:hAnsi="Times New Roman"/>
          <w:b w:val="1"/>
        </w:rPr>
      </w:pPr>
      <w:bookmarkStart w:colFirst="0" w:colLast="0" w:name="_ey1gc7o3rzca" w:id="18"/>
      <w:bookmarkEnd w:id="18"/>
      <w:r w:rsidDel="00000000" w:rsidR="00000000" w:rsidRPr="00000000">
        <w:rPr>
          <w:rFonts w:ascii="Times New Roman" w:cs="Times New Roman" w:eastAsia="Times New Roman" w:hAnsi="Times New Roman"/>
          <w:b w:val="1"/>
          <w:rtl w:val="0"/>
        </w:rPr>
        <w:t xml:space="preserve">Grundsätze der Bereitschaft im Frieden</w:t>
      </w:r>
    </w:p>
    <w:p w:rsidR="00000000" w:rsidDel="00000000" w:rsidP="00000000" w:rsidRDefault="00000000" w:rsidRPr="00000000" w14:paraId="0000053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Von Fregattenkapitän P. Richard Moller*</w:t>
      </w:r>
    </w:p>
    <w:p w:rsidR="00000000" w:rsidDel="00000000" w:rsidP="00000000" w:rsidRDefault="00000000" w:rsidRPr="00000000" w14:paraId="0000053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[Führung] ist ein Akt des Glaubens. In einem Zeitalter, in dem kein Geheimnis heilig ist, in dem Täuschungen und falsche Vertraulichkeiten zum Alltag gehören, hat [Führung] ihr Geheimnis bewahrt, und noch nie wurde so viel darüber gesprochen - der beste Beweis für ihre Kraft und Faszination.¹</w:t>
      </w:r>
    </w:p>
    <w:p w:rsidR="00000000" w:rsidDel="00000000" w:rsidP="00000000" w:rsidRDefault="00000000" w:rsidRPr="00000000" w14:paraId="0000053B">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Christian Dior</w:t>
      </w:r>
    </w:p>
    <w:p w:rsidR="00000000" w:rsidDel="00000000" w:rsidP="00000000" w:rsidRDefault="00000000" w:rsidRPr="00000000" w14:paraId="000005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Fregattenkapitän P. Richard Moller ist ein kanadischer Reservist der Marine und derzeit als Operations-Offizier bei HMCS Cataraqui tätig. Zudem ist er als Direktor für Konferenzplanung am Royal Military College of Canada tätig. Kommentare können an ihn unter richard@moller.ca oder an die Adresse HMCS Cataraqui, PO Box 17000 Station Forces, Kingston, Ontario, K7K 7B4, geschickt werden.</w:t>
      </w:r>
    </w:p>
    <w:p w:rsidR="00000000" w:rsidDel="00000000" w:rsidP="00000000" w:rsidRDefault="00000000" w:rsidRPr="00000000" w14:paraId="000005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Jahr 1947 präsentierte Christian Dior eine Kollektion von Damenbekleidung, die die Welt revolutionierte. Nahezu über Nacht schlüpften Frauen in Kleidung aus seinem New Look. Nach der Rationierung während des Krieges signalisierte der offensichtliche Konsum, der mit den Metern an Material für jedes Outfit verbunden war, das Ende der schlanken, effizienten Kriegsmode. Parallel zum Eintritt der zivilen Welt in eine Zeit des verschwenderischen Konsums "richteten" militärische Führer ihre Organisationen neu aus, damit ihre Länder die "Friedensdividende" realisieren konnten, um die moderne Umgangssprache zu verwenden.</w:t>
      </w:r>
    </w:p>
    <w:p w:rsidR="00000000" w:rsidDel="00000000" w:rsidP="00000000" w:rsidRDefault="00000000" w:rsidRPr="00000000" w14:paraId="000005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Selbst nach dem 5. März 1946, als der hochgeehrte Sir Winston Churchill erklärte, dass ein eiserner Vorhang über Europa niedergegangen sei und damit den Beginn des Kalten Krieges signalisierte, gingen die Länder weiterhin von ihrem Kriegsfuß und begannen den Übergang zu Friedenszeiten. Mit einer kurzen Pause während der ersten polizeilichen Aktion der Vereinten Nationen auf der koreanischen Halbinsel wuchsen Bürokratien, während die Anzahl der Matrosen, Soldaten und Luftwaffenangehörigen abnahm. Es ist nicht überraschend, dass bürokratische Kämpfe zur Methode wurden, wie Admirale und Generäle ihre Beförderungen und Positionen erreichten.²Dies ist kein neues Phänomen; der Comte de Guibert schrieb darüber in seinem allgemeinen Essay über Taktik: "Wenn es zufällig in einer Nation einen guten General gibt, werden die Politiker und Intrigen der Bürokraten dafür sorgen, dass er in Friedenszeiten von den Soldaten ferngehalten wird. Sie bevorzugen es, ihre Soldaten mittelmäßigen Männern anzuvertrauen, die unfähig sind, sie auszubilden, sondern passiv und folgsam all ihren Launen und all ihren Systemen gegenüber sind. Erst wenn der Krieg beginnt, kann nur noch eine Katastrophe sie dazu zwingen, sich wieder dem guten General zuzuwenden."³</w:t>
      </w:r>
    </w:p>
    <w:p w:rsidR="00000000" w:rsidDel="00000000" w:rsidP="00000000" w:rsidRDefault="00000000" w:rsidRPr="00000000" w14:paraId="000005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88</w:t>
      </w:r>
    </w:p>
    <w:p w:rsidR="00000000" w:rsidDel="00000000" w:rsidP="00000000" w:rsidRDefault="00000000" w:rsidRPr="00000000" w14:paraId="000005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Auch Baron Antoine Henri de Jomini warnte davor, dass "es besonders wichtig ist, über die Erhaltung von Armeen in der Zeit eines langen Friedens zu wachen, denn dann besteht die größte Gefahr des Verfalls".⁴ Eine Möglichkeit, dieser Tendenz entgegenzuwirken, wäre natürlich, weiterhin Feinde zu finden und unsere Länder in einem dauerhaften Zustand des Vollkrieges zu halten. Nur wenige würden jedoch behaupten, dass die Vorteile für unsere Streitkräfte unter dieser Strategie die Kosten für unsere Gesellschaften aufwiegen würden. Die Frage bleibt also: Abgesehen von kontinuierlichen Kämpfen, wie können wir unsere Streitkräfte kampfbereit halten und gleichzeitig die anfängliche kriegsbedingte Katastrophe, die Guibert vorhergesagt hat, vermeiden oder zumindest mildern? Von Sun Tzu bis heute haben viele über die Kriegsführung geschrieben. Nur wenige haben jedoch Anleitungen zur Strukturierung und Ausbildung von Streitkräften während der Friedenszeiten geliefert, in denen wir uns zunehmend und zum Glück befinden. Das Problem heute besteht darin, dass Ethiker nur über Ethik und Werte schreiben, Politikwissenschaftler über Politik und Politikgestaltung, Psychologen über individuelle Führung und organisatorisches Verhalten und Soziologen über Gesellschaft und Kultur. Während diese Gruppen nützliche theoretische Modelle liefern, liegt es an den Angehörigen des Militärberufs - die letztendlich die verschiedenen Theorien anwenden müssen -, Wege zu entwickeln, um ihre Leitlinien in unsere militärischen Organisationen zu integrieren. Die Herausforderung für die heutigen ranghohen Militärführer besteht darin, selbsttragende Lernorganisationen zu entwickeln, die das anfängliche Schlachten während des Krieges minimieren, das Guibert vorhergesagt hat. In diesem Aufsatz wird die in der Vergangenheit gegebene Anleitung untersucht und dann aus den Ideen und Theorien von Pädagogen, Historikern, Ethikern, Management-Gurus, Psychologen, Soziologen, Führungskräften und anderen Akademikern eine Reihe von Grundsätzen der Friedenszeit- Bereitschaft abgeleitet. Je besser wir unsere Anstrengungen in Friedenszeiten bündeln, desto besser sind wir darauf vorbereitet, Schlachten zu planen und zu führen, wenn wir dazu aufgefordert werden.</w:t>
      </w:r>
    </w:p>
    <w:p w:rsidR="00000000" w:rsidDel="00000000" w:rsidP="00000000" w:rsidRDefault="00000000" w:rsidRPr="00000000" w14:paraId="000005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Die Laterne am Heck⁵</w:t>
      </w:r>
    </w:p>
    <w:p w:rsidR="00000000" w:rsidDel="00000000" w:rsidP="00000000" w:rsidRDefault="00000000" w:rsidRPr="00000000" w14:paraId="000005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Laufe der Generationen haben Militäroffiziere Theorien darüber entwickelt, was erforderlich ist, um Krieg erfolgreich zu führen. Diese Theorien sind als Kriegsgrundsätze bekannt geworden. Sun Tzus "Die Kunst des Krieges" war "der erste bekannte Versuch, eine rationale Grundlage für die Planung und Durchführung militärischer Operationen zu formulieren".⁶ Seit dieser Zeit haben viele andere entweder seine Arbeit verfeinert oder unabhängig eigene Konzepte entwickelt. Heute gehören die Kriegsgrundsätze zum Standardrepertoire von Stabsakademien auf der ganzen Welt. Verschiedene Länder legen unterschiedliche Bedeutung auf unterschiedliche Anzahlen und Aspekte von Grundsätzen; dennoch gibt es einige Überschneidungen bei fast allen von ihnen. Eine Überprüfung der Kriegsgrundsätze verschiedener Länder zeigt, dass Frankreich die wenigsten hat (drei) und Kanada und China mit den meisten übereinstimmen (elf).⁷ Wir sehen auch, dass nur zwei Grundsätze - Konzentration der Kräfte im Kampf und Überraschung - auf allen Listen erscheinen. Bei der Zusammenarbeit mit Koalitionen gibt uns Generalmajor Meille von der französischen Armee den Rat, dass "diese Grundsätze je nach operationeller Situation, der Persönlichkeit des Kommandanten, der Erfahrung und der Nationalität der Hauptassistenten und Mitarbeiter [der </w:t>
      </w:r>
    </w:p>
    <w:p w:rsidR="00000000" w:rsidDel="00000000" w:rsidP="00000000" w:rsidRDefault="00000000" w:rsidRPr="00000000" w14:paraId="000005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B">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89</w:t>
      </w:r>
    </w:p>
    <w:p w:rsidR="00000000" w:rsidDel="00000000" w:rsidP="00000000" w:rsidRDefault="00000000" w:rsidRPr="00000000" w14:paraId="000005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Koalition] unterschiedlich angewendet werden können".⁸</w:t>
      </w:r>
    </w:p>
    <w:p w:rsidR="00000000" w:rsidDel="00000000" w:rsidP="00000000" w:rsidRDefault="00000000" w:rsidRPr="00000000" w14:paraId="000005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 in den Ländern gemeinsam ist, ist das Gefühl, dass ein Gedächtnisstütze für die Planung eines Feldzugs oder einer Schlacht erforderlich ist. Es sollte beachtet werden, dass diese Grundsätze sich auf die Planung von Schlachten konzentrieren und abgesehen von der Einbeziehung der Verwaltung durch Kanada wenig darüber aussagen, wie man die Streitkräfte auf den Kampf vorbereitet oder wie die eigenen Streitkräfte strukturiert sein sollten. Vielleicht bietet die Untersuchung persönlicher Eigenschaften eine klarere Grundlage.</w:t>
      </w:r>
    </w:p>
    <w:p w:rsidR="00000000" w:rsidDel="00000000" w:rsidP="00000000" w:rsidRDefault="00000000" w:rsidRPr="00000000" w14:paraId="000005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Ähnlich wie bei den Kriegsgrundsätzen gibt es viele Standpunkte darüber, was einen perfekten Admiral oder General ausmacht. Jomini schrieb: "Die wichtigsten Eigenschaften für einen General sind immer folgende: Erstens ein hoher moralischer Mut, der zu großen Entschlüssen fähig ist; zweitens ein physischer Mut, der keine Gefahr berücksichtigt. Seine wissenschaftlichen oder militärischen Kenntnisse sind sekundär zu den oben genannten Eigenschaften, obwohl sie, wenn großartig, wertvolle Hilfsmittel sein können".⁹</w:t>
      </w:r>
    </w:p>
    <w:p w:rsidR="00000000" w:rsidDel="00000000" w:rsidP="00000000" w:rsidRDefault="00000000" w:rsidRPr="00000000" w14:paraId="000005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Einige Länder haben eine Liste von Eigenschaften erstellt, die eine Person haben sollte, um effektiv das Kommando auszuüben. Die British Army Doctrine Publication gibt uns die folgende Liste von Eigenschaften und Merkmalen, die eine solche Person haben sollte: Führung, fachliches Wissen, Vision und Intellekt, Mut und Entschlossenheit, Selbstvertrauen, Kommunikationsfähigkeit, Integrität und Vorbildwirkung.¹⁰</w:t>
      </w:r>
    </w:p>
    <w:p w:rsidR="00000000" w:rsidDel="00000000" w:rsidP="00000000" w:rsidRDefault="00000000" w:rsidRPr="00000000" w14:paraId="000005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Auch dies ist eine nützliche Liste von Elementen, die wir bei unseren Führungskräften entwickeln sollten, aber sie bieten wenig Anleitung, wie man sicherstellt, dass unsere Führungskräfte diese Eigenschaften tatsächlich besitzen oder wie man unsere militärischen Organisationen und Ausbildungssysteme strukturiert, um sie regelmäßig zu entwickeln. Uns bleibt immer noch die Frage: Wie sollten wir unsere Streitkräfte in Friedenszeiten strukturieren, um eine Katastrophe während der ersten Schlachten des nächsten Krieges zu vermeiden oder abzumildern? Vielleicht liegen die Lehren in der Vergangenheit.</w:t>
      </w:r>
    </w:p>
    <w:p w:rsidR="00000000" w:rsidDel="00000000" w:rsidP="00000000" w:rsidRDefault="00000000" w:rsidRPr="00000000" w14:paraId="000005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Nicht überraschend schreiben die meisten Autoren von Militärgeschichte über Taktik, Doktrin und die Strategie der Kriegsführung; schließlich ist dies das, wofür Militärs letztendlich existieren. Jomini schlug jedoch vor, dass es einige Dinge gibt, die unsere Militärs haben und tun sollten: </w:t>
      </w:r>
    </w:p>
    <w:p w:rsidR="00000000" w:rsidDel="00000000" w:rsidP="00000000" w:rsidRDefault="00000000" w:rsidRPr="00000000" w14:paraId="000005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Ein gutes Rekrutierungssystem haben;</w:t>
      </w:r>
    </w:p>
    <w:p w:rsidR="00000000" w:rsidDel="00000000" w:rsidP="00000000" w:rsidRDefault="00000000" w:rsidRPr="00000000" w14:paraId="000005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Eine gute Organisation haben;</w:t>
      </w:r>
    </w:p>
    <w:p w:rsidR="00000000" w:rsidDel="00000000" w:rsidP="00000000" w:rsidRDefault="00000000" w:rsidRPr="00000000" w14:paraId="000005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Ein gut organisiertes System nationaler Reserven haben;</w:t>
      </w:r>
    </w:p>
    <w:p w:rsidR="00000000" w:rsidDel="00000000" w:rsidP="00000000" w:rsidRDefault="00000000" w:rsidRPr="00000000" w14:paraId="000005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Eine gute Ausbildung von Offizieren und Soldaten in Drill und internen Aufgaben sowie in Kampagnenaufgaben haben;</w:t>
      </w:r>
    </w:p>
    <w:p w:rsidR="00000000" w:rsidDel="00000000" w:rsidP="00000000" w:rsidRDefault="00000000" w:rsidRPr="00000000" w14:paraId="000005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Eine strenge, aber nicht demütigende Disziplin und einen Geist der Unterordnung und Pünktlichkeit haben, der auf Überzeugungen und nicht auf Formalitäten des Dienstes basiert;</w:t>
      </w:r>
    </w:p>
    <w:p w:rsidR="00000000" w:rsidDel="00000000" w:rsidP="00000000" w:rsidRDefault="00000000" w:rsidRPr="00000000" w14:paraId="000005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Ein gut durchdachtes System von Belohnungen haben, das geeignet ist, Ehrgeiz zu wecken;</w:t>
      </w:r>
    </w:p>
    <w:p w:rsidR="00000000" w:rsidDel="00000000" w:rsidP="00000000" w:rsidRDefault="00000000" w:rsidRPr="00000000" w14:paraId="000005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Die speziellen Waffengattungen Ingenieurwesen und Artillerie sollten gut geschult sein;</w:t>
      </w:r>
    </w:p>
    <w:p w:rsidR="00000000" w:rsidDel="00000000" w:rsidP="00000000" w:rsidRDefault="00000000" w:rsidRPr="00000000" w14:paraId="000005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Eine Bewaffnung haben, die wenn möglich überlegensten ist, sowohl in defensiven als auch in offensiven Waffen;</w:t>
      </w:r>
    </w:p>
    <w:p w:rsidR="00000000" w:rsidDel="00000000" w:rsidP="00000000" w:rsidRDefault="00000000" w:rsidRPr="00000000" w14:paraId="000005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Ein Generalstab, der in der Lage ist, diese Elemente anzuwenden, und eine Organisation hat, die darauf abzielt, die theoretische und praktische Ausbildung seiner Offiziere zu fördern;</w:t>
      </w:r>
    </w:p>
    <w:p w:rsidR="00000000" w:rsidDel="00000000" w:rsidP="00000000" w:rsidRDefault="00000000" w:rsidRPr="00000000" w14:paraId="000005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Ein gutes System für die Verpflegung, Krankenhäuser und die allgemeine Verwaltung haben;</w:t>
      </w:r>
    </w:p>
    <w:p w:rsidR="00000000" w:rsidDel="00000000" w:rsidP="00000000" w:rsidRDefault="00000000" w:rsidRPr="00000000" w14:paraId="000005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Ein gutes System zur Zuweisung von Befehlen und zur Steuerung der Hauptoperationen des Krieges haben;</w:t>
      </w:r>
    </w:p>
    <w:p w:rsidR="00000000" w:rsidDel="00000000" w:rsidP="00000000" w:rsidRDefault="00000000" w:rsidRPr="00000000" w14:paraId="000005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5">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90</w:t>
      </w:r>
    </w:p>
    <w:p w:rsidR="00000000" w:rsidDel="00000000" w:rsidP="00000000" w:rsidRDefault="00000000" w:rsidRPr="00000000" w14:paraId="000005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Die militärische Gesinnung der Bevölkerung zu fördern und am Leben zu erhalten. </w:t>
      </w:r>
    </w:p>
    <w:p w:rsidR="00000000" w:rsidDel="00000000" w:rsidP="00000000" w:rsidRDefault="00000000" w:rsidRPr="00000000" w14:paraId="000005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 diesen Bedingungen könnte ein gutes System für Kleidung und Ausrüstung hinzugefügt werden, da dies zwar auf dem Schlachtfeld von weniger direkter Bedeutung ist, aber dennoch Auswirkungen auf die Erhaltung der Truppen hat. Es ist immer ein großes Ziel, das Leben und die Gesundheit von Veteranen zu sparen.¹¹ </w:t>
      </w:r>
    </w:p>
    <w:p w:rsidR="00000000" w:rsidDel="00000000" w:rsidP="00000000" w:rsidRDefault="00000000" w:rsidRPr="00000000" w14:paraId="000005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Unsere Gesellschaften und Militärs haben sich seit Jomini uns diese Liste zur Verfügung gestellt hat, erheblich weiterentwickelt. Fortschritte in der Militärtechnologie verändern weiterhin die Natur des Schlachtfeldes und erschweren die Aufgabe, unsere Offiziere und Unteroffiziere auszubilden. Der Eintritt von Nicht-Staatsakteuren in die Konfliktarena verwirrt die Definition von Krieg. Die Verbreitung von Demokratie hat Korps von Kommissionierten und nicht Kommissionierten geschaffen, die nicht mehr bereit sind, nach dem Motto "Ihnen nicht zu antworten, / Ihnen nicht zu fragen warum, / Ihnen bleibt nur zu tun und zu sterben"¹²  zu leben; während sie immer noch bereit sind, "in den Rachen des Todes zu reiten",¹³ erwarten sie ein Mitspracherecht darüber, wie sie regiert und zu dieser Schwelle geführt werden. All diese Elemente haben Revolutionen in unseren militärischen Angelegenheiten¹⁴ geschaffen - mindestens ebenso groß wie die in unseren Zivilgesellschaften, die Jomini kaum hätte vorhersagen können. Parallel zu den technologischen Veränderungen der letzten 200 Jahre gab es eine dramatische Zunahme der Studien und der Entwicklung von Management- und Führungsmodellen in der zivilen (hauptsächlich geschäftlichen) Gemeinschaft.</w:t>
      </w:r>
    </w:p>
    <w:p w:rsidR="00000000" w:rsidDel="00000000" w:rsidP="00000000" w:rsidRDefault="00000000" w:rsidRPr="00000000" w14:paraId="0000056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Führung und Management bis in die Antike zurückreichen, wurden sie erst im frühen Teil des letzten Jahrhunderts zu einem spezialisierten Studiengebiet. Historisch betrachtet orientierten sich Management- und Führungstheoretiker an der Armee als Vorbild. Personen wie Frederick W. Taylor, Henry Fayol, Max Weber und andere prägten das klassische Managementmodell, das auf dem autoritären, streng strukturierten Führungs- und Managementstil der Armee basierte. In den frühen 1930er Jahren entstand die Theorie des Human-Relations-Managements, basierend hauptsächlich auf Forschungen von Elton Mayo in den Hawthorn-Werken der Western Electric Company. Mayos Studien waren die ersten, die systematisch die Rolle der Persönlichkeit und der menschlichen psychologischen Prozesse in der Arbeitsumgebung erforschten. Mayo und seine Forscher kamen zu dem Schluss, dass Arbeiter mehr als nur Geld von ihrer Arbeit wollten und dass effektives Management sowohl soziale als auch technische Fähigkeiten erforderte. Heute betrachtet die moderne System- und Kontingenztheorie die Organisation als ein Gesamtsystem mit komplexen Wechselwirkungen sowohl intern als auch extern. Dies erkennt an, dass jede Organisation einzigartig ist und dass kein organisatorisches System in allen Situationen angemessen sein wird.¹⁵ Das Militär hat bei der Entwicklung von Management- und Führungstheorien und -modellen den Anschluss verpasst.</w:t>
      </w:r>
    </w:p>
    <w:p w:rsidR="00000000" w:rsidDel="00000000" w:rsidP="00000000" w:rsidRDefault="00000000" w:rsidRPr="00000000" w14:paraId="000005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 der Betrachtung der Vergangenheit stellen wir fest, dass es nur wenige Leitprinzipien für Friedenszeiten gibt, die als Ergänzung zu den Prinzipien des Krieges während Konfliktsituationen dienen können. Die oben gestellte Frage bleibt also bestehen: Wie können wir unsere Streitkräfte in Friedenszeiten kampfbereit halten und gleichzeitig die anfänglichen kriegsbedingten Katastrophen, die Guibert vorhergesagt hat, vermeiden oder zumindest abmildern?</w:t>
      </w:r>
    </w:p>
    <w:p w:rsidR="00000000" w:rsidDel="00000000" w:rsidP="00000000" w:rsidRDefault="00000000" w:rsidRPr="00000000" w14:paraId="000005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91</w:t>
      </w:r>
    </w:p>
    <w:p w:rsidR="00000000" w:rsidDel="00000000" w:rsidP="00000000" w:rsidRDefault="00000000" w:rsidRPr="00000000" w14:paraId="00000571">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5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Während die Anforderungen an militärische und zivile Führung unterschiedlich sind, schließen sie sich nicht gegenseitig aus. Um aus den Fehlern anderer zu lernen und unsere Organisationen aus einer anderen Perspektive zu betrachten, werden wir uns an die zivile Welt wenden, um unsere Grundsätze zu formulieren. Die fünf Grundsätze, die wir untersuchen werden, sind: professionelle Einbindung, Innovation, ethische Klarheit, Rechtschaffenheit und kulturelle Gesundheit.</w:t>
      </w:r>
    </w:p>
    <w:p w:rsidR="00000000" w:rsidDel="00000000" w:rsidP="00000000" w:rsidRDefault="00000000" w:rsidRPr="00000000" w14:paraId="000005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Professionelle Einbindung</w:t>
      </w:r>
    </w:p>
    <w:p w:rsidR="00000000" w:rsidDel="00000000" w:rsidP="00000000" w:rsidRDefault="00000000" w:rsidRPr="00000000" w14:paraId="000005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8">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Meine Vorstellung von der Zukunft ist... dass Individuen durch ihre eigene Aktivität, durch ihre eigene Willensanstrengung, die die innere Entwicklung des Einzelnen darstellt, von einem Stadium der Unabhängigkeit zu einem höheren übergehen.¹⁶</w:t>
      </w:r>
    </w:p>
    <w:p w:rsidR="00000000" w:rsidDel="00000000" w:rsidP="00000000" w:rsidRDefault="00000000" w:rsidRPr="00000000" w14:paraId="00000579">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Maria Montessori</w:t>
      </w:r>
    </w:p>
    <w:p w:rsidR="00000000" w:rsidDel="00000000" w:rsidP="00000000" w:rsidRDefault="00000000" w:rsidRPr="00000000" w14:paraId="000005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Lebenslanges Lernen trägt zur Entwicklung von Individuen bei. Während Berufe sicherstellen müssen, dass ihre Mitglieder auf dem neuesten Stand sind und fähig sind, ist für ihre langfristige Gesundheit viel wichtiger, dass sie kontinuierlich ihren beruflichen Wissensstand erweitern und verfeinern, durch ihre eigene Willensanstrengung. Einige deuten darauf hin, dass lebenslanges Lernen der Schlüssel zur organisatorischen Gesundheit ist. Lebenslanges Lernen ist ein individuelles Unterfangen, an dem Einzelpersonen beteiligt sind, die allzu oft in der trockenen Vermittlung von Wissen beschäftigt sind, auch wenn sie einen Klassenraum mit anderen Schülern teilen. Der militärische Beruf erfordert wie alle Berufe die praktische Anwendung von Wissen, um spezifische Ziele zu erreichen und ist daher von seiner Natur her keine primär akademische Unternehmung. Unser Lernen muss daher auf unsere Berufung ausgerichtet bleiben, obwohl auch eine gewisse akademische Strenge erforderlich sein wird.</w:t>
      </w:r>
    </w:p>
    <w:p w:rsidR="00000000" w:rsidDel="00000000" w:rsidP="00000000" w:rsidRDefault="00000000" w:rsidRPr="00000000" w14:paraId="000005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angewandten Berufe wie Ingenieurwesen, Medizin usw. haben alle eine starke Verbindung zu einer ergänzenden akademischen Gruppe. Heutzutage scheint der militärische Beruf zusammen mit der Gesellschaft insgesamt fast von technologischen Fortschritten überholt zu werden, aber es ist die Geschichte, die uns Lektionen über Strategie und Taktik liefert, die unseren Einsatz dieser neuen Technologien lenken müssen.¹⁷Unsere Geschichte ist das einzige Feld, das studiert werden muss, um unseren beruflichen Wissensstand zu entwickeln und das Wesen der Führungsprobleme zu verstehen, denen wir gegenüberstehen. Wenn sie klug genutzt wird, können uns die Lehren der Vergangenheit dabei helfen, diejenigen von uns zu unterstützen, die dazu berufen sind, die Führung von Gewalt auszuüben, damit wir nützliche Modelle und Theorien entwickeln können, die künftige Kriege unterstützen. Wir müssen uns Samuel Coleridges Beobachtung bewusst sein: "Wenn die Menschen aus der Geschichte lernen könnten, welche Lektionen könnte sie uns lehren! Aber Leidenschaft und Parteilichkeit verblenden unsere Augen, und das Licht, das uns die Erfahrung gibt, ist eine Laterne am Heck, die nur auf die Wellen hinter uns leuchtet".¹⁸</w:t>
      </w:r>
    </w:p>
    <w:p w:rsidR="00000000" w:rsidDel="00000000" w:rsidP="00000000" w:rsidRDefault="00000000" w:rsidRPr="00000000" w14:paraId="000005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Diejenigen, die den Krieg studieren und theoretisieren, lassen sich im Allgemeinen in zwei große Gruppen einteilen. Erstens sind da diejenigen, die sich auf die Herausforderungen des Kampfes und der Kriegsführung vorbereiten - Mitglieder des Militärs. Zweitens gibt es diejenigen, die über Krieg theoretisieren oder ihn studieren, weil sie ein Interesse an Militärgeschichte haben - Akademiker. Diese beiden Gruppen haben deutlich unterschiedliche Ziele. Erstere suchen in erster Linie nach den effektivsten und effizientesten Möglichkeiten, die Befehle ihrer Vorgesetzten auszuführen und im Kampfraum den Sieg zu erringen. Letztere wollen das Bekannte erweitern, indem sie die Vergangenheit erforschen und erzählen. Da </w:t>
      </w:r>
    </w:p>
    <w:p w:rsidR="00000000" w:rsidDel="00000000" w:rsidP="00000000" w:rsidRDefault="00000000" w:rsidRPr="00000000" w14:paraId="000005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92</w:t>
      </w:r>
    </w:p>
    <w:p w:rsidR="00000000" w:rsidDel="00000000" w:rsidP="00000000" w:rsidRDefault="00000000" w:rsidRPr="00000000" w14:paraId="000005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beiden Gruppen unterschiedliche Ziele haben, betrachten sie die Geschichte und einander auf unterschiedliche Weise. Wenn wir die Ansichten dieser beiden Gruppen rationalisieren, kann unsere Geschichte zu einem mächtigen Instrument für unsere Verteidigungsstruktur und unsere Nationen werden.</w:t>
      </w:r>
    </w:p>
    <w:p w:rsidR="00000000" w:rsidDel="00000000" w:rsidP="00000000" w:rsidRDefault="00000000" w:rsidRPr="00000000" w14:paraId="000005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Jede Gruppe hat der anderen etwas zu bieten; jedoch ersticken oft ihre unterschiedlichen Ziele einen offenen Dialog und eine kooperative Beziehung. Eine systemische und reziproke Beziehung könnte zu nützlichen Theorien, Gedanken und Ideen führen, die helfen würden, Kriege zu gewinnen oder zu vermeiden, die das gesamte Spektrum des Konflikts umfassen, und somit unsere nationalen Interessen unterstützen, indem sie eine größere nationale Sicherheit bieten. Wenn keine systemische, reziproke Beziehung zwischen diesen beiden Gruppen aufgebaut wird, werden nützliche Ideen weiterhin einfach nur Laternen am Heck sein, die von denen, die sie am effektivsten nutzen könnten, ignoriert oder übersehen werden.</w:t>
      </w:r>
    </w:p>
    <w:p w:rsidR="00000000" w:rsidDel="00000000" w:rsidP="00000000" w:rsidRDefault="00000000" w:rsidRPr="00000000" w14:paraId="000005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Konflikt zwischen diesen beiden Gruppen beginnt mit der Art und Weise, wie sie einander betrachten. Akademiker tendieren dazu, die Prinzipien des Krieges des Militärs mit einer gewissen Geringschätzung zu behandeln und haben versucht, sie an den Rand zu drängen. Zum Beispiel beschrieb Paret den Einfluss der Kriegsprinzipien auf das militärische Denken als "eine Entschuldigung für Soldatengenerationen, nicht selbstständig zu denken".¹⁹</w:t>
      </w:r>
    </w:p>
    <w:p w:rsidR="00000000" w:rsidDel="00000000" w:rsidP="00000000" w:rsidRDefault="00000000" w:rsidRPr="00000000" w14:paraId="000005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Ebenso ignorieren militärische Offiziere die von Akademikern geleistete Arbeit. Henry Lloyd brachte es auf den Punkt, als er sagte: "Die Modernen, die sich vorgenommen haben, die Geschichte verschiedener Kriege oder einiger berühmter Kommandanten zu schreiben, sind größtenteils nur Gelehrte und völlig unvertraut mit der Natur militärischer Operationen. Sie haben uns zwar angenehme, aber nutzlose Werke geliefert".²⁰</w:t>
      </w:r>
    </w:p>
    <w:p w:rsidR="00000000" w:rsidDel="00000000" w:rsidP="00000000" w:rsidRDefault="00000000" w:rsidRPr="00000000" w14:paraId="000005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Beide Gruppen nutzen historische Beispiele, um ihre Ideen und Theorien zu unterstützen. Doch weil sie einander bestenfalls mit beruflicher Überheblichkeit betrachten, profitieren sie selten von den Erkenntnissen des anderen. Durch die Verschmelzung der problemlösenden, ergebnisorientierten Fähigkeiten und intellektuellen Leistungen beider Gruppen könnten unsere Länder große Vorteile erzielen. Sowohl Historiker als auch Militäroffiziere (und damit auch unsere Nationen) können von der kombinierten Erfahrung und intellektuellen Kraft profitieren, die diese beiden scheinbar disparaten Gruppen in der Kriegsforschung einbringen. Militäroffiziere, die sich auf gegenwärtige und zukünftige Kriegsführung oder die Vorbereitung darauf konzentrieren, neigen dazu, oberflächliche Überprüfungen historischer Daten durchzuführen, um ihre Theorien zu beweisen. Dies ist gefährlich, denn "es ist bekannt, dass die militärische Geschichte, wenn oberflächlich studiert, Argumente zur Unterstützung jeder Theorie oder Meinung liefert".²¹ Die Informationen, Ideen und Theorien, die diesen Militäroffizieren helfen könnten, ihre eigenen Modelle gründlicher zu untersuchen, stehen ihnen nicht zur Verfügung, weil "Historiker dazu neigen, füreinander zu schreiben".²² Die Herausforderung besteht daher darin, dass Militäroffiziere ihr Verständnis für historische Analysen entwickeln und Militärhistoriker dazu ermutigen, ein breiteres Publikum anzusprechen. Durch diesen Prozess würden beide Gemeinschaften erkennen, dass es eine Möglichkeit für gegenseitigen Nutzen gibt, anstatt im gegenwärtigen Zustand gegenseitigen Misstrauens oder Verachtung zu verharren. Es gibt bereits Modelle für die Entwicklung einer solchen symbiotischen Beziehung.</w:t>
      </w:r>
    </w:p>
    <w:p w:rsidR="00000000" w:rsidDel="00000000" w:rsidP="00000000" w:rsidRDefault="00000000" w:rsidRPr="00000000" w14:paraId="000005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wissenschaftlichen Bereich beobachten Physiker, Chemiker und Biologen die Welt um sie herum, um herauszufinden, wie und warum sie so funktioniert, wie sie es tut.</w:t>
      </w:r>
    </w:p>
    <w:p w:rsidR="00000000" w:rsidDel="00000000" w:rsidP="00000000" w:rsidRDefault="00000000" w:rsidRPr="00000000" w14:paraId="000005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93</w:t>
      </w:r>
    </w:p>
    <w:p w:rsidR="00000000" w:rsidDel="00000000" w:rsidP="00000000" w:rsidRDefault="00000000" w:rsidRPr="00000000" w14:paraId="000005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Wissenschaftler veröffentlichen dann ihre Arbeit. Sobald veröffentlicht, nutzen Ingenieure - die angewandten Wissenschaftler - und Ärzte - die angewandten Biologen - diese Beobachtungen, Theorien und Ideen, um die ihnen gestellten praktischen Probleme zu lösen. Der Dialog zwischen diesen beiden unterschiedlichen, aber eng verwandten Gruppen wurde über viele Generationen aufgebaut.</w:t>
      </w:r>
    </w:p>
    <w:p w:rsidR="00000000" w:rsidDel="00000000" w:rsidP="00000000" w:rsidRDefault="00000000" w:rsidRPr="00000000" w14:paraId="000005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Auf der anderen Seite des Spektrums existiert ein ähnliches Modell in den Künsten. Maler, Bildhauer, Musiker und Schriftsteller beobachten die Welt um sie herum und produzieren Werke, die symbolisieren, was sie aus diesen Beobachtungen für wichtig halten. Periodisch entsteht eine neue "Schule", wenn Gruppen von Künstlern ähnliche Veränderungen in ihren Gesellschaften beobachten. Angewandte Künstler - Modedesigner, Grafiker, Architekten usw. - nutzen diese künstlerischen Techniken, Stile und Symbole und setzen sie ein, um konkrete Objekte für bestimmte praktische Zwecke zu schaffen. Auch hier wurde die Beziehung zwischen diesen beiden Gruppen über viele Generationen aufgebaut.</w:t>
      </w:r>
    </w:p>
    <w:p w:rsidR="00000000" w:rsidDel="00000000" w:rsidP="00000000" w:rsidRDefault="00000000" w:rsidRPr="00000000" w14:paraId="000005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ähnlicher systemischer Dialog existiert bisher nicht zwischen Militärhistorikern, die die Fäden der Geschichte zusammenführen, und Militäroffizieren, die diese Fäden zu praktischen Werkzeugen, Taktiken und Strategien für den Kriegseinsatz spinnen. Eine tiefere Kenntnis der Geschichte, ein erweitertes Bewusstsein für vergangene Lehren und wie diese vergangenen Ideen das praktische Problem der Kriegsführung in ihrer Zeit beeinflusst haben, wird uns helfen, eine stärkere Offizierskorps für die Zukunft aufzubauen. Im Grunde genommen: "Führung... wird gestärkt und effektiver, wenn Führungskräfte auf allen Ebenen über Trends, Entwicklungen und neue Ideen Bescheid wissen und die Implikationen verstehen."²³ Visionäre in beiden Gemeinschaften müssen nach Beispielen in der Vergangenheit suchen, die uns helfen werden, unsere Führungskräfte in der Zukunft zu entwickeln. Durch die Entwicklung eines starken systemischen Dialogs zwischen den beiden Gruppen, die Krieg studieren und darüber theoretisieren, können wir ein nachhaltiges Vertrauen, Respekt und Zusammenarbeit schaffen, das diejenigen inspiriert, die folgen, und eine starke Lernorganisation schafft. Um die militärische Berufung und unsere eigenen Streitkräfte lebensfähig zu halten, müssen wir uns als lernende Organisationen neu erfinden. Die Beteiligung der Mitglieder der Berufsgruppe an lebenslangem Lernen ist ein guter Anfang, aber es allein gewährleistet nicht die langfristige Gesundheit unserer Berufsgruppe und damit die langfristige Sicherheit unserer Nationen.</w:t>
      </w:r>
    </w:p>
    <w:p w:rsidR="00000000" w:rsidDel="00000000" w:rsidP="00000000" w:rsidRDefault="00000000" w:rsidRPr="00000000" w14:paraId="000005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unsere Berufsgruppe zu einer lernenden Organisation weiterzuentwickeln, müssen wir als Einzelpersonen über das Plateau des lebenslangen Lernens hinausgehen und zu lebenslangen Lehrern werden. Während es wichtig ist, starke Verbindungen zu den akademischen Fachkräften unserer Berufsgruppe zu haben, die uns mit Daten und Einblicken versorgen, liegt es an den Mitgliedern der Berufsgruppe, diese Informationen in Wissen umzuwandeln und dieses Wissen bei der Lösung praktischer Probleme sowohl im Gefechtsraum als auch außerhalb anzuwenden. Die Mitglieder der militärischen Berufsgruppe tragen die Verantwortung für das Kommando und damit für das Leben unserer Untergebenen - nicht die Professoren, die uns Geschichte, Mathematik und andere Kurse beibringen. Wenn Mitglieder der Berufsgruppe sich dem lebenslangen Lehren widmen, fördern sie das Wachstum einer breiteren, besser informierten und belastbaren professionellen Gemeinschaft. Kurz gesagt, sie schaffen eine lernende Organisation.</w:t>
      </w:r>
    </w:p>
    <w:p w:rsidR="00000000" w:rsidDel="00000000" w:rsidP="00000000" w:rsidRDefault="00000000" w:rsidRPr="00000000" w14:paraId="000005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94</w:t>
      </w:r>
    </w:p>
    <w:p w:rsidR="00000000" w:rsidDel="00000000" w:rsidP="00000000" w:rsidRDefault="00000000" w:rsidRPr="00000000" w14:paraId="000005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Umstellung vom lebenslangen Lernen zum lebenslangen Lehren erfordert von den meisten von uns, dass wir unsere Reaktionen in verschiedenen Situationen ändern. Es erfordert auch eine Veränderung der organisatorischen Strukturen, denn lebenslanges Lehren erfordert auch, dass wir von unseren Vorgesetzten, Kollegen und Untergebenen lernen, je nach Situation. Angesichts der traditionell hierarchischen Strukturen militärischer Organisationen wird es zwangsläufig auf Widerstand stoßen, wenn Vorgesetzte mit Situationen konfrontiert werden, in denen sie anerkennen müssen, dass ihre Untergebenen mehr Erfahrung haben als sie. "Menschen beizubringen, wie sie über ihr Verhalten auf neue und effektivere Weise nachdenken können, baut die Abwehrmechanismen ab, die das Lernen blockieren",²⁴ und es sind diese Abwehrmechanismen, die unsere Fähigkeit einschränken, Erfahrungen auszutauschen, die dazu beitragen, unsere Berufsgruppe zu stärken. Sobald wir militärische Mitglieder haben, die beruflich engagiert sind, müssen wir Innovation entwickeln und fördern, damit unsere gesamte Organisation sich entwickeln und mit möglichst geringem Energieverlust vorankommen kann.</w:t>
      </w:r>
    </w:p>
    <w:p w:rsidR="00000000" w:rsidDel="00000000" w:rsidP="00000000" w:rsidRDefault="00000000" w:rsidRPr="00000000" w14:paraId="000005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Innovation</w:t>
      </w:r>
    </w:p>
    <w:p w:rsidR="00000000" w:rsidDel="00000000" w:rsidP="00000000" w:rsidRDefault="00000000" w:rsidRPr="00000000" w14:paraId="000005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Die größte Gefahr für jeden Papst besteht darin, dass er von Schmeichlern umgeben ist und nie die Wahrheit über seine eigene Person hört und am Ende nicht mehr hören möchte.²⁵</w:t>
      </w:r>
    </w:p>
    <w:p w:rsidR="00000000" w:rsidDel="00000000" w:rsidP="00000000" w:rsidRDefault="00000000" w:rsidRPr="00000000" w14:paraId="000005A0">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Papst Alexander IV</w:t>
      </w:r>
    </w:p>
    <w:p w:rsidR="00000000" w:rsidDel="00000000" w:rsidP="00000000" w:rsidRDefault="00000000" w:rsidRPr="00000000" w14:paraId="000005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Innovation ist mehr als Kreativität. Kreativ zu sein bedeutet, "erfinderisch und einfallsreich" zu sein.²⁶ Es ist schön und gut, einen kreativen Geist zu haben, aber wir gehören zu einem praktischen Beruf, der reale Aufgaben erledigen muss. In diesem Papier wird "Innovation" als "angewandte Kreativität" verwendet, das heißt, eine neue Idee zu haben und sie dann umzusetzen. Natürlich müssen wir für eine innovative Armee Menschen entwickeln, die originelle Ideen hervorbringen können. Das Problem, dem wir gegenüberstehen, ist, wie wir unsere Organisationen entwickeln können, um diesen kreativen Menschen das Gedeihen zu ermöglichen. Da die Umsetzung erfinderischer und einfallsreicher Ideen per Definition bedeutet, die Art und Weise, wie Dinge getan werden, zu verändern, werden diejenigen, die sich mit dieser Tätigkeit beschäftigen, disruptiv sein. Die Ermutigung und Unterstützung von Menschen, die vom Status quo abweichen, wird die größte Herausforderung für unsere militärischen Organisationen sein, die Gehorsam und Hierarchie über fast alles andere zu schätzen scheinen. Besonders in Friedenszeiten, in denen Regierungen die Ausgaben genau überwachen und die Medien nach Verschwendung von Regierungsgeldern suchen, wird das Risiko, neue Geschäftsmethoden auszuprobieren, eine Führungsaufgabe sein, die für einige schwer zu bewältigen ist. Wenn es uns gelingt, Innovationen zu fördern, können wir unsere Armeen in eine Ära führen, in der wir "zum ersten Mal in der Geschichte von unserer Vorstellungskraft aus rückwärts arbeiten können, anstatt von unserer Vergangenheit aus vorwärts".²⁷ Die Unterstützung von Dissens ist der grundlegende Baustein für die Schaffung einer innovativen Organisation.</w:t>
      </w:r>
    </w:p>
    <w:p w:rsidR="00000000" w:rsidDel="00000000" w:rsidP="00000000" w:rsidRDefault="00000000" w:rsidRPr="00000000" w14:paraId="000005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so viele andere Dinge hat Dissens sowohl positive als auch negative Merkmale und Ergebnisse. Positiver Dissens bedeutet mehr als einfach zu sagen: "Das ist falsch". Es geht darum, das Problem zu definieren, eine realisierbare Lösung vorzuschlagen und dann an deren Umsetzung zu arbeiten. Als Führungskräfte müssen wir unsere Positionsgewalt nutzen, um die innovativen Menschen, die für uns arbeiten, zu schützen und zu ermutigen.</w:t>
      </w:r>
    </w:p>
    <w:p w:rsidR="00000000" w:rsidDel="00000000" w:rsidP="00000000" w:rsidRDefault="00000000" w:rsidRPr="00000000" w14:paraId="000005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95</w:t>
      </w:r>
    </w:p>
    <w:p w:rsidR="00000000" w:rsidDel="00000000" w:rsidP="00000000" w:rsidRDefault="00000000" w:rsidRPr="00000000" w14:paraId="000005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Diejenigen, die mit dem Status quo zufrieden sind, werden unter anderem versuchen, Innovatoren als Unruhestifter und Unzufriedene zu kennzeichnen. "Was die Verteidiger der Orthodoxie als subversiv betrachten, sehen die Verfechter neuer Denkweisen als Aufklärung." [Gary Hamel] weist darauf hin, dass Dissidenten subversiv sind, aber ihr Ziel nicht Subversion ist.²⁸ Eine Person, die aus Dissens innoviert, tut dies zum Nutzen der Organisation und nicht einfach aus persönlichem Gewinn. Diejenigen, die Veränderungen ablehnen, werden versuchen, so viele Hindernisse wie möglich aufzubauen.</w:t>
      </w:r>
    </w:p>
    <w:p w:rsidR="00000000" w:rsidDel="00000000" w:rsidP="00000000" w:rsidRDefault="00000000" w:rsidRPr="00000000" w14:paraId="000005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Unsere Streitkräfte respektieren und verehren Traditionen. Dies bedeutet, dass es besonders für unsere Organisationen "eine der schwierigsten Aufgaben sein wird, die Menschen dazu zu bringen, zu akzeptieren, dass die Art und Weise, wie sie arbeiten, möglicherweise nicht die beste ist."²⁹ Militärische Organisationen stehen vor vielen Herausforderungen beim Aufbau einer innovativen Kultur. Die Emotionen werden stark fließen. Als Führungskräfte müssen wir uns darauf vorbereiten, "die gefährliche Mischung aus Angst und Selbstzufriedenheit (den Wunsch zu bleiben), wo wir sind, aus Angst vor dem Scheitern, vor zu hohen Ausgaben oder vor falschen Einsätzen"³⁰ zu bewältigen, die wir und unsere Untergebenen empfinden werden. Das starke Gemeinschaftsgefühl und die Erfahrung des Militärs im Umgang mit ähnlich starken Emotionen im Kampfraum werden uns zugutekommen, aber auch einige Nachteile mit sich bringen.</w:t>
      </w:r>
    </w:p>
    <w:p w:rsidR="00000000" w:rsidDel="00000000" w:rsidP="00000000" w:rsidRDefault="00000000" w:rsidRPr="00000000" w14:paraId="000005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Richard Florida, Robert Cushing und Gary Gates präsentieren in ihrem Artikel "When Social Capital Stifles Innovation" Forschungsergebnisse, die zeigen, dass in Kulturen, in denen Gruppenbeziehungen hoch geschätzt werden, "Beziehungen so stark werden können, dass die Gemeinschaft selbstgefällig wird und von außen kommenden Informationen und Herausforderungen abgeschottet ist. Starke Bindungen können auch die Art von Konformität fördern, die Innovation untergräbt".³¹ Einzelpersonen in diesen starken sozialen Gruppen könnten davor zurückschrecken, den Rest der Gruppe zu verärgern, was sicherlich geschehen wird, wenn sie die Art und Weise, wie Dinge getan werden, verändern oder langjährige Überzeugungen infrage stellen wollen. Die Reaktion der Gruppe wird stark von ihren Führern beeinflusst. Wenn sie den Dissidenten verspotten und meiden, werden in Zukunft wahrscheinlich keine neuen Ideen vorgebracht. Die Akzeptanz dieser Dissidenten zu erreichen, erfordert von den meisten von uns, dass wir unsere Reaktionen in verschiedenen Situationen ändern.</w:t>
      </w:r>
    </w:p>
    <w:p w:rsidR="00000000" w:rsidDel="00000000" w:rsidP="00000000" w:rsidRDefault="00000000" w:rsidRPr="00000000" w14:paraId="000005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Führung von disruptivem Wandel ist selbst für die liberalsten Organisationen schwierig. Die etablierte Hierarchie des Militärs und unsere Abhängigkeit von Doktrinen und Standardbetriebsverfahren machen die Herausforderung für uns besonders schwierig. Als Führungskräfte müssen wir erkennen, dass Dissidenten uns Hinweise auf bevorstehende Anpassungsherausforderungen geben. Daher müssen wir "denjenigen Schutz bieten, die auf die internen Widersprüche des Unternehmens hinweisen. Diese Personen haben oft die Perspektive, die zum Umdenken anregen kann, was den Autoritätspersonen fehlt".³² Sobald die Bereiche identifiziert sind, die Veränderungen erfordern, kann es Zeit dauernmanchmal sogar Jahrebis sich Doktrinen ändern, selbst wenn jeder anerkennt, dass die Veränderung notwendig ist. Clayton M. Christensen und Michael Overdorf warnen in ihrem Werk "Meeting the Challenge of Disruptive Change": "Es ist kein Wunder, dass Innovation für etablierte Unternehmen so schwierig ist. Sie beschäftigen hochqualifizierte Mitarbeiter und setzen sie dann in Prozessen und Geschäftsmodellen ein, die zum Scheitern verurteilt sind".³³ Zusätzlich zu den Systemen können wir Probleme haben, das Verhalten derjenigen zu ändern, </w:t>
      </w:r>
    </w:p>
    <w:p w:rsidR="00000000" w:rsidDel="00000000" w:rsidP="00000000" w:rsidRDefault="00000000" w:rsidRPr="00000000" w14:paraId="000005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96</w:t>
      </w:r>
    </w:p>
    <w:p w:rsidR="00000000" w:rsidDel="00000000" w:rsidP="00000000" w:rsidRDefault="00000000" w:rsidRPr="00000000" w14:paraId="000005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als Erste anpassen müssen: unsere leitenden Führungskräfte.</w:t>
      </w:r>
    </w:p>
    <w:p w:rsidR="00000000" w:rsidDel="00000000" w:rsidP="00000000" w:rsidRDefault="00000000" w:rsidRPr="00000000" w14:paraId="000005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Während es im Allgemeinen positiv ist, dass unsere Führungskräfte aufgrund ihrer Leistungen in ihre aktuellen Positionen gelangt sind, bedeutet der gewählte Weg - insbesondere in risikoscheuen, bürokratischen Organisationen in Zeiten des Friedens -, dass sie selten offen ein Scheitern zugeben. Im Allgemeinen haben sie entweder durch Vermeidung von Risiken ein Scheitern vermieden oder Misserfolge rationalisiert, wenn sie auftraten. "Da sie selten versagt haben, haben sie nie gelernt, aus dem Scheitern zu lernen".³⁴ Stattdessen haben sie wahrscheinlich defensive Denkmechanismen entwickelt, um sich davor zu schützen, ihre Arbeitsweise zu ändern. "Darüber hinaus sind diejenigen Mitglieder der Organisation, von denen viele annehmen, dass sie am besten lernen, in der Tat nicht sehr gut darin. Ich spreche von den gut ausgebildeten, hochkarätigen Fachleuten mit hoher Einsatzbereitschaft, die Schlüsselpositionen in der modernen Unternehmensführung innehaben".³⁵ Wir können erkennen, dass ein starker Wunsch und ein starker Wille erforderlich sind, um diese Veränderung herbeizuführen. Um diese Veränderung zu erleichtern, wollen wir uns einige Werkzeuge ansehen, die wir verwenden können, um unseren Kurs zu bestimmen.</w:t>
      </w:r>
    </w:p>
    <w:p w:rsidR="00000000" w:rsidDel="00000000" w:rsidP="00000000" w:rsidRDefault="00000000" w:rsidRPr="00000000" w14:paraId="000005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bei allen bedeutenden Führungsherausforderungen "muss das Experimentieren an der Spitze beginnen".³⁶ Aber wo fangen wir an? Gary Hamel schlägt das Modell des Silicon Valley vor. Die Menschen und Organisationen im Silicon Valley bringen jedes Jahr eine beeindruckende Anzahl innovativer Produkte auf den Markt, angefangen von Computerspielen über Roboterhaustiere bis hin zu Unternehmenssoftware. "Diejenigen, die das Silicon Valley bevölkern, haben keine basketballgroßen Gehirne. Sie leben nicht in einem besonderen Energiefeld. Was das Valley auszeichnet, sind nicht die Menschen oder das Klima, sondern die Art und Weise des Geschäftslebens. Es gibt keine lähmenden bürokratischen Kontrollen, die die Kreativität in traditionellen Unternehmen lähmen".³⁷ In seinem Artikel "Bringing Silicon Valley Inside" behauptet Hamel, dass dynamische Märkte für Ideen, Kapital und Talent die Elemente sind, die das Silicon Valley so innovativ machen.³⁸</w:t>
      </w:r>
    </w:p>
    <w:p w:rsidR="00000000" w:rsidDel="00000000" w:rsidP="00000000" w:rsidRDefault="00000000" w:rsidRPr="00000000" w14:paraId="000005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man diese Elemente in ein militärisches Ethos überträgt, das zumindest in Teilen Hierarchie und Gehorsam benötigt, ist die große Herausforderung. Dies wird von Land zu Land unterschiedlich sein, abhängig von der aktuellen Organisationsstruktur und den kulturellen Normen.</w:t>
      </w:r>
    </w:p>
    <w:p w:rsidR="00000000" w:rsidDel="00000000" w:rsidP="00000000" w:rsidRDefault="00000000" w:rsidRPr="00000000" w14:paraId="000005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 Militärs in der Regel nicht die Möglichkeit haben, Personen von außerhalb der Organisation einzustellen, um neue Ideen oder Praktiken in die Kultur einzubringen, kann der Aufbau eines internen Marktes für Talent die schwierigste Herausforderung sein. Ich möchte vorschlagen, dass die Entwicklung von Personalsystemen, die Einzelpersonen die vorherrschende Kontrolle über ihre Posten geben, einen Weg bieten würde, einen internen Talentmarkt zu entwickeln und die von Hamel beschriebenen Vorteile zu nutzen. Anstatt zentralisierte Postenkontrolle zu haben, würden Kommandeure miteinander konkurrieren, um Menschen dazu zu bewegen, für sie zu arbeiten. Kommandeure, die es versäumen, ihre Mitarbeiter zu führen, könnten Schwierigkeiten haben, talentierte Personen für ihre Organisationen zu rekrutieren. Wenn bestimmte Organisationen Probleme haben, Personal zu finden, könnte dies den obersten Führungskräften anzeigen, dass der Kommandeur seine oder ihre Führungsfähigkeiten überschritten hat.</w:t>
      </w:r>
    </w:p>
    <w:p w:rsidR="00000000" w:rsidDel="00000000" w:rsidP="00000000" w:rsidRDefault="00000000" w:rsidRPr="00000000" w14:paraId="000005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Etablierung eines Marktes für Kapital könnte weitaus einfacher sein als die Etablierung eines Marktes für Talent. Damit möchte ich keineswegs vorschlagen, dass Organisationen all ihr Geld auf den Tisch legen sollen für die persönlichen Projekte aller.</w:t>
      </w:r>
    </w:p>
    <w:p w:rsidR="00000000" w:rsidDel="00000000" w:rsidP="00000000" w:rsidRDefault="00000000" w:rsidRPr="00000000" w14:paraId="000005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E">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97</w:t>
      </w:r>
    </w:p>
    <w:p w:rsidR="00000000" w:rsidDel="00000000" w:rsidP="00000000" w:rsidRDefault="00000000" w:rsidRPr="00000000" w14:paraId="000005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Für Militärs, die gegenüber der Regierung und der Öffentlichkeit Rechenschaft ablegen müssen, wäre dies unmöglich zu rechtfertigen. Stattdessen schlage ich vor, einen Teil des Gesamtbudgets zu identifizieren, der für die Umsetzung neuer Ideen oder Praktiken verwendet werden kann. Anschließend sollten alle Mitglieder der Organisation Projekte vorschlagen können und das Geld entsprechend verteilt werden. Brillante Ideen sind nicht allein das Vorrecht von Führungskräften, und daher sollten allen Mitgliedern die Möglichkeit gegeben werden, das Geld zu nutzen. Natürlich hat ein Gefreiter nicht die Positionsbefugnis, um größere organisatorische Neugestaltungen umzusetzen, aber er oder sie benötigt möglicherweise Startkapital, um ein neues Verfahren zu entwickeln, das in seinem/ihrem Einflussbereich liegt. Die Überwachung der Umsetzung kleiner Projekte kann auch Führungskräften ein gutes Messinstrument geben und aufzeigen, welches Potenzial für beruflichen Aufstieg besteht.</w:t>
      </w:r>
    </w:p>
    <w:p w:rsidR="00000000" w:rsidDel="00000000" w:rsidP="00000000" w:rsidRDefault="00000000" w:rsidRPr="00000000" w14:paraId="000005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Denken Sie jedoch daran, dass der Erfolg nicht das einzige Maß sein sollte. Wenn die ursprüngliche Idee nicht wie geplant funktioniert, ist das, was die Einzelperson und die Organisation aus dem Scheitern lernen und wie sie ihre Pläne anpassen, genauso wichtig, wenn nicht sogar wichtiger als der ursprüngliche Erfolg oder Misserfolg des Plans.</w:t>
      </w:r>
    </w:p>
    <w:p w:rsidR="00000000" w:rsidDel="00000000" w:rsidP="00000000" w:rsidRDefault="00000000" w:rsidRPr="00000000" w14:paraId="000005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 wir Innovation als angewandte Kreativität definiert haben, geht der Vorschlag nicht dahin, dass wir alle unsere aktuellen Management-, Führungs- und Kontrollsysteme zugunsten einer organisatorischen Anarchie über Bord werfen. "Damit Innovation zuverlässig ist, muss sie systematisch angegangen werden, wie jedes geschäftliche Problem, bei dem Sie das Problem definieren und dann lösen: Was möchten wir erreichen und wie? Welche Ressourcen werden wir brauchen? Wer wird im Team sein? Wie motivieren und belohnen wir sie? Und wie werden wir den Erfolg messen?"³⁹ Bevor wir diesen Punkt erreichen, müssen wir jedoch sicherstellen, dass unsere Organisationen bereit sind, die Herausforderung anzunehmen. Wir müssen Menschen haben, die bereit sind, neue und möglicherweise unbeliebte Ideen vorzubringen.</w:t>
      </w:r>
    </w:p>
    <w:p w:rsidR="00000000" w:rsidDel="00000000" w:rsidP="00000000" w:rsidRDefault="00000000" w:rsidRPr="00000000" w14:paraId="000005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Notwendigkeit für militärische Organisationen, innovativ zu sein, ergibt sich daraus, dass wir, wenn wir weiterhin die gleichen Dinge tun wie immer, vorhersehbar werden. Vorhersehbare Militärkräfte führen zu unnötigen Todesfällen in der Schlacht. Kurz gesagt, für militärische Organisationen gilt im wahrsten Sinne des Wortes "Wer das Schwert führt, wird von denen erschossen, die es nicht tun".⁴⁰ Der Aufbau einer innovativen Organisation wird uns helfen, über unsere historischen Beschränkungen hinauszuwachsen.</w:t>
      </w:r>
    </w:p>
    <w:p w:rsidR="00000000" w:rsidDel="00000000" w:rsidP="00000000" w:rsidRDefault="00000000" w:rsidRPr="00000000" w14:paraId="000005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8">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 Ethik und Klarheit</w:t>
      </w:r>
    </w:p>
    <w:p w:rsidR="00000000" w:rsidDel="00000000" w:rsidP="00000000" w:rsidRDefault="00000000" w:rsidRPr="00000000" w14:paraId="000005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A">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Ethiktheorie und angewandte Ethik stehen in engem Zusammenhang: Theorie ohne Anwendung ist steril und nutzlos, aber Handeln ohne theoretische Perspektive ist blind.⁴¹</w:t>
      </w:r>
    </w:p>
    <w:p w:rsidR="00000000" w:rsidDel="00000000" w:rsidP="00000000" w:rsidRDefault="00000000" w:rsidRPr="00000000" w14:paraId="000005CB">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Louis P. Pojman</w:t>
      </w:r>
    </w:p>
    <w:p w:rsidR="00000000" w:rsidDel="00000000" w:rsidP="00000000" w:rsidRDefault="00000000" w:rsidRPr="00000000" w14:paraId="000005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letzter Zeit wurde viel über Werte und Ethik in der Geschäftswelt gesprochen. Ein Geschäftsunternehmen betrachtet seine Wertedefinition als Möglichkeit, sich von anderen Unternehmen abzuheben, um einen Wettbewerbsvorteil bei der Gewinnmaximierung zu erzielen. Militärische Organisationen hingegen streben danach, Werte zu definieren, um das Leben ihrer Mitglieder und die Zivilbevölkerung, der sie einen Eid geschworen haben zu schützen. In großem Maße helfen uns unsere Werte auch dabei, das psychische Wohlbefinden der Menschen in unserer Organisation zu gewährleisten. Die Gewissheit, </w:t>
      </w:r>
    </w:p>
    <w:p w:rsidR="00000000" w:rsidDel="00000000" w:rsidP="00000000" w:rsidRDefault="00000000" w:rsidRPr="00000000" w14:paraId="000005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98</w:t>
      </w:r>
    </w:p>
    <w:p w:rsidR="00000000" w:rsidDel="00000000" w:rsidP="00000000" w:rsidRDefault="00000000" w:rsidRPr="00000000" w14:paraId="000005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dass es selbst im Krieg Dinge gibt, die wir nicht tun werden, verschafft uns eine gewisse psychologische Sicherheit.</w:t>
      </w:r>
    </w:p>
    <w:p w:rsidR="00000000" w:rsidDel="00000000" w:rsidP="00000000" w:rsidRDefault="00000000" w:rsidRPr="00000000" w14:paraId="000005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Grenzen des Verhaltens, die von Militärs festgelegt werden, bestehen manchmal aus einer dünnen, leicht zerbrechlichen Fassade. In seinem Roman "Herr der Fliegen" liefert uns William Golding eine meisterhafte Studie über die Leichtigkeit, mit der die Menschheit ihre zivilisatorische Fassade ablegen kann, wenn sie mit Angst konfrontiert wird, sowie über die Rolle von Militäroffizieren bei der Aufrechterhaltung dieser Fassade. Golding präsentiert uns eine Geschichte einer Gruppe britischer Schulkinder, die sich auf einer unbewohnten Insel selbst versorgen müssen. Ängstlich und allein in einer ungewohnten Umgebung gezwungen, Tiere zu töten, um zu überleben, sehen wir viele Parallelen zu Militärs im Kampf. Golding zeigt uns, dass "Beelzebubs Aufstieg durch Angst, Hysterie, Gewalt und Tod"⁴² erfolgt, alles Elemente, die für Militärs während des Kampfes alltäglich sind.</w:t>
      </w:r>
    </w:p>
    <w:p w:rsidR="00000000" w:rsidDel="00000000" w:rsidP="00000000" w:rsidRDefault="00000000" w:rsidRPr="00000000" w14:paraId="000005D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der Hauptaufgaben eines militärischen Wertesystems besteht darin, dem Verfall der zivilisatorischen Fassade entgegenzuwirken und die Menschlichkeit unserer Soldaten aufrechtzuerhalten. Allerdings ist "die Macht der Zivilisation schwach und anfällig für atavistische, vulkanische Leidenschaften"⁴³. Es liegt in der Verantwortung von Militäroffizieren, Regeln und Prozesse zu etablieren, die den Zusammenbruch der zivilisatorischen Ordnung verhindern. In der Schlussszene von "Herr der Fliegen" ist es ein Marineoffizier, der eingreift und die Herrschaft der Zivilisation in der Gruppe wiederherstellt. Dies erinnert uns eindrücklich an unsere fortwährende Rolle inmitten des Kampfes. Ein verantwortungsbewusster Anführer "ist eine der Dinge, die eine Menge von einem Volk unterscheidet. Er hält das Niveau der Individuen aufrecht. Zu wenige Individuen, und ein Volk verfällt zu einer Menge"⁴⁴. Indem wir sicherstellen, dass unsere Untergebenen als Individuen vernünftig denken und nicht vom Gruppenkonsens erfasst werden, können wir sicherstellen, dass unsere Militäreinheiten keine Mobs werden. Wie sollten Anführer dann das erforderliche Niveau an Individualität aufrechterhalten und die Präsenz der Zivilisation in einer Organisation deutlich machen, die darauf ausgerichtet ist, Gewalt im Namen ihres Landes anzuwenden? Bevor wir diese Frage angehen, wollen wir andere Wege untersuchen, auf die Werte unsere Organisationen beeinflussen.</w:t>
      </w:r>
    </w:p>
    <w:p w:rsidR="00000000" w:rsidDel="00000000" w:rsidP="00000000" w:rsidRDefault="00000000" w:rsidRPr="00000000" w14:paraId="000005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Wenn wir einen Satz von Werten festlegen, müssen wir uns daran erinnern, warum wir dies tun. "Wertinitiativen haben nichts mit Konsensbildung zu tun - sie zielen darauf ab, einen Satz grundlegender, strategisch fundierter Überzeugungen einer breiten Gruppe von Menschen aufzuerlegen"⁴⁵. Menschen dazu zu zwingen, sich einem etablierten Satz von Werten anzupassen, wird nicht schmerzlos sein. Einige werden sich wie Außenseiter fühlen. Viele müssen ihr Verhalten, wenn nicht sogar ihre Überzeugungen, ändern. Wertinitiativen "beschränken die strategische und operative Freiheit einer Organisation und begrenzen das Verhalten ihrer Mitarbeiter. Sie machen Führungskräfte schon bei geringfügigen Verstößen angreifbar. Und sie erfordern ständige Wachsamkeit"⁴⁶.</w:t>
      </w:r>
    </w:p>
    <w:p w:rsidR="00000000" w:rsidDel="00000000" w:rsidP="00000000" w:rsidRDefault="00000000" w:rsidRPr="00000000" w14:paraId="000005D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Warum sollte eine Organisation sich diesen Schmerz antun? Werte haben starke Vorteile. "Sie dienen als feste Bezugspunkte. Sie bestimmen auf universeller Basis, was richtig und falsch, angemessen und unangemessen ist, jedes Mal"⁴⁷. Wenn ein Schiff den Hafen verlässt, muss die Besatzung bekannte Punkte nutzen, um die Position des Schiffes zu bestimmen. Ob es sich um Himmelskörper, feste Landmarken oder umkreisende Global Positioning System-Satelliten </w:t>
      </w:r>
    </w:p>
    <w:p w:rsidR="00000000" w:rsidDel="00000000" w:rsidP="00000000" w:rsidRDefault="00000000" w:rsidRPr="00000000" w14:paraId="000005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B">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99</w:t>
      </w:r>
    </w:p>
    <w:p w:rsidR="00000000" w:rsidDel="00000000" w:rsidP="00000000" w:rsidRDefault="00000000" w:rsidRPr="00000000" w14:paraId="000005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handelt, diese bekannten Punkte ermöglichen es der Besatzung, zu bestimmen, wo sie sich befinden und wie sie einen Kurs zu ihrem Ziel setzen können. In ihrem Artikel "Ethik, Tugendhaftigkeit und ständiger Wandel" präsentiert Professor Kim Cameron die Ergebnisse mehrerer Studien, die einen Zusammenhang zwischen der Tugendhaftigkeit einer Organisation und ihrer Leistungsfähigkeit aufzeigen. Die Auswertung der Ergebnisse führt zu dem Schluss, dass Organisationen mit einer hohen Tugendhaftigkeitsbewertung signifikant besser abschneiden als Organisationen mit einer niedrigen Bewertung.⁴⁸ Sie kommt zu dem Schluss, dass tugendhaftere Unternehmen mehr Geld verdienen, sich schneller von Restrukturierungsmaßnahmen erholen, Kunden und Mitarbeiter effektiver binden und innovativer sind als nicht-tugendhafte Unternehmen. Bei der Bewertung der Tugendhaftigkeit der Organisationen wurden Werte wie Mitgefühl, Integrität, Vergebung, Vertrauen und Optimismus berücksichtigt.⁴⁹ Die Definition der gewünschten Werte wird jedoch einfacher sein als die Schaffung eines Verhaltenskodexes, der diese Handlungen fördert. </w:t>
      </w:r>
    </w:p>
    <w:p w:rsidR="00000000" w:rsidDel="00000000" w:rsidP="00000000" w:rsidRDefault="00000000" w:rsidRPr="00000000" w14:paraId="000005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Etablierung einer Reihe von Leitwerten, die das ethische Denken lenken, könnte eine robusterer ethische Kultur bieten als der Versuch, Verhalten mit Regeln und Vorschriften zu regulieren. Malham M. Wakin warnt davor, dass "Unreife oder ungebildete Personen ihre ethischen Perspektiven häufig auf das Verhalten beschränken, das explizit im Verhaltenskodex festgelegt ist, sodass das, was ursprünglich als Mindestangabe gedacht war, als umfassender Leitfaden für ethisches Handeln behandelt wird".⁵⁰ Eine der sicherlich vielen Ursachen der jüngsten Krise der Unternehmensführung in den Vereinigten Staaten von Amerika waren die regelbasierten rechtlichen und buchhalterischen Systeme, die es Unternehmen ermöglichten, Schlupflöcher zu finden, die sie nutzen konnten, um ihre bösen Absichten zu verwirklichen, während sie den Buchstaben des Gesetzes einhielten. Da sie anscheinend darauf bedacht waren, den Regeln zu folgen, haben sie nie innegehalten und sich gefragt, ob der eingeschlagene Weg zu einem vorteilhaften Ziel führte.⁵¹</w:t>
      </w:r>
    </w:p>
    <w:p w:rsidR="00000000" w:rsidDel="00000000" w:rsidP="00000000" w:rsidRDefault="00000000" w:rsidRPr="00000000" w14:paraId="000005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Oben wurden einige Werte aufgeführt, die für unsere Militärs angemessen sein könnten. Wir müssen jedoch erkennen, dass unsere Organisationen aus anderen Gründen existieren als Unternehmen und zur Erreichung unserer Ziele andere Mittel verwenden als andere Regierungsorgane. Aus diesem Grund kann ein organisatorischer Wert wie "nicht ohne Genehmigung töten" auf unserer Liste angemessen sein. Denn letztendlich könnten wir aufgefordert werden, für unser Land zu töten, und daher sind die Konsequenzen unserer Entscheidungen erheblich schwerwiegender. Die Förderung des ethischen Denkens anstatt des Diktierens des Verhaltens könnte daher ein effektiverer Weg sein, dem zu folgen.⁵²</w:t>
      </w:r>
    </w:p>
    <w:p w:rsidR="00000000" w:rsidDel="00000000" w:rsidP="00000000" w:rsidRDefault="00000000" w:rsidRPr="00000000" w14:paraId="000005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oben untersucht wurde, kann die Entwicklung und Durchsetzung eines Wertesystems in einer Organisation Schmerzen verursachen. Einige versuchen, diesen Schmerz zu vermeiden, indem sie vage oder nicht durchgesetzte oder sogar undurchsetzbare Wertesätze entwickeln.⁵³ Einige Führungskräfte halten diese Art von Aussagen für harmlos, aber in Wirklichkeit "sind sie oft sehr zerstörerisch. Leere Werteaussagen führen zu zynischen und entmutigten Mitarbeitern... und untergraben die Glaubwürdigkeit des Managements".⁵⁴ Alternativ versuchen einige Organisationen, alle möglichen Eventualitäten abzudecken und schaffen damit komplexe Verhaltenskodizes. Übermäßig komplexe Werteaussagen können zu Verwirrung führen, dazu führen, dass sie ignoriert werden, oder Mitarbeiter nutzen sie, um ihre Handlungen zu rechtfertigen, wie sie es wünschen.</w:t>
      </w:r>
    </w:p>
    <w:p w:rsidR="00000000" w:rsidDel="00000000" w:rsidP="00000000" w:rsidRDefault="00000000" w:rsidRPr="00000000" w14:paraId="000005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Baker warnt davor, wachsam zu sein bezüglich "Entscheidungen, die dem Buchstaben des Gesetzes folgen, aber</w:t>
      </w:r>
    </w:p>
    <w:p w:rsidR="00000000" w:rsidDel="00000000" w:rsidP="00000000" w:rsidRDefault="00000000" w:rsidRPr="00000000" w14:paraId="000005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7">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100</w:t>
      </w:r>
    </w:p>
    <w:p w:rsidR="00000000" w:rsidDel="00000000" w:rsidP="00000000" w:rsidRDefault="00000000" w:rsidRPr="00000000" w14:paraId="000005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 Geist des Gesetzes zuwiderlaufen. [Beispielsweise] sind heutzutage die Buchhaltungsregeln so esoterisch und schwer verständlich, dass man sich buchstäblich innerhalb der rechtlichen Grenzen einer bestimmten Regel befinden kann, aber weit außerhalb ihres Sinnes."⁵⁵</w:t>
      </w:r>
    </w:p>
    <w:p w:rsidR="00000000" w:rsidDel="00000000" w:rsidP="00000000" w:rsidRDefault="00000000" w:rsidRPr="00000000" w14:paraId="000005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 James Wilson in "The Moral Sense" sagte: "Ich bin ein wenig skeptisch gegenüber jeder Theorie, die besagt, dass die höchste moralische Stufe eine ist, in der die Menschen wie College-Professoren sprechen".⁵⁶ Wir brauchen die theoretische Perspektive, aber als Mitglieder militärischer Organisationen müssen wir diese Perspektive nutzen, um unsere täglichen Handlungen zu lenken.</w:t>
      </w:r>
    </w:p>
    <w:p w:rsidR="00000000" w:rsidDel="00000000" w:rsidP="00000000" w:rsidRDefault="00000000" w:rsidRPr="00000000" w14:paraId="000005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Gegensatz zu unserer Doktrin, Taktiken und Standardbetriebsverfahren, die sich je nach Bildungsstand und Ausbildung in unseren Organisationen und je nach Veränderungen in der Technologie ändern, müssen unsere Werte relativ konstant bleiben. Wie bei allen Dingen, die mit organisatorischer Führung zu tun haben, sollten sie regelmäßig überprüft und geklärt werden, aber grundlegende Veränderungen oder Änderungen sollten selten sein. "Die Entwicklung eines lehrbaren Standpunkts ist ein entscheidender Schritt für jeden Anführer, insbesondere wenn wesentliche Themen wie Ethik... in einer Organisation dargestellt und kommuniziert werden müssen".⁵⁷ Um zu verstehen, wie wir unseren ethischen lehrbaren Standpunkt entwickeln können, kann es hilfreich sein, etwas über unsere ethische Entwicklung zu verstehen.</w:t>
      </w:r>
    </w:p>
    <w:p w:rsidR="00000000" w:rsidDel="00000000" w:rsidP="00000000" w:rsidRDefault="00000000" w:rsidRPr="00000000" w14:paraId="000005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zunehmendem Alter entwickeln sich unsere kognitiven und physischen Fähigkeiten parallel. Genauso wie unsere Mobilität sich vom Krabbeln über das Gehen bis zum Rennen entwickelt, gibt es auch entwicklungsbedingte Stadien in unserem moralischen Denken. Lawrence Kohlberg definiert in seinem Modell zur moralischen Entwicklung drei Stadien: vorkonventionelle Moral, konventionelle Moral und postkonventionelle Moral. Wir neigen dazu, uns von vorkonventioneller ("Ich sollte mich auf eine bestimmte Weise verhalten, sonst bekomme ich Ärger") zu konventioneller Moral ("Wir müssen eine Aufgabe gemeinsam erledigen, daher halte ich mich an die Regeln") in der frühen Adoleszenz zu bewegen. Obwohl es einige Debatten über Kohlbergs postkonventionelle Stufe gibt,⁵⁸ betreten wir sie, wenn wir anfangen, individuelle Rechte gegen die Wünsche der Gruppen oder Gesellschaften, denen wir angehören, abzuwägen. Dies geschieht in der Regel im späten Jugendalter.⁵⁹ Da die meisten unserer Rekruten in die Armee eintreten, wenn sie die postkonventionelle Phase der moralischen Entwicklung durchlaufen, haben wir die Möglichkeit und Verantwortung, ihnen bei der Entwicklung ihres moralischen Denkens zu helfen. Ein klar definiertes ethisches System ist grundlegend, um dieses Ziel zu erreichen und wie wir gesehen haben, kann es auch andere positive organisatorische Vorteile haben. Wie wir dies erreichen können und ob unsere angegebenen Werte der Realität innerhalb unserer Streitkräfte entsprechen, bildet einen großen Teil des nächsten Grundsatzes der organisatorischen Bereitschaft.</w:t>
      </w:r>
    </w:p>
    <w:p w:rsidR="00000000" w:rsidDel="00000000" w:rsidP="00000000" w:rsidRDefault="00000000" w:rsidRPr="00000000" w14:paraId="000005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F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Redlichkeit (Probity)</w:t>
      </w:r>
    </w:p>
    <w:p w:rsidR="00000000" w:rsidDel="00000000" w:rsidP="00000000" w:rsidRDefault="00000000" w:rsidRPr="00000000" w14:paraId="000005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Es ist eine wunderbare Harmonie, wenn Handeln und Sprechen übereinstimmen.⁶⁰</w:t>
      </w:r>
    </w:p>
    <w:p w:rsidR="00000000" w:rsidDel="00000000" w:rsidP="00000000" w:rsidRDefault="00000000" w:rsidRPr="00000000" w14:paraId="000005F5">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Michel Eyquem de Montaigne</w:t>
      </w:r>
    </w:p>
    <w:p w:rsidR="00000000" w:rsidDel="00000000" w:rsidP="00000000" w:rsidRDefault="00000000" w:rsidRPr="00000000" w14:paraId="000005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erkennen, dass wir als Militärs dazu neigen, aus den jeweiligen Bevölkerungsgruppen unserer Länder Jugendliche anzuwerben, und somit über eine bedeutende Fähigkeit und Verantwortung verfügen, das moralische Denken unserer Menschen zu formen. Unser lehrbarer Standpunkt wird am besten durch Beispiel vermittelt. "Letztendlich ist Glaubwürdigkeit im Geschäftsleben ebenso wie in der Politik schwer zu erlangen,</w:t>
      </w:r>
    </w:p>
    <w:p w:rsidR="00000000" w:rsidDel="00000000" w:rsidP="00000000" w:rsidRDefault="00000000" w:rsidRPr="00000000" w14:paraId="000005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101</w:t>
      </w:r>
    </w:p>
    <w:p w:rsidR="00000000" w:rsidDel="00000000" w:rsidP="00000000" w:rsidRDefault="00000000" w:rsidRPr="00000000" w14:paraId="000005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aber sehr leicht zu verlieren".⁶¹</w:t>
      </w:r>
    </w:p>
    <w:p w:rsidR="00000000" w:rsidDel="00000000" w:rsidP="00000000" w:rsidRDefault="00000000" w:rsidRPr="00000000" w14:paraId="000005F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Definieren und kommunizieren eines klaren Wertesystems ist nutzlos, es sei denn, wir ergreifen auch Maßnahmen, um sicherzustellen, dass sie fest in der Kultur unserer Streitkräfte verankert sind und von allen Mitgliedern der Organisation befolgt werden.</w:t>
      </w:r>
    </w:p>
    <w:p w:rsidR="00000000" w:rsidDel="00000000" w:rsidP="00000000" w:rsidRDefault="00000000" w:rsidRPr="00000000" w14:paraId="000005F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Redlichkeit bedeutet Aufrichtigkeit und Ehrlichkeit.⁶² Als Führungskräfte im militärischen Beruf ist es nicht ausreichend, einfach nur persönlich ehrlich und aufrichtig zu sein. Wir müssen sicherstellen, dass unsere Organisationen - genauer gesagt, jeder einzelne innerhalb des Militärs - moralisch und aufrichtig handeln.</w:t>
      </w:r>
    </w:p>
    <w:p w:rsidR="00000000" w:rsidDel="00000000" w:rsidP="00000000" w:rsidRDefault="00000000" w:rsidRPr="00000000" w14:paraId="0000060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 eigenen Wertesystem gerecht zu werden, kann herausfordernd sein. Es mag politische, finanzielle und soziale Drucke geben, um Abkürzungen zu nehmen. "Es ist viel schwieriger, klar und ohne Entschuldigung für das einzustehen, was man repräsentiert, als politisch korrekten Druck nachzugeben",⁶³ aber es ist entscheidend, wenn wir ein gesundes moralisches Klima in unseren Streitkräften aufrechterhalten wollen. "Der Test [für unsere Führer] sollte moralischer Mut sein... Entschlossenheit und Tapferkeit, nicht die, die durch Ehrgeiz geschärft wird, sondern die, die Weisheit und Vernunft in einer wohlgeordneten Seele verankern können".⁶⁴</w:t>
      </w:r>
    </w:p>
    <w:p w:rsidR="00000000" w:rsidDel="00000000" w:rsidP="00000000" w:rsidRDefault="00000000" w:rsidRPr="00000000" w14:paraId="000006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Viele Organisationen haben Werteaussagen an ihren Wänden. Was passiert, wenn sie diesen Werten nicht gerecht werden, wurde kürzlich in den Vereinigten Staaten erlebt. Der Konkurs der Enron Corporation zeigte einige große Ironien für diejenigen, die Wertesysteme und -aussagen untersuchten. In ihrem Jahresbericht von 2000 nannte Enron ihre Werte als Kommunikation, Respekt, Integrität und Exzellenz. Darüber hinaus hieß es: "Wir haben die Verpflichtung zu kommunizieren. Hier nehmen wir uns die Zeit, miteinander zu sprechen... und zuzuhören. Wir glauben, dass Informationen in Bewegung sein sollen und dass Informationen Menschen bewegen".⁶⁵</w:t>
      </w:r>
    </w:p>
    <w:p w:rsidR="00000000" w:rsidDel="00000000" w:rsidP="00000000" w:rsidRDefault="00000000" w:rsidRPr="00000000" w14:paraId="000006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August 2001 warnte Sherron Watkins (Vizepräsidentin für Unternehmensentwicklung bei Enron) Ken Lay (CEO von Enron) vor finanziellen Problemen, die auf "einer Welle von Buchhaltungsskandalen" beruhten.⁶⁶ Trotz des erklärten Unternehmenswerts der Kommunikation förderte Lay den Kauf von Unternehmensaktien sowohl bei den eigenen Mitarbeitern als auch bei der allgemeinen Anlegerschaft. Als das Unternehmen schließlich Insolvenz anmeldete, verloren Tausende von Menschen, insbesondere diejenigen mit Firmen-401(k)-Plänen, einen erheblichen Teil ihrer Ersparnisse.⁶⁷ Während es sicherlich Lehren aus diesem Vorfall gibt, lassen sich möglicherweise direktere Parallelen zum Fall der Wirtschaftsprüfer von Enron, Arthur Andersen LLP, ziehen.</w:t>
      </w:r>
    </w:p>
    <w:p w:rsidR="00000000" w:rsidDel="00000000" w:rsidP="00000000" w:rsidRDefault="00000000" w:rsidRPr="00000000" w14:paraId="000006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gibt nur wenige Beweise dafür, dass Enron seine erklärten Werte jemals ernst genommen hat. Arthur Andersen hatte jedoch eine lange Geschichte des Handelns nach einem starken moralischen Kompass. Innerhalb eines Jahres nach Gründung seiner Wirtschaftsprüfungsfirma weigerte sich Arthur Andersen, die Bücher eines Kunden aus der Eisenbahnbranche zu zertifizieren. Andersen verlor den Kunden, setzte jedoch das Beispiel, das sich zum Unternehmenswert der Unabhängigkeit entwickelte. Jahrzehntelang prägte die Firma diesen Wert in ihre Mitarbeiter, Partner und Unternehmensstruktur. Wann genau sie von diesem Kernwert abzudriften begann, ist umstritten, aber dies geschah eindeutig in den 1990er Jahren. Als Arthur Andersen im Jahr 2000 die Finanzberichte von Enron abzeichnete, die im Oktober 2001 korrigiert werden mussten und den Unternehmenswert um 1,2 Milliarden US-Dollar verringerten, besiegelte Andersen sein eigenes Schicksal. Die Verurteilung wegen </w:t>
      </w:r>
    </w:p>
    <w:p w:rsidR="00000000" w:rsidDel="00000000" w:rsidP="00000000" w:rsidRDefault="00000000" w:rsidRPr="00000000" w14:paraId="000006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9">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102</w:t>
      </w:r>
    </w:p>
    <w:p w:rsidR="00000000" w:rsidDel="00000000" w:rsidP="00000000" w:rsidRDefault="00000000" w:rsidRPr="00000000" w14:paraId="000006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Justizbehinderung und der letztendliche Untergang des Unternehmens waren vorherbestimmt.</w:t>
      </w:r>
    </w:p>
    <w:p w:rsidR="00000000" w:rsidDel="00000000" w:rsidP="00000000" w:rsidRDefault="00000000" w:rsidRPr="00000000" w14:paraId="000006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Ironischerweise haben die gleichen Prinzipien, die Arthur Andersen geholfen haben, einen starken ethischen Kompass in seinen Mitarbeitern zu entwickeln, auch den Grundstein für seinen Untergang gelegt. "Wie viele visionäre Unternehmen, die erhebliche Energie und Ressourcen darauf verwenden, ihre Grundprinzipien zu bewahren, hat Arthur Andersen junge Mitarbeiter rekrutiert, intensiv geschult und eine Kultur gefördert, die ein Gefühl der Verantwortung gegenüber der Anlegergemeinschaft hervorbrachte".⁶⁸ Von Nicht-Andersen-Mitarbeitern als "Androide" bezeichnet, wurde eine Kultur der Gehorsamkeit gegenüber Regeln und Führungskräften gefördert und gepflegt. "Wenn die Regeln und Führungskräfte für Anstand und Integrität standen, war die gleichgerichtete Kultur der Schlüssel zur Kompetenz und Seriosität", schrieb Barbara Ley Toffler, Partnerin für Ethik und verantwortungsvolles Geschäftsverhalten bei Andersen von 1995 bis 1999. Als sich das Spiel und die Führungskräfte in eine andere Richtung entwickelten, führte die Kultur der Konformität zur Katastrophe.⁶⁹</w:t>
      </w:r>
    </w:p>
    <w:p w:rsidR="00000000" w:rsidDel="00000000" w:rsidP="00000000" w:rsidRDefault="00000000" w:rsidRPr="00000000" w14:paraId="000006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Andersen hatte keine Struktur geschaffen, die es den Menschen ermöglicht hätte, die moralische Integrität der Führungskräfte in Frage zu stellen, sodass sie das Unternehmen in den Ruin führten. Wenn Andersen seine Rolle als Wirtschaftsprüfer erfüllt hätte, hätte Enron vielleicht nicht Insolvenz anmelden müssen. Während es eine Tragödie ist, dass so viele Menschen große Teile ihrer Altersvorsorge verloren haben, können sie sich im Laufe der Zeit und durch vernünftiges Investieren erholen. Wenn militärische Organisationen von ihren Grundwerten abweichen, verlieren die Menschen nicht ihre Altersvorsorge, sondern ihr Leben. Ein wichtiger Punkt in diesem Fall ist, dass die Führungskräfte von Andersen wussten, dass sie die ethischen Überzeugungen ihrer Mitarbeiter formen konnten und ursprünglich genau das beabsichtigten.</w:t>
      </w:r>
    </w:p>
    <w:p w:rsidR="00000000" w:rsidDel="00000000" w:rsidP="00000000" w:rsidRDefault="00000000" w:rsidRPr="00000000" w14:paraId="000006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Oben haben wir Kohlbergs Stufen der moralischen Entwicklung untersucht und festgestellt, dass wir Rekruten genau zu dem Zeitpunkt aufnehmen, an dem sie die Anfänge des postkonventionellen Denkens entwickeln. Wenn sie nicht regelmäßig Beispiele von Organisationsmitgliedern sehen, die nach den angegebenen Werten leben, wird dies ihr moralisches Verhalten auf eine Weise modellieren, die unsere Länder möglicherweise Jahrzehnte später bedauern werden. Wir haben es in unserer Macht, ihre moralische Entwicklung entlang gerechter und fürsorglicher Linien zu formen. Wenn Vorbilder und Führungspersönlichkeiten "das tun, was sie predigen, haben ihre moralischen Prinzipien eine Wirkung. Das war bei den fürsorglichen Eltern der Fall, die mutig Juden im nationalsozialistischen Europa beschützten... Und wenn moralische Ideen in die Tat umgesetzt werden, werden sie stärker. Wir neigen genauso dazu, uns in eine Denkweise hineinzuhandeln, wie wir uns hineinzudenken. Sich aufzurichten und Stellung zu beziehen, unsere Überzeugungen zu erklären und zu verteidigen, Geld und Energie zu investieren bedeutet, noch stärker an unsere Überzeugungen zu glauben."⁷⁰ Nur indem wir an unsere Überzeugungen glauben, können wir unsere Streitkräfte zu Organisationen formen, auf die unsere Länder stolz sein können, anstatt sie auf der internationalen Bühne zu blamieren.⁷¹</w:t>
      </w:r>
    </w:p>
    <w:p w:rsidR="00000000" w:rsidDel="00000000" w:rsidP="00000000" w:rsidRDefault="00000000" w:rsidRPr="00000000" w14:paraId="000006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müssen Menschen entwickeln, die über das verfügen, was "der Romantiker Clausewitz als 'einen Verstand bezeichnete, der selbst in der dunkelsten Stunde noch einige Schimmer des inneren Lichts bewahrt, das zur Wahrheit führt, und zweitens den Mut, diesem schwachen Licht zu folgen, wohin es auch führen mag' ".⁷² In den letzten Jahrzehnten haben Angehörige von Streitkräften aus Ländern, die sonst als fortschrittlich, kultiviert und zivilisiert galten, Handlungen begangen,</w:t>
      </w:r>
    </w:p>
    <w:p w:rsidR="00000000" w:rsidDel="00000000" w:rsidP="00000000" w:rsidRDefault="00000000" w:rsidRPr="00000000" w14:paraId="000006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5">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103</w:t>
      </w:r>
    </w:p>
    <w:p w:rsidR="00000000" w:rsidDel="00000000" w:rsidP="00000000" w:rsidRDefault="00000000" w:rsidRPr="00000000" w14:paraId="000006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ihnen Schade und Schande gebracht haben.⁷³</w:t>
      </w:r>
    </w:p>
    <w:p w:rsidR="00000000" w:rsidDel="00000000" w:rsidP="00000000" w:rsidRDefault="00000000" w:rsidRPr="00000000" w14:paraId="000006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Kurz gesagt, "Integrität, Mitgefühl und Vertrauen... schaffen eine Umgebung, in der Menschen ermutigt werden, ihr Bestes zu geben, in der Innovationsfreude, Loyalität und Qualität wahrscheinlich höher sind. Das ist der Tugendkreislauf. Die verstärkende Natur der Tugendhaftigkeit führt dazu, dass sie sich selbst reproduziert und im Laufe der Zeit die Leistungsfähigkeit der Organisation verbessert".⁷⁴ Es wäre ratsam, sich an den Rat von Gianfrancesco Pico Iella Mirandola zu erinnern: "Wenn wir den Feind und den Abtrünnigen für unseren Glauben zurückgewinnen wollen, ist es wichtiger, der gefallenen Moral ihre alte Tugendherrschaft wiederherzustellen, als dass wir mit unserer Flotte das Eurinische Meer durchkreuzen sollten".⁷⁵ Natürlich wäre es viel besser, wenn wir handeln, um den moralischen Stand unserer Streitkräfte aufrechtzuerhalten, bevor er fällt und wiederhergestellt werden muss.</w:t>
      </w:r>
    </w:p>
    <w:p w:rsidR="00000000" w:rsidDel="00000000" w:rsidP="00000000" w:rsidRDefault="00000000" w:rsidRPr="00000000" w14:paraId="000006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Kulturelle Gesundheit</w:t>
      </w:r>
    </w:p>
    <w:p w:rsidR="00000000" w:rsidDel="00000000" w:rsidP="00000000" w:rsidRDefault="00000000" w:rsidRPr="00000000" w14:paraId="000006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"Sie bat mich, ihr zu sagen, was es bedeutet zu herrschen", sagte Paul. Und ich sagte, dass man befiehlt. "Und sie sagte, ich müsse einiges verlernen... Sie sagte, ein Herrscher müsse lernen, zu überzeugen und nicht zu zwingen. Sie sagte, er müsse das beste Kaffeefeuer entfachen, um die besten Männer anzulocken".⁷⁶</w:t>
      </w:r>
    </w:p>
    <w:p w:rsidR="00000000" w:rsidDel="00000000" w:rsidP="00000000" w:rsidRDefault="00000000" w:rsidRPr="00000000" w14:paraId="00000620">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Frank Herbert</w:t>
      </w:r>
    </w:p>
    <w:p w:rsidR="00000000" w:rsidDel="00000000" w:rsidP="00000000" w:rsidRDefault="00000000" w:rsidRPr="00000000" w14:paraId="000006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Streitkräfte existieren grundlegend, um die Bürger, Interessen und Werte der Gesellschaft und des Landes, dem sie dienen, zu schützen. Zwei der ersten Fragen, die wir ehrlich beantworten müssen, um den kulturellen Zustand unserer Streitkräfte zu bestimmen, lauten: Spiegeln wir die Gesellschaft wider, der wir dienen, und sind wir eine Ehre für diese Gesellschaft?</w:t>
      </w:r>
    </w:p>
    <w:p w:rsidR="00000000" w:rsidDel="00000000" w:rsidP="00000000" w:rsidRDefault="00000000" w:rsidRPr="00000000" w14:paraId="000006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 unsere Untergebenen bereit und in der Lage sind, uns Antworten auf diese Fragen zu geben, wird auch den Zustand der Kultur unserer Organisation anzeigen. Starke interne Stimmen, die auf eine innovative Kultur hinweisen, werden auch in der Lage sein, ethische Fragen aufzuwerfen und offen zu diskutieren. Mit geschwächten internen Stimmen wird die Fähigkeit unserer Streitkräfte, interne und gesellschaftliche Anliegen zu hören, verringert, was zu ihrer Erstarrung führt. Das Zuhören dieser Stimmen wird uns helfen, die Werte und Ziele unserer Gesellschaft widerzuspiegeln.</w:t>
      </w:r>
    </w:p>
    <w:p w:rsidR="00000000" w:rsidDel="00000000" w:rsidP="00000000" w:rsidRDefault="00000000" w:rsidRPr="00000000" w14:paraId="000006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internen Stimmen können auf viele subtile Weisen zum Schweigen gebracht werden. Eine der häufigsten ist, dass Vorgesetzte Konflikte vermeiden, indem sie das Positive betonen und Diskussionen über negative Themen innerhalb ihrer Arbeitsgruppen vermeiden. "Die Betonung des Positiven geht abwertend davon aus, dass Mitarbeiter nur in einer fröhlichen Welt funktionieren können, auch wenn die Fröhlichkeit falsch ist".⁷⁷</w:t>
      </w:r>
    </w:p>
    <w:p w:rsidR="00000000" w:rsidDel="00000000" w:rsidP="00000000" w:rsidRDefault="00000000" w:rsidRPr="00000000" w14:paraId="000006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 Tuchman, eine Pionierin der Gruppenentwicklungstheorie, entwickelte das heute standardmäßige Vier-Phasen-Modell der Teamentwicklung: Bildung, Konflikt, Normierung und Leistung.⁷⁸ Wenn wir Konflikte ständig vermeiden, werden wir niemals die Entwicklungsphase des "Konflikts" durchlaufen und verhindern somit, dass unsere Organisationen ihr Potenzial ausschöpfen. Ja, wir dürfen nicht zulassen, dass der Konflikt in persönliche Angriffe ausartet, aber "Führungskräfte, die emotionale Stärke fördern, lernen schnell, was sie erreichen können, wenn sie das Wohlergehen ihrer Anhänger maximieren, anstatt sich um ihren eigenen Komfort zu kümmern".⁷⁹ Die Zulassung von Dissens, der Schutz derer, die unbeliebte Ideen äußern, und die Entwicklung der emotionalen Stärke unserer Untergebenen sind nicht die einzigen Führungsherausforderungen, denen wir gegenüberstehen werden.</w:t>
      </w:r>
    </w:p>
    <w:p w:rsidR="00000000" w:rsidDel="00000000" w:rsidP="00000000" w:rsidRDefault="00000000" w:rsidRPr="00000000" w14:paraId="000006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A">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104</w:t>
      </w:r>
    </w:p>
    <w:p w:rsidR="00000000" w:rsidDel="00000000" w:rsidP="00000000" w:rsidRDefault="00000000" w:rsidRPr="00000000" w14:paraId="000006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Führungs herausforderungen im Zusammenhang mit strukturellen Veränderungen in der Organisation können noch schwerer zu bewältigen sein. "Wenn die Fähigkeiten in Prozessen und Werten verankert sind und insbesondere wenn sie in der Kultur verwurzelt sind, kann der Wandel außerordentlich schwierig sein".⁸⁰ Oftmals werden in unseren Streitkräften organisatorische Fähigkeiten und Strukturen so lange unhinterfragt beibehalten, dass sie und ihre Ergebnisse mit Werten verwechselt werden. In solchen Fällen können Diskussionen schnell polarisiert werden, und allein die Debatte selbst, ganz zu schweigen von etwaigen darauffolgenden Veränderungen, ist schmerzhaft. Führungskräfte können ihre Organisationen durch diese Veränderungen führen, indem sie Fragen stellen anstatt Antworten zu geben.</w:t>
      </w:r>
    </w:p>
    <w:p w:rsidR="00000000" w:rsidDel="00000000" w:rsidP="00000000" w:rsidRDefault="00000000" w:rsidRPr="00000000" w14:paraId="000006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 müssen unsere Mitarbeiterinnen und Mitarbeiter der Realität der Welt, in der wir leben, aussetzen, anstatt sie vor Veränderungen abzuschirmen. Indem wir allen Mitgliedern unserer Organisation ermöglichen, Teil des Wandlungsprozesses zu werden, anstatt nur Spielfiguren im System zu sein, können wir Probleme ansprechen, die angegangen werden müssen, und ihnen ermöglichen, Ziele zu setzen, die ihre besten Anstrengungen verdienen. Anstatt Konflikte zu unterdrücken, müssen Führungskräfte die Themen offenlegen. "Anstatt Normen aufrechtzuerhalten, müssen Führungskräfte 'die Art und Weise, wie wir Geschäfte machen', in Frage stellen und anderen helfen, unveränderliche Werte von historischen Praktiken zu unterscheiden, die abgeschafft werden müssen".⁸¹ Um unsere Kultur erfolgreich anzupassen, müssen wir die Furcht und den Schmerz des Wandels verstehen, aber dennoch eine ruhige Hand am Steuer und Druck auf unsere Untergebenen ausüben, um zu lernen und sich anzupassen. Wir müssen "Vertrauen vermitteln, dass [wir] und sie die bevorstehenden Aufgaben bewältigen können".⁸² Die Gewährleistung einer vielfältigen Organisation, die die Gesellschaften widerspiegelt, denen wir dienen, kann ein großer Vorteil sein, wenn wir organisatorische Veränderungen vornehmen wollen.</w:t>
      </w:r>
    </w:p>
    <w:p w:rsidR="00000000" w:rsidDel="00000000" w:rsidP="00000000" w:rsidRDefault="00000000" w:rsidRPr="00000000" w14:paraId="000006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Unsere Streitkräfte sollten nicht mit der Gesellschaft übereinstimmen, sondern vielmehr die Werte und Zusammensetzung der Gesellschaft widerspiegeln, die wir dienen. Zum Beispiel gibt es in vielen Gesellschaften Gruppen von Kriegsdienstverweigerern oder Pazifisten. Obwohl sie in der Gesellschaft insgesamt eine wichtige Sichtweise einnehmen können, wäre ihre Präsenz innerhalb einer militärischen Gemeinschaft zerstörerisch. Leider gibt es in jedem Land auch eine Gruppe von gewohnheitsmäßigen Kriminellen. Die Streitkräfte sind durchaus berechtigt, diese Gruppen aus ihren Reihen zu eliminieren. </w:t>
      </w:r>
    </w:p>
    <w:p w:rsidR="00000000" w:rsidDel="00000000" w:rsidP="00000000" w:rsidRDefault="00000000" w:rsidRPr="00000000" w14:paraId="000006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ist wichtig zu beachten, dass es die Ideen und Werte dieser Gruppen sind, nicht die Individuen selbst, die so stark im Konflikt mit den Werten unserer Streitkräfte stehen und die wir von unserer Organisationsstruktur ausschließen können. Abgesehen von offensichtlichen Gruppen wie den oben genannten, wird das Streben danach, die kulturelle Zusammensetzung der Gesellschaft, der wir dienen, widerzuspiegeln, dazu beitragen, dass unsere Streitkräfte ihre Verbindungen zu den Menschen, die wir dienen, aufrechterhalten und entwickeln können. Es mag einige Rechtfertigung dafür geben, die Aufnahme von Personen abzulehnen, die Gruppen angehören, die nicht die Kernwerte unserer Streitkräfte teilen, aber Menschen auszuschließen, weil sie unterschiedliche kulturelle Normen vertreten oder Gruppen angehören, die traditionell nicht Teil unserer Streitkräfte sind, ist unverantwortlich und kann letztendlich unsere Fähigkeit, unsere Rolle zu erfüllen, einschränken. "Unternehmen, die Vielfalt und Offenheit intern fördern - selbst auf Kosten einiger Geschlossenheit - können besser talentierte, kreative Mitarbeiter gewinnen und innovative Zusammenarbeit fördern".⁸³ Streitkräfte, die innovative Zusammenarbeit in den Kampfraum bringen können, werden ihren Feinden ein deutlich schwierigeres strategisches und </w:t>
      </w:r>
    </w:p>
    <w:p w:rsidR="00000000" w:rsidDel="00000000" w:rsidP="00000000" w:rsidRDefault="00000000" w:rsidRPr="00000000" w14:paraId="000006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4">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105</w:t>
      </w:r>
    </w:p>
    <w:p w:rsidR="00000000" w:rsidDel="00000000" w:rsidP="00000000" w:rsidRDefault="00000000" w:rsidRPr="00000000" w14:paraId="000006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taktisches Problem bereiten.</w:t>
      </w:r>
    </w:p>
    <w:p w:rsidR="00000000" w:rsidDel="00000000" w:rsidP="00000000" w:rsidRDefault="00000000" w:rsidRPr="00000000" w14:paraId="000006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 steht im Kern der Überraschung, einem der beiden Kriegsprinzipien, die von allen Ländern übernommen wurden. </w:t>
      </w:r>
    </w:p>
    <w:p w:rsidR="00000000" w:rsidDel="00000000" w:rsidP="00000000" w:rsidRDefault="00000000" w:rsidRPr="00000000" w14:paraId="000006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Gesunde organisatorische Kulturen können sich anpassen und verändern, um sich den sich verändernden Bedrohungen und Chancen anzupassen. "Solange die Organisation weiterhin mit den gleichen Arten von Problemen konfrontiert wird, für die ihre Prozesse und Werte entwickelt wurden, kann die Verwaltung der Organisation unkompliziert sein. Aber weil diese Faktoren auch definieren, was eine Organisation nicht tun kann, stellen sie Behinderungen dar, wenn sich die Probleme grundlegend ändern, mit denen das Unternehmen konfrontiert ist".⁸⁴ Der Übergang vom Frieden zum Krieg könnte eine dieser Zeiten sein, in denen sich die Probleme grundlegend ändern. Dramatische Veränderungen in der globalen Politik könnten ein weiterer Fall sein. Eine vielfältige und gesunde Kultur wird unsere Streitkräfte besser darauf vorbereiten, die fortlaufende Sicherheit unseres Landes zu gewährleisten.</w:t>
      </w:r>
    </w:p>
    <w:p w:rsidR="00000000" w:rsidDel="00000000" w:rsidP="00000000" w:rsidRDefault="00000000" w:rsidRPr="00000000" w14:paraId="000006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Die Laterne zum Bug verschieben</w:t>
      </w:r>
    </w:p>
    <w:p w:rsidR="00000000" w:rsidDel="00000000" w:rsidP="00000000" w:rsidRDefault="00000000" w:rsidRPr="00000000" w14:paraId="000006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Professionelles Engagement, Innovation, ethische Klarheit, Redlichkeit und kulturelle Gesundheit: Wenn wir die Funktionsfähigkeit unserer Streitkräfte in all diesen Bereichen in Friedenszeiten verbessern können, werden wir besser in der Lage sein, die Kriegsprinzipien umzusetzen, wenn es erforderlich ist. Ein wesentlicher Teil der Existenzberechtigung einer Armee in Friedenszeiten besteht darin, als Abschreckungspotenzial für potenzielle Feinde zu dienen, so dass der Einsatz von Gewalt nicht erforderlich ist. "Eine abschreckende Bedrohung erfordert, dass der Abschreckende sowohl eine relevante Fähigkeit aufrechterhält als auch eine wahrgenommene Glaubwürdigkeit besitzt, diese Fähigkeit einzusetzen. Es ist das Produkt aus Fähigkeit und Willen, das durch die Drohung der Vergeltung abschreckt. Dieses 'Produkt' ist die Quelle des Paradoxons, das selbst den Römern bekannt war: si vis pacem, para bellum (Wenn du den Frieden willst, bereite dich auf den Krieg vor)". ⁸⁵ Wenn wir unseren Militärorganisationen erlauben, sich in Friedenszeiten zu versteifen, erhöhen wir praktisch die Wahrscheinlichkeit, dass sie eingesetzt werden müssen, da potenzielle Gegner nicht erkennen werden, dass eine glaubwürdige Abschreckung existiert.</w:t>
      </w:r>
    </w:p>
    <w:p w:rsidR="00000000" w:rsidDel="00000000" w:rsidP="00000000" w:rsidRDefault="00000000" w:rsidRPr="00000000" w14:paraId="000006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ist an der Zeit, dass Militärs nicht nur einen prominenten Platz in der Entwicklung von Management- und Führungstheorien zurückerobern, sondern auch die Entwicklungen um uns herum aktiv untersuchen und die geeigneten Elemente für den Einsatz in unseren Organisationen anpassen. Die vorgestellten Prinzipien der Friedensbereitschaft sind ein Versuch, uns diesem Ziel näher zu bringen. Obwohl die kulturelle Gesundheit in dieser Liste der Prinzipien an letzter Stelle steht, könnte es klug sein, sie als primus inter pares zu betrachten. Eine gesunde Kultur ermöglicht den Dissens, der für Innovation erforderlich ist, und die Fähigkeit, offene und offene Debatten über ethische Werte oder die Zusammensetzung unseres beruflichen Wissens zu führen. Diese Debatten und Diskussionen können nur effektiv in einer organisatorischen Kultur stattfinden, die Vielfalt und Integration schätzt und die Gesellschaft widerspiegelt, der sie dient.</w:t>
      </w:r>
    </w:p>
    <w:p w:rsidR="00000000" w:rsidDel="00000000" w:rsidP="00000000" w:rsidRDefault="00000000" w:rsidRPr="00000000" w14:paraId="000006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seinem Buch "Principles of War" beinhaltet Carl von Clausewitz folgende Bemerkung: "Diese Prinzipien, obwohl das Ergebnis langen Nachdenkens und kontinuierlichen Studiums der Kriegsgeschichte, wurden dennoch eilig aufgestellt und werden daher strenger Kritik in Bezug auf die Form nicht standhalten. Darüber hinaus wurden nur die wichtigsten Themen aus einer Vielzahl ausgewählt, da eine gewisse Kürze erforderlich war. Diese Prinzipien werden daher Ihrer Königlichen Hoheit nicht so </w:t>
      </w:r>
    </w:p>
    <w:p w:rsidR="00000000" w:rsidDel="00000000" w:rsidP="00000000" w:rsidRDefault="00000000" w:rsidRPr="00000000" w14:paraId="000006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106</w:t>
      </w:r>
    </w:p>
    <w:p w:rsidR="00000000" w:rsidDel="00000000" w:rsidP="00000000" w:rsidRDefault="00000000" w:rsidRPr="00000000" w14:paraId="000006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sehr eine vollständige Anleitung geben, sondern Ihre eigenen Reflexionen anregen und als Leitfaden dienen".⁸⁶</w:t>
      </w:r>
    </w:p>
    <w:p w:rsidR="00000000" w:rsidDel="00000000" w:rsidP="00000000" w:rsidRDefault="00000000" w:rsidRPr="00000000" w14:paraId="000006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diesem Artikel wird ebenfalls ein ähnlicher Bedarf an Kürze behauptet. Die vorgeschlagenen Prinzipien der Friedensbereitschaft sind allgemeiner Natur und nur kurz definiert. Wie bereits bei der Untersuchung der Kriegsprinzipien festgestellt wurde, werden verschiedene Länder den Schwerpunkt auf verschiedene Themen legen und daher einigen Prinzipien mehr Bedeutung beimessen als anderen. Die Erkenntnis, dass die von Guibert angesprochene Katastrophe mit einer unbekannten Anzahl von Menschenleben verbunden sein würde, hat die Entwicklung dieser Prinzipien vorangetrieben und ist ein allgegenwärtiges Thema, das uns dazu motivieren sollte, unsere Militärs anzupassen.</w:t>
      </w:r>
    </w:p>
    <w:p w:rsidR="00000000" w:rsidDel="00000000" w:rsidP="00000000" w:rsidRDefault="00000000" w:rsidRPr="00000000" w14:paraId="000006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wird nicht behauptet, dass eine erschöpfende Liste präsentiert wurde. Die Absicht besteht darin, die Debatte und das Nachdenken über die Ursachen anstelle der Symptome des organisatorischen Verfalls zu fördern und militärischen Führern ein Gedächtnisstütze zur Verfügung zu stellen, wenn sie in Friedenszeiten die Einsatzbereitschaft ihrer Organisationen für den nächsten Kriegszeitraum gegen einen unbekannten, undefinierten und oft undefinierbaren Feind bewerten. Die Prinzipien können diese Debatte strukturieren, sind aber wie die Kriegsprinzipien auch dazu gedacht, die Gestaltung und Neugestaltung unserer organisatorischen Strukturen, die Entwicklung von Führungskräften und die Entwicklung unserer organisatorischen Visionen und Kulturen zu leiten.</w:t>
      </w:r>
    </w:p>
    <w:p w:rsidR="00000000" w:rsidDel="00000000" w:rsidP="00000000" w:rsidRDefault="00000000" w:rsidRPr="00000000" w14:paraId="000006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Art und Weise, wie diese Prinzipien umgesetzt werden, liegt hauptsächlich in den Händen von Generälen, Admiralen, oder vielleicht sogar Staatsmännern und Politikern. Schließlich beginnt Führung von oben. Baron Antoine Henri de Jomini bemerkte: "Wenn die Fähigkeit eines Generals eine der sichersten Elemente des Sieges ist, wird leicht erkennbar, dass die kluge Auswahl von Generälen eines der heikelsten Punkte in der Staatskunst ist und einen der wesentlichsten Teile der Militärpolitik eines Staates darstellt. Leider wird diese Wahl von so vielen kleinlichen Leidenschaften beeinflusst, dass Zufall, [ziviler] Rang, Alter, Gunst, Partei-Geist und Eifersucht genauso viel damit zu tun haben wie das öffentliche Interesse und die Gerechtigkeit".⁸⁷</w:t>
      </w:r>
    </w:p>
    <w:p w:rsidR="00000000" w:rsidDel="00000000" w:rsidP="00000000" w:rsidRDefault="00000000" w:rsidRPr="00000000" w14:paraId="000006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Friedenszeiten ist dies noch wichtiger und war es immer schon. Wir müssen nur an Guiberts Warnung denken, um dies zu erkennen. Diejenigen von uns, die keine Generäle oder Admiräle sind, können die Debatten vorantreiben, wenn sich die Gelegenheiten bieten, und unsere eigenen Arbeitsgruppen und Einheiten mit diesen Prinzipien im Hinterkopf entwickeln. In gewissem Maße kann es auch Führung von unten geben. So enden wir, wie wir begonnen haben, mit einer Beobachtung von Christian Dior: </w:t>
      </w:r>
    </w:p>
    <w:p w:rsidR="00000000" w:rsidDel="00000000" w:rsidP="00000000" w:rsidRDefault="00000000" w:rsidRPr="00000000" w14:paraId="0000064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"Indem man natürlich und aufrichtig ist, kann man oft Revolutionen auslösen, ohne sie gesucht zu haben".⁸⁸</w:t>
      </w:r>
    </w:p>
    <w:p w:rsidR="00000000" w:rsidDel="00000000" w:rsidP="00000000" w:rsidRDefault="00000000" w:rsidRPr="00000000" w14:paraId="000006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107</w:t>
      </w:r>
    </w:p>
    <w:p w:rsidR="00000000" w:rsidDel="00000000" w:rsidP="00000000" w:rsidRDefault="00000000" w:rsidRPr="00000000" w14:paraId="000006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2">
      <w:pPr>
        <w:rPr>
          <w:rFonts w:ascii="Times New Roman" w:cs="Times New Roman" w:eastAsia="Times New Roman" w:hAnsi="Times New Roman"/>
          <w:sz w:val="20"/>
          <w:szCs w:val="20"/>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653">
      <w:pPr>
        <w:jc w:val="center"/>
        <w:rPr>
          <w:rFonts w:ascii="Times New Roman" w:cs="Times New Roman" w:eastAsia="Times New Roman" w:hAnsi="Times New Roman"/>
          <w:b w:val="1"/>
        </w:rPr>
        <w:sectPr>
          <w:type w:val="continuous"/>
          <w:pgSz w:h="11909" w:w="16834" w:orient="landscape"/>
          <w:pgMar w:bottom="1440" w:top="1440" w:left="1417.3228346456694" w:right="1440" w:header="720" w:footer="720"/>
          <w:cols w:equalWidth="0" w:num="1" w:sep="1">
            <w:col w:space="0" w:w="13980.460000000001"/>
          </w:cols>
        </w:sectPr>
      </w:pPr>
      <w:r w:rsidDel="00000000" w:rsidR="00000000" w:rsidRPr="00000000">
        <w:rPr>
          <w:rFonts w:ascii="Times New Roman" w:cs="Times New Roman" w:eastAsia="Times New Roman" w:hAnsi="Times New Roman"/>
          <w:b w:val="1"/>
          <w:sz w:val="20"/>
          <w:szCs w:val="20"/>
          <w:rtl w:val="0"/>
        </w:rPr>
        <w:t xml:space="preserve">Anhang A - Vergleichende Kriegsprinzipien</w:t>
      </w:r>
      <w:r w:rsidDel="00000000" w:rsidR="00000000" w:rsidRPr="00000000">
        <w:rPr>
          <w:rtl w:val="0"/>
        </w:rPr>
      </w:r>
    </w:p>
    <w:p w:rsidR="00000000" w:rsidDel="00000000" w:rsidP="00000000" w:rsidRDefault="00000000" w:rsidRPr="00000000" w14:paraId="00000654">
      <w:pPr>
        <w:rPr>
          <w:rFonts w:ascii="Times New Roman" w:cs="Times New Roman" w:eastAsia="Times New Roman" w:hAnsi="Times New Roman"/>
        </w:rPr>
      </w:pPr>
      <w:r w:rsidDel="00000000" w:rsidR="00000000" w:rsidRPr="00000000">
        <w:rPr>
          <w:rtl w:val="0"/>
        </w:rPr>
      </w:r>
    </w:p>
    <w:tbl>
      <w:tblPr>
        <w:tblStyle w:val="Table1"/>
        <w:tblW w:w="13980.46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30.076666666667"/>
        <w:gridCol w:w="2330.076666666667"/>
        <w:gridCol w:w="2330.076666666667"/>
        <w:gridCol w:w="2330.076666666667"/>
        <w:gridCol w:w="2330.076666666667"/>
        <w:gridCol w:w="2330.076666666667"/>
        <w:tblGridChange w:id="0">
          <w:tblGrid>
            <w:gridCol w:w="2330.076666666667"/>
            <w:gridCol w:w="2330.076666666667"/>
            <w:gridCol w:w="2330.076666666667"/>
            <w:gridCol w:w="2330.076666666667"/>
            <w:gridCol w:w="2330.076666666667"/>
            <w:gridCol w:w="2330.076666666667"/>
          </w:tblGrid>
        </w:tblGridChange>
      </w:tblGrid>
      <w:tr>
        <w:trPr>
          <w:cantSplit w:val="0"/>
          <w:trHeight w:val="36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5">
            <w:pPr>
              <w:widowControl w:val="0"/>
              <w:spacing w:line="240" w:lineRule="auto"/>
              <w:rPr>
                <w:rFonts w:ascii="Times New Roman" w:cs="Times New Roman" w:eastAsia="Times New Roman" w:hAnsi="Times New Roman"/>
                <w:color w:val="cccccc"/>
                <w:sz w:val="16"/>
                <w:szCs w:val="16"/>
                <w:vertAlign w:val="superscript"/>
              </w:rPr>
            </w:pPr>
            <w:r w:rsidDel="00000000" w:rsidR="00000000" w:rsidRPr="00000000">
              <w:rPr>
                <w:rFonts w:ascii="Times New Roman" w:cs="Times New Roman" w:eastAsia="Times New Roman" w:hAnsi="Times New Roman"/>
                <w:sz w:val="16"/>
                <w:szCs w:val="16"/>
                <w:rtl w:val="0"/>
              </w:rPr>
              <w:t xml:space="preserve">Kanada</w:t>
            </w:r>
            <w:r w:rsidDel="00000000" w:rsidR="00000000" w:rsidRPr="00000000">
              <w:rPr>
                <w:rFonts w:ascii="Times New Roman" w:cs="Times New Roman" w:eastAsia="Times New Roman" w:hAnsi="Times New Roman"/>
                <w:sz w:val="16"/>
                <w:szCs w:val="16"/>
                <w:vertAlign w:val="superscript"/>
                <w:rtl w:val="0"/>
              </w:rPr>
              <w:t xml:space="preserve">89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widowControl w:val="0"/>
              <w:spacing w:line="240" w:lineRule="auto"/>
              <w:rPr>
                <w:rFonts w:ascii="Times New Roman" w:cs="Times New Roman" w:eastAsia="Times New Roman" w:hAnsi="Times New Roman"/>
                <w:sz w:val="16"/>
                <w:szCs w:val="16"/>
                <w:vertAlign w:val="superscript"/>
              </w:rPr>
            </w:pPr>
            <w:r w:rsidDel="00000000" w:rsidR="00000000" w:rsidRPr="00000000">
              <w:rPr>
                <w:rFonts w:ascii="Times New Roman" w:cs="Times New Roman" w:eastAsia="Times New Roman" w:hAnsi="Times New Roman"/>
                <w:sz w:val="16"/>
                <w:szCs w:val="16"/>
                <w:rtl w:val="0"/>
              </w:rPr>
              <w:t xml:space="preserve">Vereinigte Staaten</w:t>
            </w:r>
            <w:r w:rsidDel="00000000" w:rsidR="00000000" w:rsidRPr="00000000">
              <w:rPr>
                <w:rFonts w:ascii="Times New Roman" w:cs="Times New Roman" w:eastAsia="Times New Roman" w:hAnsi="Times New Roman"/>
                <w:sz w:val="16"/>
                <w:szCs w:val="16"/>
                <w:vertAlign w:val="superscript"/>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widowControl w:val="0"/>
              <w:spacing w:line="240" w:lineRule="auto"/>
              <w:rPr>
                <w:rFonts w:ascii="Times New Roman" w:cs="Times New Roman" w:eastAsia="Times New Roman" w:hAnsi="Times New Roman"/>
                <w:sz w:val="16"/>
                <w:szCs w:val="16"/>
                <w:vertAlign w:val="superscript"/>
              </w:rPr>
            </w:pPr>
            <w:r w:rsidDel="00000000" w:rsidR="00000000" w:rsidRPr="00000000">
              <w:rPr>
                <w:rFonts w:ascii="Times New Roman" w:cs="Times New Roman" w:eastAsia="Times New Roman" w:hAnsi="Times New Roman"/>
                <w:sz w:val="16"/>
                <w:szCs w:val="16"/>
                <w:rtl w:val="0"/>
              </w:rPr>
              <w:t xml:space="preserve">Großbritannien und Australien</w:t>
            </w:r>
            <w:r w:rsidDel="00000000" w:rsidR="00000000" w:rsidRPr="00000000">
              <w:rPr>
                <w:rFonts w:ascii="Times New Roman" w:cs="Times New Roman" w:eastAsia="Times New Roman" w:hAnsi="Times New Roman"/>
                <w:sz w:val="16"/>
                <w:szCs w:val="16"/>
                <w:vertAlign w:val="superscript"/>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658">
            <w:pPr>
              <w:widowControl w:val="0"/>
              <w:spacing w:line="240" w:lineRule="auto"/>
              <w:rPr>
                <w:rFonts w:ascii="Times New Roman" w:cs="Times New Roman" w:eastAsia="Times New Roman" w:hAnsi="Times New Roman"/>
                <w:sz w:val="16"/>
                <w:szCs w:val="16"/>
                <w:vertAlign w:val="superscript"/>
              </w:rPr>
            </w:pPr>
            <w:r w:rsidDel="00000000" w:rsidR="00000000" w:rsidRPr="00000000">
              <w:rPr>
                <w:rFonts w:ascii="Times New Roman" w:cs="Times New Roman" w:eastAsia="Times New Roman" w:hAnsi="Times New Roman"/>
                <w:sz w:val="16"/>
                <w:szCs w:val="16"/>
                <w:rtl w:val="0"/>
              </w:rPr>
              <w:t xml:space="preserve">Ehemalige Sowjetunion</w:t>
            </w:r>
            <w:r w:rsidDel="00000000" w:rsidR="00000000" w:rsidRPr="00000000">
              <w:rPr>
                <w:rFonts w:ascii="Times New Roman" w:cs="Times New Roman" w:eastAsia="Times New Roman" w:hAnsi="Times New Roman"/>
                <w:sz w:val="16"/>
                <w:szCs w:val="16"/>
                <w:vertAlign w:val="superscript"/>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widowControl w:val="0"/>
              <w:spacing w:line="240" w:lineRule="auto"/>
              <w:rPr>
                <w:rFonts w:ascii="Times New Roman" w:cs="Times New Roman" w:eastAsia="Times New Roman" w:hAnsi="Times New Roman"/>
                <w:sz w:val="16"/>
                <w:szCs w:val="16"/>
                <w:vertAlign w:val="superscript"/>
              </w:rPr>
            </w:pPr>
            <w:r w:rsidDel="00000000" w:rsidR="00000000" w:rsidRPr="00000000">
              <w:rPr>
                <w:rFonts w:ascii="Times New Roman" w:cs="Times New Roman" w:eastAsia="Times New Roman" w:hAnsi="Times New Roman"/>
                <w:sz w:val="16"/>
                <w:szCs w:val="16"/>
                <w:rtl w:val="0"/>
              </w:rPr>
              <w:t xml:space="preserve">Frankreich</w:t>
            </w:r>
            <w:r w:rsidDel="00000000" w:rsidR="00000000" w:rsidRPr="00000000">
              <w:rPr>
                <w:rFonts w:ascii="Times New Roman" w:cs="Times New Roman" w:eastAsia="Times New Roman" w:hAnsi="Times New Roman"/>
                <w:sz w:val="16"/>
                <w:szCs w:val="16"/>
                <w:vertAlign w:val="superscript"/>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widowControl w:val="0"/>
              <w:spacing w:line="240" w:lineRule="auto"/>
              <w:rPr>
                <w:rFonts w:ascii="Times New Roman" w:cs="Times New Roman" w:eastAsia="Times New Roman" w:hAnsi="Times New Roman"/>
                <w:sz w:val="16"/>
                <w:szCs w:val="16"/>
                <w:vertAlign w:val="superscript"/>
              </w:rPr>
            </w:pPr>
            <w:r w:rsidDel="00000000" w:rsidR="00000000" w:rsidRPr="00000000">
              <w:rPr>
                <w:rFonts w:ascii="Times New Roman" w:cs="Times New Roman" w:eastAsia="Times New Roman" w:hAnsi="Times New Roman"/>
                <w:sz w:val="16"/>
                <w:szCs w:val="16"/>
                <w:rtl w:val="0"/>
              </w:rPr>
              <w:t xml:space="preserve">Volksrepublik China</w:t>
            </w:r>
            <w:r w:rsidDel="00000000" w:rsidR="00000000" w:rsidRPr="00000000">
              <w:rPr>
                <w:rFonts w:ascii="Times New Roman" w:cs="Times New Roman" w:eastAsia="Times New Roman" w:hAnsi="Times New Roman"/>
                <w:sz w:val="16"/>
                <w:szCs w:val="16"/>
                <w:vertAlign w:val="superscript"/>
                <w:rtl w:val="0"/>
              </w:rPr>
              <w:t xml:space="preserve">77</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Auswahl und Aufrechterhaltung des Ziels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Objektiv</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Auswahl und Aufrechterhaltung des Ziels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Auswahl und Aufrechterhaltung des Ziels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Offensive Aktion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Offensive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Offensive Aktion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Offensive Aktion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Konzentration der Kräfte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Kräftekonzentration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Massierung und Korrelation der Kräfte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Konzentration der Anstrengungen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Konzentration der Kräfte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Sparsamer Einsatz der Kräfte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Sparsamer Einsatz der Kräfte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Sparsamer Einsatz der Kräfte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7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Wirtschaftlichkeit und ausreichende Kräfte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71">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2">
            <w:pPr>
              <w:widowControl w:val="0"/>
              <w:spacing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Flexibilität</w:t>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Manöver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Flexibilität</w:t>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Initiative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Initiative und Flexibilität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Zusammenarbeit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Einheit des Kommandos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Zusammenarbeit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7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Zusammenarbeit und Koordination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Koordination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Sicherheit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Sicherheit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Sicherheit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2">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Sicherheit</w:t>
            </w:r>
          </w:p>
          <w:p w:rsidR="00000000" w:rsidDel="00000000" w:rsidP="00000000" w:rsidRDefault="00000000" w:rsidRPr="00000000" w14:paraId="00000685">
            <w:pPr>
              <w:widowControl w:val="0"/>
              <w:spacing w:line="240" w:lineRule="auto"/>
              <w:rPr>
                <w:rFonts w:ascii="Times New Roman" w:cs="Times New Roman" w:eastAsia="Times New Roman" w:hAnsi="Times New Roman"/>
                <w:sz w:val="16"/>
                <w:szCs w:val="16"/>
              </w:rPr>
            </w:pPr>
            <w:r w:rsidDel="00000000" w:rsidR="00000000" w:rsidRPr="00000000">
              <w:rPr>
                <w:rtl w:val="0"/>
              </w:rPr>
            </w:r>
          </w:p>
        </w:tc>
      </w:tr>
      <w:tr>
        <w:trPr>
          <w:cantSplit w:val="0"/>
          <w:trHeight w:val="40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6">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Überraschung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8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Überraschung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88">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Überraschung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Überraschung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Überraschung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Überraschung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Effizienz des Einsatzes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Einfachheit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0">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widowControl w:val="0"/>
              <w:spacing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Aufrechterhaltung der Moral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Aufrechterhaltung der Moral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Erhaltung der Kampffähigkeit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8">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Simultaner Angriff auf allen Ebenen</w:t>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Handlungsfreiheit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widowControl w:val="0"/>
              <w:spacing w:line="240" w:lineRule="auto"/>
              <w:rPr>
                <w:rFonts w:ascii="Times New Roman" w:cs="Times New Roman" w:eastAsia="Times New Roman" w:hAnsi="Times New Roman"/>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E">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Mobilität und Tempo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Mobilität</w:t>
            </w:r>
          </w:p>
        </w:tc>
      </w:tr>
      <w:tr>
        <w:trPr>
          <w:cantSplit w:val="0"/>
          <w:trHeight w:val="49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4">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6">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7">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Politische Mobilisierung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A">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D">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Freiheit des Handelns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0">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Verwaltung</w:t>
            </w:r>
          </w:p>
          <w:p w:rsidR="00000000" w:rsidDel="00000000" w:rsidP="00000000" w:rsidRDefault="00000000" w:rsidRPr="00000000" w14:paraId="000006B1">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3">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widowControl w:val="0"/>
              <w:spacing w:line="240" w:lineRule="auto"/>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6B7">
      <w:pPr>
        <w:rPr>
          <w:rFonts w:ascii="Times New Roman" w:cs="Times New Roman" w:eastAsia="Times New Roman" w:hAnsi="Times New Roman"/>
        </w:rPr>
        <w:sectPr>
          <w:type w:val="continuous"/>
          <w:pgSz w:h="11909" w:w="16834" w:orient="landscape"/>
          <w:pgMar w:bottom="1440" w:top="1440" w:left="1417.3228346456694" w:right="1440" w:header="720" w:footer="720"/>
          <w:cols w:equalWidth="0" w:num="1" w:sep="1">
            <w:col w:space="0" w:w="13980.460000000001"/>
          </w:cols>
        </w:sectPr>
      </w:pPr>
      <w:r w:rsidDel="00000000" w:rsidR="00000000" w:rsidRPr="00000000">
        <w:rPr>
          <w:rtl w:val="0"/>
        </w:rPr>
      </w:r>
    </w:p>
    <w:p w:rsidR="00000000" w:rsidDel="00000000" w:rsidP="00000000" w:rsidRDefault="00000000" w:rsidRPr="00000000" w14:paraId="000006B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108</w:t>
      </w:r>
    </w:p>
    <w:p w:rsidR="00000000" w:rsidDel="00000000" w:rsidP="00000000" w:rsidRDefault="00000000" w:rsidRPr="00000000" w14:paraId="000006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Marie-France Pochna, Christian Dior: Der Mann, der die Welt neu aussehen ließ (Arcade Publishing, Inc, New York, 1994), S. vii.</w:t>
      </w:r>
    </w:p>
    <w:p w:rsidR="00000000" w:rsidDel="00000000" w:rsidP="00000000" w:rsidRDefault="00000000" w:rsidRPr="00000000" w14:paraId="000006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Für eine ausführlichere Untersuchung dieses Konzepts siehe "The Dangers of Doctrine" in The Baltic Defence Review 5.</w:t>
      </w:r>
    </w:p>
    <w:p w:rsidR="00000000" w:rsidDel="00000000" w:rsidP="00000000" w:rsidRDefault="00000000" w:rsidRPr="00000000" w14:paraId="000006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Comte de Guibert, Écrits Militaires 1772-1790, préface et notes du Général Ménard (Paris: Editions Copernic, 1976), S. 192. "Si par hasard il s'élève dans une nation un bon général, la politique des ministres et les intrigues des courtisans ont soin de le tenir eloigné des troupes pendant la paix. On aime mieux confier ces troupes à des hommes médiocres, incapables de les former, mais passifs, dociles à toutes les volontés et à tous les systèmes... La guerre arrive, les malheurs seuls peuvent ramener le choix sur le général habile."</w:t>
      </w:r>
    </w:p>
    <w:p w:rsidR="00000000" w:rsidDel="00000000" w:rsidP="00000000" w:rsidRDefault="00000000" w:rsidRPr="00000000" w14:paraId="000006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Baron Antoine Henri de Jomini, The Art of War (Greenhill Books, Mechanicsburg, PA, 1992), S. 47.</w:t>
      </w:r>
    </w:p>
    <w:p w:rsidR="00000000" w:rsidDel="00000000" w:rsidP="00000000" w:rsidRDefault="00000000" w:rsidRPr="00000000" w14:paraId="000006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Samuel Coleridge, zitiert in: Barbara W. Tuchman, The March of Folly: From Troy to Vietnam (New York: Alfred A. Knopf, 1998), 383.</w:t>
      </w:r>
    </w:p>
    <w:p w:rsidR="00000000" w:rsidDel="00000000" w:rsidP="00000000" w:rsidRDefault="00000000" w:rsidRPr="00000000" w14:paraId="000006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Samuel B. Griffith, Übersetzer. Sun Tzu The Art of War (Oxford University Press, New York, 1971), S. X.</w:t>
      </w:r>
    </w:p>
    <w:p w:rsidR="00000000" w:rsidDel="00000000" w:rsidP="00000000" w:rsidRDefault="00000000" w:rsidRPr="00000000" w14:paraId="000006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 </w:t>
      </w:r>
      <w:r w:rsidDel="00000000" w:rsidR="00000000" w:rsidRPr="00000000">
        <w:rPr>
          <w:rFonts w:ascii="Times New Roman" w:cs="Times New Roman" w:eastAsia="Times New Roman" w:hAnsi="Times New Roman"/>
          <w:rtl w:val="0"/>
        </w:rPr>
        <w:t xml:space="preserve">Eine Zusammenfassung wird in Anhang A präsentiert. Die Anzahl der Kriegsprinzipien, die ein Land wählt, kann an sich ein interessanter Rahmen sein, um seinen Bürokratiegrad und seine organisatorische Einsatzbereitschaft zu bewerten, aber das ist ein Thema für einen anderen Aufsatz.</w:t>
      </w:r>
    </w:p>
    <w:p w:rsidR="00000000" w:rsidDel="00000000" w:rsidP="00000000" w:rsidRDefault="00000000" w:rsidRPr="00000000" w14:paraId="000006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Generalmajor Meille, Befehlshaber der Division (Objektiv-Doktrin Nr. 34: Die Division, Commandement de la Doctrine et de l'Enseignement militaire Supérieur de l'armée de terre, Paris, 2003), S. 23.</w:t>
      </w:r>
    </w:p>
    <w:p w:rsidR="00000000" w:rsidDel="00000000" w:rsidP="00000000" w:rsidRDefault="00000000" w:rsidRPr="00000000" w14:paraId="000006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rtl w:val="0"/>
        </w:rPr>
        <w:t xml:space="preserve"> Baron Antoine Henri de Jomini, The Art of War (Greenhill Books, Mechanicsburg, PA, 1992), S. 55.</w:t>
      </w:r>
    </w:p>
    <w:p w:rsidR="00000000" w:rsidDel="00000000" w:rsidP="00000000" w:rsidRDefault="00000000" w:rsidRPr="00000000" w14:paraId="000006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10</w:t>
      </w:r>
      <w:r w:rsidDel="00000000" w:rsidR="00000000" w:rsidRPr="00000000">
        <w:rPr>
          <w:rFonts w:ascii="Times New Roman" w:cs="Times New Roman" w:eastAsia="Times New Roman" w:hAnsi="Times New Roman"/>
          <w:rtl w:val="0"/>
        </w:rPr>
        <w:t xml:space="preserve"> Army Doctrine Publication, Volume 2, HQDT/18/34/51 vom 1995, Army Code Nr. 71564, (Crown Publications, London, England), S. 2-15.</w:t>
      </w:r>
    </w:p>
    <w:p w:rsidR="00000000" w:rsidDel="00000000" w:rsidP="00000000" w:rsidRDefault="00000000" w:rsidRPr="00000000" w14:paraId="000006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11</w:t>
      </w:r>
      <w:r w:rsidDel="00000000" w:rsidR="00000000" w:rsidRPr="00000000">
        <w:rPr>
          <w:rFonts w:ascii="Times New Roman" w:cs="Times New Roman" w:eastAsia="Times New Roman" w:hAnsi="Times New Roman"/>
          <w:rtl w:val="0"/>
        </w:rPr>
        <w:t xml:space="preserve"> Baron Antoine Henri de Jomini, The Art of War (Greenhill Books, Mechanicsburg, PA, 1992), S. 43-4.</w:t>
      </w:r>
    </w:p>
    <w:p w:rsidR="00000000" w:rsidDel="00000000" w:rsidP="00000000" w:rsidRDefault="00000000" w:rsidRPr="00000000" w14:paraId="000006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12</w:t>
      </w:r>
      <w:r w:rsidDel="00000000" w:rsidR="00000000" w:rsidRPr="00000000">
        <w:rPr>
          <w:rFonts w:ascii="Times New Roman" w:cs="Times New Roman" w:eastAsia="Times New Roman" w:hAnsi="Times New Roman"/>
          <w:rtl w:val="0"/>
        </w:rPr>
        <w:t xml:space="preserve"> Alfred Lord Tennyson, The Charge of the Light Brigade (Alfred Lord Tennyson: Ausgewählte Gedichte, Penguin Books, Toronto, 1991), S. 289.</w:t>
      </w:r>
    </w:p>
    <w:p w:rsidR="00000000" w:rsidDel="00000000" w:rsidP="00000000" w:rsidRDefault="00000000" w:rsidRPr="00000000" w14:paraId="000006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 Alfred Lord Tennyson, The Charge of the Light Brigade (Alfred Lord Tennyson: Ausgewählte Gedichte, Penguin Books, Toronto, 1991), S. 289.</w:t>
      </w:r>
    </w:p>
    <w:p w:rsidR="00000000" w:rsidDel="00000000" w:rsidP="00000000" w:rsidRDefault="00000000" w:rsidRPr="00000000" w14:paraId="000006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14</w:t>
      </w:r>
      <w:r w:rsidDel="00000000" w:rsidR="00000000" w:rsidRPr="00000000">
        <w:rPr>
          <w:rFonts w:ascii="Times New Roman" w:cs="Times New Roman" w:eastAsia="Times New Roman" w:hAnsi="Times New Roman"/>
          <w:rtl w:val="0"/>
        </w:rPr>
        <w:t xml:space="preserve"> Es wurde viel darüber diskutiert, ob es eine Revolution in militärischen Angelegenheiten, eine Evolution in militärischen Angelegenheiten oder einfach eine Entwicklung und Fortschritt gibt. Ich würde behaupten, dass es eine fortwährende Revolution in militärischen Angelegenheiten gibt, aber vielleicht nicht in der von den meisten gemeinten Art und Weise. Das Oxford Concise English Dictionary enthält folgende Definition für Revolution: Bewegung in der Umlaufbahn oder ein kreisförmiger Kurs; Rotation. Das ist meiner Meinung nach die wahre Revolution in militärischen Angelegenheiten. Bei all dem Gerede von gelernten Lektionen wären wir wahrscheinlich genauer, wenn wir die meisten von ihnen als wiedererlernte Lektionen bezeichnen würden.</w:t>
      </w:r>
    </w:p>
    <w:p w:rsidR="00000000" w:rsidDel="00000000" w:rsidP="00000000" w:rsidRDefault="00000000" w:rsidRPr="00000000" w14:paraId="000006D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15</w:t>
      </w:r>
      <w:r w:rsidDel="00000000" w:rsidR="00000000" w:rsidRPr="00000000">
        <w:rPr>
          <w:rFonts w:ascii="Times New Roman" w:cs="Times New Roman" w:eastAsia="Times New Roman" w:hAnsi="Times New Roman"/>
          <w:rtl w:val="0"/>
        </w:rPr>
        <w:t xml:space="preserve"> Paul Lerman; John H. Turner, One Day MBA (International Center for Creative Thinking, New York, 1992), S. 3.</w:t>
      </w:r>
    </w:p>
    <w:p w:rsidR="00000000" w:rsidDel="00000000" w:rsidP="00000000" w:rsidRDefault="00000000" w:rsidRPr="00000000" w14:paraId="000006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16</w:t>
      </w:r>
      <w:r w:rsidDel="00000000" w:rsidR="00000000" w:rsidRPr="00000000">
        <w:rPr>
          <w:rFonts w:ascii="Times New Roman" w:cs="Times New Roman" w:eastAsia="Times New Roman" w:hAnsi="Times New Roman"/>
          <w:rtl w:val="0"/>
        </w:rPr>
        <w:t xml:space="preserve"> Maria Montessori, Vom Kind zum Jugendlichen (Schocken Books, New York, 1973), S. xii.</w:t>
      </w:r>
    </w:p>
    <w:p w:rsidR="00000000" w:rsidDel="00000000" w:rsidP="00000000" w:rsidRDefault="00000000" w:rsidRPr="00000000" w14:paraId="000006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17</w:t>
      </w:r>
      <w:r w:rsidDel="00000000" w:rsidR="00000000" w:rsidRPr="00000000">
        <w:rPr>
          <w:rFonts w:ascii="Times New Roman" w:cs="Times New Roman" w:eastAsia="Times New Roman" w:hAnsi="Times New Roman"/>
          <w:rtl w:val="0"/>
        </w:rPr>
        <w:t xml:space="preserve"> Manche könnten argumentieren, dass Verteidigungswissenschaftler, Politikwissenschaftler und Politikanalysten gleichermaßen Anspruch auf den Status als zusätzliche akademische Gruppen für den militärischen Beruf haben. Ich würde darauf antworten, dass ich hier Geschichte im weitesten Sinne meine, die Gesamtheit der vergangenen Ereignisse, zu denen technologische und politische Veränderungen gehören. Darüber hinaus unterscheidet eine Demokratie sich in der Regel von einer Diktatur durch das Konzept der zivilen Kontrolle über das Militär. Das bedeutet, dass militärische Einflussnahme auf die Regierungspolitik auf die Bereitstellung von Analysen über die Auswirkungen der Regierungspolitik auf die militärische Struktur beschränkt sein sollte. Zum Beispiel die Bereitstellung von Informationen über die Kosten verschiedener Regierungspolitiken in Kapital-, Betriebs- und Instandhaltungsmitteln sowie Menschenleben oder die Bereitstellung von Ratschlägen zu den militärischen Optionen, um definierte strategische Ziele zu erreichen. Während Wissenschaftler uns Werkzeuge zur Verfügung stellen können, werden uns die Lehren der Geschichte das Wissen vermitteln, das erforderlich ist, um die effizienteste Art und Weise zu bewerten, diese Werkzeuge zur Erreichung unseres militärischen Ziels einzusetzen.</w:t>
      </w:r>
    </w:p>
    <w:p w:rsidR="00000000" w:rsidDel="00000000" w:rsidP="00000000" w:rsidRDefault="00000000" w:rsidRPr="00000000" w14:paraId="000006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18</w:t>
      </w:r>
      <w:r w:rsidDel="00000000" w:rsidR="00000000" w:rsidRPr="00000000">
        <w:rPr>
          <w:rFonts w:ascii="Times New Roman" w:cs="Times New Roman" w:eastAsia="Times New Roman" w:hAnsi="Times New Roman"/>
          <w:rtl w:val="0"/>
        </w:rPr>
        <w:t xml:space="preserve"> Samuel Coleridge, zitiert in: Barbara W. Tuchman, The March of Folly: From Troy to Vietnam (New York: Alfred A. Knopf, 1998), 383.</w:t>
      </w:r>
    </w:p>
    <w:p w:rsidR="00000000" w:rsidDel="00000000" w:rsidP="00000000" w:rsidRDefault="00000000" w:rsidRPr="00000000" w14:paraId="000006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19</w:t>
      </w:r>
      <w:r w:rsidDel="00000000" w:rsidR="00000000" w:rsidRPr="00000000">
        <w:rPr>
          <w:rFonts w:ascii="Times New Roman" w:cs="Times New Roman" w:eastAsia="Times New Roman" w:hAnsi="Times New Roman"/>
          <w:rtl w:val="0"/>
        </w:rPr>
        <w:t xml:space="preserve"> Lanir Zvi, "The 'Principles of War' and Military Thinking", The Journal of Strategic Studies, Vol. 16, Nr. 1, März 1993: 2.</w:t>
      </w:r>
    </w:p>
    <w:p w:rsidR="00000000" w:rsidDel="00000000" w:rsidP="00000000" w:rsidRDefault="00000000" w:rsidRPr="00000000" w14:paraId="000006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20 </w:t>
      </w:r>
      <w:r w:rsidDel="00000000" w:rsidR="00000000" w:rsidRPr="00000000">
        <w:rPr>
          <w:rFonts w:ascii="Times New Roman" w:cs="Times New Roman" w:eastAsia="Times New Roman" w:hAnsi="Times New Roman"/>
          <w:rtl w:val="0"/>
        </w:rPr>
        <w:t xml:space="preserve">Henry Lloyd. Zitiert in: Hew Strachan, European Armies and the Conduct of War (New York: Routledge, 2001), 1.</w:t>
      </w:r>
    </w:p>
    <w:p w:rsidR="00000000" w:rsidDel="00000000" w:rsidP="00000000" w:rsidRDefault="00000000" w:rsidRPr="00000000" w14:paraId="000006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2">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109</w:t>
      </w:r>
    </w:p>
    <w:p w:rsidR="00000000" w:rsidDel="00000000" w:rsidP="00000000" w:rsidRDefault="00000000" w:rsidRPr="00000000" w14:paraId="000006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21</w:t>
      </w:r>
      <w:r w:rsidDel="00000000" w:rsidR="00000000" w:rsidRPr="00000000">
        <w:rPr>
          <w:rFonts w:ascii="Times New Roman" w:cs="Times New Roman" w:eastAsia="Times New Roman" w:hAnsi="Times New Roman"/>
          <w:rtl w:val="0"/>
        </w:rPr>
        <w:t xml:space="preserve"> General Bronsart von Schellendorf, zitiert in: Hew Strachan, European Armies and the Conduct of War (New York: Routledge, 2001), 2.</w:t>
      </w:r>
    </w:p>
    <w:p w:rsidR="00000000" w:rsidDel="00000000" w:rsidP="00000000" w:rsidRDefault="00000000" w:rsidRPr="00000000" w14:paraId="000006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22</w:t>
      </w:r>
      <w:r w:rsidDel="00000000" w:rsidR="00000000" w:rsidRPr="00000000">
        <w:rPr>
          <w:rFonts w:ascii="Times New Roman" w:cs="Times New Roman" w:eastAsia="Times New Roman" w:hAnsi="Times New Roman"/>
          <w:rtl w:val="0"/>
        </w:rPr>
        <w:t xml:space="preserve"> Admiral Sandy (Sir John) Woodward, One Hundred Days: The Memoirs of the Falklands Battle Group Commander (Annapolis, Maryland: Naval Institute Press, 1992), xi.</w:t>
      </w:r>
    </w:p>
    <w:p w:rsidR="00000000" w:rsidDel="00000000" w:rsidP="00000000" w:rsidRDefault="00000000" w:rsidRPr="00000000" w14:paraId="000006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23</w:t>
      </w:r>
      <w:r w:rsidDel="00000000" w:rsidR="00000000" w:rsidRPr="00000000">
        <w:rPr>
          <w:rFonts w:ascii="Times New Roman" w:cs="Times New Roman" w:eastAsia="Times New Roman" w:hAnsi="Times New Roman"/>
          <w:rtl w:val="0"/>
        </w:rPr>
        <w:t xml:space="preserve"> General J.M.G. Baril, "Message from the Chief of the Defence Staff", Canadian Military Journal 1, Nr. 1, Frühling 2000, S. 4.</w:t>
      </w:r>
    </w:p>
    <w:p w:rsidR="00000000" w:rsidDel="00000000" w:rsidP="00000000" w:rsidRDefault="00000000" w:rsidRPr="00000000" w14:paraId="000006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24 </w:t>
      </w:r>
      <w:r w:rsidDel="00000000" w:rsidR="00000000" w:rsidRPr="00000000">
        <w:rPr>
          <w:rFonts w:ascii="Times New Roman" w:cs="Times New Roman" w:eastAsia="Times New Roman" w:hAnsi="Times New Roman"/>
          <w:rtl w:val="0"/>
        </w:rPr>
        <w:t xml:space="preserve">Chris Argyris, Teaching Smart People How to Learn (Harvard Business Review, Mai-Juni 1991), S. 6.</w:t>
      </w:r>
    </w:p>
    <w:p w:rsidR="00000000" w:rsidDel="00000000" w:rsidP="00000000" w:rsidRDefault="00000000" w:rsidRPr="00000000" w14:paraId="000006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25</w:t>
      </w:r>
      <w:r w:rsidDel="00000000" w:rsidR="00000000" w:rsidRPr="00000000">
        <w:rPr>
          <w:rFonts w:ascii="Times New Roman" w:cs="Times New Roman" w:eastAsia="Times New Roman" w:hAnsi="Times New Roman"/>
          <w:rtl w:val="0"/>
        </w:rPr>
        <w:t xml:space="preserve"> Papst Alexander IV, zitiert in: Barbara W. Tuchman, The March of Folly: From Troy to Vietnam (Alfred A. Knopf, Inc, New York, 1984), S. 85.</w:t>
      </w:r>
    </w:p>
    <w:p w:rsidR="00000000" w:rsidDel="00000000" w:rsidP="00000000" w:rsidRDefault="00000000" w:rsidRPr="00000000" w14:paraId="000006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26</w:t>
      </w:r>
      <w:r w:rsidDel="00000000" w:rsidR="00000000" w:rsidRPr="00000000">
        <w:rPr>
          <w:rFonts w:ascii="Times New Roman" w:cs="Times New Roman" w:eastAsia="Times New Roman" w:hAnsi="Times New Roman"/>
          <w:rtl w:val="0"/>
        </w:rPr>
        <w:t xml:space="preserve"> Judy Pearsall; Bill Trumble, Hrsg., The Oxford English Reference Dictionary (Oxford University Press, Toronto, 1996), S. 335.</w:t>
      </w:r>
    </w:p>
    <w:p w:rsidR="00000000" w:rsidDel="00000000" w:rsidP="00000000" w:rsidRDefault="00000000" w:rsidRPr="00000000" w14:paraId="000006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27</w:t>
      </w:r>
      <w:r w:rsidDel="00000000" w:rsidR="00000000" w:rsidRPr="00000000">
        <w:rPr>
          <w:rFonts w:ascii="Times New Roman" w:cs="Times New Roman" w:eastAsia="Times New Roman" w:hAnsi="Times New Roman"/>
          <w:rtl w:val="0"/>
        </w:rPr>
        <w:t xml:space="preserve"> Gary Hamel, Leading the revolution (Harvard Business School Press, Boston, MA, 2000), S. 10.</w:t>
      </w:r>
    </w:p>
    <w:p w:rsidR="00000000" w:rsidDel="00000000" w:rsidP="00000000" w:rsidRDefault="00000000" w:rsidRPr="00000000" w14:paraId="000006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28</w:t>
      </w:r>
      <w:r w:rsidDel="00000000" w:rsidR="00000000" w:rsidRPr="00000000">
        <w:rPr>
          <w:rFonts w:ascii="Times New Roman" w:cs="Times New Roman" w:eastAsia="Times New Roman" w:hAnsi="Times New Roman"/>
          <w:rtl w:val="0"/>
        </w:rPr>
        <w:t xml:space="preserve"> Frances Horibe, Creating the Innovation Culture (John Wiley &amp; Sons Canada Ltd, Etobicoke, 2001), S. 41.</w:t>
      </w:r>
    </w:p>
    <w:p w:rsidR="00000000" w:rsidDel="00000000" w:rsidP="00000000" w:rsidRDefault="00000000" w:rsidRPr="00000000" w14:paraId="000006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29</w:t>
      </w:r>
      <w:r w:rsidDel="00000000" w:rsidR="00000000" w:rsidRPr="00000000">
        <w:rPr>
          <w:rFonts w:ascii="Times New Roman" w:cs="Times New Roman" w:eastAsia="Times New Roman" w:hAnsi="Times New Roman"/>
          <w:rtl w:val="0"/>
        </w:rPr>
        <w:t xml:space="preserve"> Thomas Fogarty, Voices: Inspiring Innovation (Harvard Business Review, August 2002), S. 5.</w:t>
      </w:r>
    </w:p>
    <w:p w:rsidR="00000000" w:rsidDel="00000000" w:rsidP="00000000" w:rsidRDefault="00000000" w:rsidRPr="00000000" w14:paraId="000006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30</w:t>
      </w:r>
      <w:r w:rsidDel="00000000" w:rsidR="00000000" w:rsidRPr="00000000">
        <w:rPr>
          <w:rFonts w:ascii="Times New Roman" w:cs="Times New Roman" w:eastAsia="Times New Roman" w:hAnsi="Times New Roman"/>
          <w:rtl w:val="0"/>
        </w:rPr>
        <w:t xml:space="preserve"> Betty Cohen, Voices: Inspiring Innovation (Harvard Business Review, August 2002), S. 9.</w:t>
      </w:r>
    </w:p>
    <w:p w:rsidR="00000000" w:rsidDel="00000000" w:rsidP="00000000" w:rsidRDefault="00000000" w:rsidRPr="00000000" w14:paraId="000006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31 </w:t>
      </w:r>
      <w:r w:rsidDel="00000000" w:rsidR="00000000" w:rsidRPr="00000000">
        <w:rPr>
          <w:rFonts w:ascii="Times New Roman" w:cs="Times New Roman" w:eastAsia="Times New Roman" w:hAnsi="Times New Roman"/>
          <w:rtl w:val="0"/>
        </w:rPr>
        <w:t xml:space="preserve">Richard Florida, Robert Cushing, Gary Gates, When Social Capital Stifles Innovation (Harvard Business Review, August 2002), S. 3.</w:t>
      </w:r>
    </w:p>
    <w:p w:rsidR="00000000" w:rsidDel="00000000" w:rsidP="00000000" w:rsidRDefault="00000000" w:rsidRPr="00000000" w14:paraId="000006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32</w:t>
      </w:r>
      <w:r w:rsidDel="00000000" w:rsidR="00000000" w:rsidRPr="00000000">
        <w:rPr>
          <w:rFonts w:ascii="Times New Roman" w:cs="Times New Roman" w:eastAsia="Times New Roman" w:hAnsi="Times New Roman"/>
          <w:rtl w:val="0"/>
        </w:rPr>
        <w:t xml:space="preserve"> Ronald A. Heifetz, Donald L. Laurie, The Work of Leadership (Best of Harvard Business Review 1997), S. 11.</w:t>
      </w:r>
    </w:p>
    <w:p w:rsidR="00000000" w:rsidDel="00000000" w:rsidP="00000000" w:rsidRDefault="00000000" w:rsidRPr="00000000" w14:paraId="000006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33</w:t>
      </w:r>
      <w:r w:rsidDel="00000000" w:rsidR="00000000" w:rsidRPr="00000000">
        <w:rPr>
          <w:rFonts w:ascii="Times New Roman" w:cs="Times New Roman" w:eastAsia="Times New Roman" w:hAnsi="Times New Roman"/>
          <w:rtl w:val="0"/>
        </w:rPr>
        <w:t xml:space="preserve"> Clayton M. Christensen, Michael Overdorf, Meeting the Challenge of Disruptive Change (Harvard Business Review, März-April 2000), S. 67.</w:t>
      </w:r>
    </w:p>
    <w:p w:rsidR="00000000" w:rsidDel="00000000" w:rsidP="00000000" w:rsidRDefault="00000000" w:rsidRPr="00000000" w14:paraId="000006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34</w:t>
      </w:r>
      <w:r w:rsidDel="00000000" w:rsidR="00000000" w:rsidRPr="00000000">
        <w:rPr>
          <w:rFonts w:ascii="Times New Roman" w:cs="Times New Roman" w:eastAsia="Times New Roman" w:hAnsi="Times New Roman"/>
          <w:rtl w:val="0"/>
        </w:rPr>
        <w:t xml:space="preserve"> Chris Argyris, Teaching Smart People How to Learn (Harvard Business Review, Mai-Juni 1991), S. 6.</w:t>
      </w:r>
    </w:p>
    <w:p w:rsidR="00000000" w:rsidDel="00000000" w:rsidP="00000000" w:rsidRDefault="00000000" w:rsidRPr="00000000" w14:paraId="000006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35</w:t>
      </w:r>
      <w:r w:rsidDel="00000000" w:rsidR="00000000" w:rsidRPr="00000000">
        <w:rPr>
          <w:rFonts w:ascii="Times New Roman" w:cs="Times New Roman" w:eastAsia="Times New Roman" w:hAnsi="Times New Roman"/>
          <w:rtl w:val="0"/>
        </w:rPr>
        <w:t xml:space="preserve"> Chris Argyris, Teaching Smart People How to Learn (Harvard Business Review, Mai-Juni 1991), S. 5.</w:t>
      </w:r>
    </w:p>
    <w:p w:rsidR="00000000" w:rsidDel="00000000" w:rsidP="00000000" w:rsidRDefault="00000000" w:rsidRPr="00000000" w14:paraId="000007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36</w:t>
      </w:r>
      <w:r w:rsidDel="00000000" w:rsidR="00000000" w:rsidRPr="00000000">
        <w:rPr>
          <w:rFonts w:ascii="Times New Roman" w:cs="Times New Roman" w:eastAsia="Times New Roman" w:hAnsi="Times New Roman"/>
          <w:rtl w:val="0"/>
        </w:rPr>
        <w:t xml:space="preserve"> Esther Dyson, Voices: Inspiring Innovation (Harvard Business Review, August 2002), S. 11.</w:t>
      </w:r>
    </w:p>
    <w:p w:rsidR="00000000" w:rsidDel="00000000" w:rsidP="00000000" w:rsidRDefault="00000000" w:rsidRPr="00000000" w14:paraId="000007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37</w:t>
      </w:r>
      <w:r w:rsidDel="00000000" w:rsidR="00000000" w:rsidRPr="00000000">
        <w:rPr>
          <w:rFonts w:ascii="Times New Roman" w:cs="Times New Roman" w:eastAsia="Times New Roman" w:hAnsi="Times New Roman"/>
          <w:rtl w:val="0"/>
        </w:rPr>
        <w:t xml:space="preserve"> Gary Hamel, Bringing Silicon Valley Inside (Harvard Business Review, September-Oktober 1999), S. 73.</w:t>
      </w:r>
    </w:p>
    <w:p w:rsidR="00000000" w:rsidDel="00000000" w:rsidP="00000000" w:rsidRDefault="00000000" w:rsidRPr="00000000" w14:paraId="000007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38</w:t>
      </w:r>
      <w:r w:rsidDel="00000000" w:rsidR="00000000" w:rsidRPr="00000000">
        <w:rPr>
          <w:rFonts w:ascii="Times New Roman" w:cs="Times New Roman" w:eastAsia="Times New Roman" w:hAnsi="Times New Roman"/>
          <w:rtl w:val="0"/>
        </w:rPr>
        <w:t xml:space="preserve"> Gary Hamel, Bringing Silicon Valley Inside (Harvard Business Review, September-Oktober 1999), S. 73.</w:t>
      </w:r>
    </w:p>
    <w:p w:rsidR="00000000" w:rsidDel="00000000" w:rsidP="00000000" w:rsidRDefault="00000000" w:rsidRPr="00000000" w14:paraId="000007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39</w:t>
      </w:r>
      <w:r w:rsidDel="00000000" w:rsidR="00000000" w:rsidRPr="00000000">
        <w:rPr>
          <w:rFonts w:ascii="Times New Roman" w:cs="Times New Roman" w:eastAsia="Times New Roman" w:hAnsi="Times New Roman"/>
          <w:rtl w:val="0"/>
        </w:rPr>
        <w:t xml:space="preserve"> Harvard Business Review, Voices: Inspiring Innovation (Harvard Business Review, August 2002), S. 4.</w:t>
      </w:r>
    </w:p>
    <w:p w:rsidR="00000000" w:rsidDel="00000000" w:rsidP="00000000" w:rsidRDefault="00000000" w:rsidRPr="00000000" w14:paraId="000007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40 </w:t>
      </w:r>
      <w:r w:rsidDel="00000000" w:rsidR="00000000" w:rsidRPr="00000000">
        <w:rPr>
          <w:rFonts w:ascii="Times New Roman" w:cs="Times New Roman" w:eastAsia="Times New Roman" w:hAnsi="Times New Roman"/>
          <w:rtl w:val="0"/>
        </w:rPr>
        <w:t xml:space="preserve">Gary Hamel, Leading the revolution (Harvard Business School Press, Boston, MA, 2000), S. 11.</w:t>
      </w:r>
    </w:p>
    <w:p w:rsidR="00000000" w:rsidDel="00000000" w:rsidP="00000000" w:rsidRDefault="00000000" w:rsidRPr="00000000" w14:paraId="000007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41</w:t>
      </w:r>
      <w:r w:rsidDel="00000000" w:rsidR="00000000" w:rsidRPr="00000000">
        <w:rPr>
          <w:rFonts w:ascii="Times New Roman" w:cs="Times New Roman" w:eastAsia="Times New Roman" w:hAnsi="Times New Roman"/>
          <w:rtl w:val="0"/>
        </w:rPr>
        <w:t xml:space="preserve"> Louis P. Pojman, Ethics: Discovering Right and Wrong (Wadsworth/Thomson Learning, Toronto, ON, 2002), S. xviii.</w:t>
      </w:r>
    </w:p>
    <w:p w:rsidR="00000000" w:rsidDel="00000000" w:rsidP="00000000" w:rsidRDefault="00000000" w:rsidRPr="00000000" w14:paraId="000007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42</w:t>
      </w:r>
      <w:r w:rsidDel="00000000" w:rsidR="00000000" w:rsidRPr="00000000">
        <w:rPr>
          <w:rFonts w:ascii="Times New Roman" w:cs="Times New Roman" w:eastAsia="Times New Roman" w:hAnsi="Times New Roman"/>
          <w:rtl w:val="0"/>
        </w:rPr>
        <w:t xml:space="preserve"> Louis P. Pojman, Ethics: Discovering Right and Wrong (Wadsworth/Thomson Learning, Toronto, ON, 2002), S. 15.</w:t>
      </w:r>
    </w:p>
    <w:p w:rsidR="00000000" w:rsidDel="00000000" w:rsidP="00000000" w:rsidRDefault="00000000" w:rsidRPr="00000000" w14:paraId="000007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43</w:t>
      </w:r>
      <w:r w:rsidDel="00000000" w:rsidR="00000000" w:rsidRPr="00000000">
        <w:rPr>
          <w:rFonts w:ascii="Times New Roman" w:cs="Times New Roman" w:eastAsia="Times New Roman" w:hAnsi="Times New Roman"/>
          <w:rtl w:val="0"/>
        </w:rPr>
        <w:t xml:space="preserve"> Louis P. Pojman, Ethics: Discovering Right and Wrong (Wadsworth/Thomson Learning, Toronto, ON, 2002), S. 15.</w:t>
      </w:r>
    </w:p>
    <w:p w:rsidR="00000000" w:rsidDel="00000000" w:rsidP="00000000" w:rsidRDefault="00000000" w:rsidRPr="00000000" w14:paraId="000007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44</w:t>
      </w:r>
      <w:r w:rsidDel="00000000" w:rsidR="00000000" w:rsidRPr="00000000">
        <w:rPr>
          <w:rFonts w:ascii="Times New Roman" w:cs="Times New Roman" w:eastAsia="Times New Roman" w:hAnsi="Times New Roman"/>
          <w:rtl w:val="0"/>
        </w:rPr>
        <w:t xml:space="preserve"> Frank Herbert, Dune (Ace Book, The Berkley Publishing Group, New York, NY, 1987), S. 292.</w:t>
      </w:r>
    </w:p>
    <w:p w:rsidR="00000000" w:rsidDel="00000000" w:rsidP="00000000" w:rsidRDefault="00000000" w:rsidRPr="00000000" w14:paraId="000007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45</w:t>
      </w:r>
      <w:r w:rsidDel="00000000" w:rsidR="00000000" w:rsidRPr="00000000">
        <w:rPr>
          <w:rFonts w:ascii="Times New Roman" w:cs="Times New Roman" w:eastAsia="Times New Roman" w:hAnsi="Times New Roman"/>
          <w:rtl w:val="0"/>
        </w:rPr>
        <w:t xml:space="preserve"> Patrick M. Lencioni, Make Your Values Mean Something (Harvard Business Review, Juli 2002), S. 7.</w:t>
      </w:r>
    </w:p>
    <w:p w:rsidR="00000000" w:rsidDel="00000000" w:rsidP="00000000" w:rsidRDefault="00000000" w:rsidRPr="00000000" w14:paraId="000007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46</w:t>
      </w:r>
      <w:r w:rsidDel="00000000" w:rsidR="00000000" w:rsidRPr="00000000">
        <w:rPr>
          <w:rFonts w:ascii="Times New Roman" w:cs="Times New Roman" w:eastAsia="Times New Roman" w:hAnsi="Times New Roman"/>
          <w:rtl w:val="0"/>
        </w:rPr>
        <w:t xml:space="preserve"> Patrick M. Lencioni, Make Your Values Mean Something (Harvard Business Review, Juli 2002), S. 6.</w:t>
      </w:r>
    </w:p>
    <w:p w:rsidR="00000000" w:rsidDel="00000000" w:rsidP="00000000" w:rsidRDefault="00000000" w:rsidRPr="00000000" w14:paraId="000007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47</w:t>
      </w:r>
      <w:r w:rsidDel="00000000" w:rsidR="00000000" w:rsidRPr="00000000">
        <w:rPr>
          <w:rFonts w:ascii="Times New Roman" w:cs="Times New Roman" w:eastAsia="Times New Roman" w:hAnsi="Times New Roman"/>
          <w:rtl w:val="0"/>
        </w:rPr>
        <w:t xml:space="preserve"> Kim Cameron, Ethics, Virtuousness, and Constant Change; Noel M. Tichy; Andrew R. McGill, Hrsg., The Ethical Challenge: How to Lead with Unyielding Integrity (Jossey-Bass, San Francisco, CA, 2003), S. 187.</w:t>
      </w:r>
    </w:p>
    <w:p w:rsidR="00000000" w:rsidDel="00000000" w:rsidP="00000000" w:rsidRDefault="00000000" w:rsidRPr="00000000" w14:paraId="000007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48</w:t>
      </w:r>
      <w:r w:rsidDel="00000000" w:rsidR="00000000" w:rsidRPr="00000000">
        <w:rPr>
          <w:rFonts w:ascii="Times New Roman" w:cs="Times New Roman" w:eastAsia="Times New Roman" w:hAnsi="Times New Roman"/>
          <w:rtl w:val="0"/>
        </w:rPr>
        <w:t xml:space="preserve"> Kim Cameron, Ethics, Virtuousness, and Constant Change; Noel M. Tichy; Andrew R. McGill, Hrsg., The Ethical Challenge: How to Lead with Unyielding Integrity (Jossey-Bass, San Francisco, CA, 2003), S. 189-90.</w:t>
      </w:r>
    </w:p>
    <w:p w:rsidR="00000000" w:rsidDel="00000000" w:rsidP="00000000" w:rsidRDefault="00000000" w:rsidRPr="00000000" w14:paraId="000007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49</w:t>
      </w:r>
      <w:r w:rsidDel="00000000" w:rsidR="00000000" w:rsidRPr="00000000">
        <w:rPr>
          <w:rFonts w:ascii="Times New Roman" w:cs="Times New Roman" w:eastAsia="Times New Roman" w:hAnsi="Times New Roman"/>
          <w:rtl w:val="0"/>
        </w:rPr>
        <w:t xml:space="preserve"> Kim Cameron, Ethics, Virtuousness, and Constant Change; Noel M. Tichy; Andrew R. McGill, Hrsg., The Ethical Challenge: How to Lead with Unyielding Integrity (Jossey-Bass, San Francisco, CA, 2003), S. 189-90.</w:t>
      </w:r>
    </w:p>
    <w:p w:rsidR="00000000" w:rsidDel="00000000" w:rsidP="00000000" w:rsidRDefault="00000000" w:rsidRPr="00000000" w14:paraId="000007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50</w:t>
      </w:r>
      <w:r w:rsidDel="00000000" w:rsidR="00000000" w:rsidRPr="00000000">
        <w:rPr>
          <w:rFonts w:ascii="Times New Roman" w:cs="Times New Roman" w:eastAsia="Times New Roman" w:hAnsi="Times New Roman"/>
          <w:rtl w:val="0"/>
        </w:rPr>
        <w:t xml:space="preserve"> Malham M. Wakin, The Ethics of Leadership I, War, Morality, and the Military Profession (Westview Press, Inc. Boulder, CO, 1986), S. 186.</w:t>
      </w:r>
    </w:p>
    <w:p w:rsidR="00000000" w:rsidDel="00000000" w:rsidP="00000000" w:rsidRDefault="00000000" w:rsidRPr="00000000" w14:paraId="000007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51</w:t>
      </w:r>
      <w:r w:rsidDel="00000000" w:rsidR="00000000" w:rsidRPr="00000000">
        <w:rPr>
          <w:rFonts w:ascii="Times New Roman" w:cs="Times New Roman" w:eastAsia="Times New Roman" w:hAnsi="Times New Roman"/>
          <w:rtl w:val="0"/>
        </w:rPr>
        <w:t xml:space="preserve"> James A. Baker III, Business Ethics in Sceptical Times, Noel M. Tichy; Andrew R. McGill, Hrsg., The Ethical Challenge: How to Lead with Unyielding Integrity (Jossey-Bass, San Francisco, CA, 2003), S. 72.</w:t>
      </w:r>
    </w:p>
    <w:p w:rsidR="00000000" w:rsidDel="00000000" w:rsidP="00000000" w:rsidRDefault="00000000" w:rsidRPr="00000000" w14:paraId="000007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52</w:t>
      </w:r>
      <w:r w:rsidDel="00000000" w:rsidR="00000000" w:rsidRPr="00000000">
        <w:rPr>
          <w:rFonts w:ascii="Times New Roman" w:cs="Times New Roman" w:eastAsia="Times New Roman" w:hAnsi="Times New Roman"/>
          <w:rtl w:val="0"/>
        </w:rPr>
        <w:t xml:space="preserve"> In diesem Aufsatz beabsichtige ich nicht, mich in die Debatte darüber einzumischen, welche Werte Teil der militärischen Kultur jedes Landes sein sollten und welche nicht. Ich sage lediglich, dass ich mich über den Reichtum kultureller Unterschiede zwischen den Völkern freue, jedoch ablehne, dass die Vorteile der Vielfalt in den moralischen Bereich reichen. Die menschliche Moral ist genau das, ethische Standards sind für alle Menschen gleich. Im Gegensatz zu dem moralischen Blankoscheck, den der </w:t>
      </w:r>
    </w:p>
    <w:p w:rsidR="00000000" w:rsidDel="00000000" w:rsidP="00000000" w:rsidRDefault="00000000" w:rsidRPr="00000000" w14:paraId="000007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5">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110</w:t>
      </w:r>
    </w:p>
    <w:p w:rsidR="00000000" w:rsidDel="00000000" w:rsidP="00000000" w:rsidRDefault="00000000" w:rsidRPr="00000000" w14:paraId="000007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Moralrelativismus predigt, denke ich, dass wir das moralische Verhalten anderer beurteilen müssen und bereit sein sollten, selbst beurteilt zu werden, und dann entsprechend handeln müssen. Natürlich ist es wichtig, sorgfältig zwischen Moral und Brauch zu unterscheiden, denn das ist entscheidend in diesem Bereich. Es ist wichtig, dass die Militärprofession die Bedeutung der Festlegung klarer ethischer Standards für unsere Organisationen versteht.</w:t>
      </w:r>
    </w:p>
    <w:p w:rsidR="00000000" w:rsidDel="00000000" w:rsidP="00000000" w:rsidRDefault="00000000" w:rsidRPr="00000000" w14:paraId="000007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53</w:t>
      </w:r>
      <w:r w:rsidDel="00000000" w:rsidR="00000000" w:rsidRPr="00000000">
        <w:rPr>
          <w:rFonts w:ascii="Times New Roman" w:cs="Times New Roman" w:eastAsia="Times New Roman" w:hAnsi="Times New Roman"/>
          <w:rtl w:val="0"/>
        </w:rPr>
        <w:t xml:space="preserve"> Für ein Beispiel für diese Art von Wertesystem siehe Kanadas Erklärung zur Verteidigungsethik unter http://www.dnd.ca/crs/ethics/pages/statem_e.htm.</w:t>
      </w:r>
    </w:p>
    <w:p w:rsidR="00000000" w:rsidDel="00000000" w:rsidP="00000000" w:rsidRDefault="00000000" w:rsidRPr="00000000" w14:paraId="000007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54</w:t>
      </w:r>
      <w:r w:rsidDel="00000000" w:rsidR="00000000" w:rsidRPr="00000000">
        <w:rPr>
          <w:rFonts w:ascii="Times New Roman" w:cs="Times New Roman" w:eastAsia="Times New Roman" w:hAnsi="Times New Roman"/>
          <w:rtl w:val="0"/>
        </w:rPr>
        <w:t xml:space="preserve"> Patrick M. Lencioni, Machen Sie Ihren Werten Bedeutung (Harvard Business Review, Juli 2002), S. 5.</w:t>
      </w:r>
    </w:p>
    <w:p w:rsidR="00000000" w:rsidDel="00000000" w:rsidP="00000000" w:rsidRDefault="00000000" w:rsidRPr="00000000" w14:paraId="000007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55</w:t>
      </w:r>
      <w:r w:rsidDel="00000000" w:rsidR="00000000" w:rsidRPr="00000000">
        <w:rPr>
          <w:rFonts w:ascii="Times New Roman" w:cs="Times New Roman" w:eastAsia="Times New Roman" w:hAnsi="Times New Roman"/>
          <w:rtl w:val="0"/>
        </w:rPr>
        <w:t xml:space="preserve"> James A. Baker III, Geschäftsethik in skeptischen Zeiten, Noel M. Tichy; Andrew R. McGill, Hrsg., Die ethische Herausforderung: Wie man mit unerschütterlicher Integrität führt (Jossey-Bass, San Francisco, CA, 2003), S. 72.</w:t>
      </w:r>
    </w:p>
    <w:p w:rsidR="00000000" w:rsidDel="00000000" w:rsidP="00000000" w:rsidRDefault="00000000" w:rsidRPr="00000000" w14:paraId="000007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56</w:t>
      </w:r>
      <w:r w:rsidDel="00000000" w:rsidR="00000000" w:rsidRPr="00000000">
        <w:rPr>
          <w:rFonts w:ascii="Times New Roman" w:cs="Times New Roman" w:eastAsia="Times New Roman" w:hAnsi="Times New Roman"/>
          <w:rtl w:val="0"/>
        </w:rPr>
        <w:t xml:space="preserve"> James Q. Wilson, in David G. Myers, Psychologie, Sechste Auflage (Worth Publisher, New York, NY, 2001), S. 148.</w:t>
      </w:r>
    </w:p>
    <w:p w:rsidR="00000000" w:rsidDel="00000000" w:rsidP="00000000" w:rsidRDefault="00000000" w:rsidRPr="00000000" w14:paraId="000007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57</w:t>
      </w:r>
      <w:r w:rsidDel="00000000" w:rsidR="00000000" w:rsidRPr="00000000">
        <w:rPr>
          <w:rFonts w:ascii="Times New Roman" w:cs="Times New Roman" w:eastAsia="Times New Roman" w:hAnsi="Times New Roman"/>
          <w:rtl w:val="0"/>
        </w:rPr>
        <w:t xml:space="preserve"> Noel M. Tichy; Andrew R. McGill, Hrsg., Die ethische Herausforderung: Wie man mit unerschütterlicher Integrität führt (Jossey-Bass, San Francisco, CA, 2003), S. 58.</w:t>
      </w:r>
    </w:p>
    <w:p w:rsidR="00000000" w:rsidDel="00000000" w:rsidP="00000000" w:rsidRDefault="00000000" w:rsidRPr="00000000" w14:paraId="000007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58</w:t>
      </w:r>
      <w:r w:rsidDel="00000000" w:rsidR="00000000" w:rsidRPr="00000000">
        <w:rPr>
          <w:rFonts w:ascii="Times New Roman" w:cs="Times New Roman" w:eastAsia="Times New Roman" w:hAnsi="Times New Roman"/>
          <w:rtl w:val="0"/>
        </w:rPr>
        <w:t xml:space="preserve"> Die postkonventionelle Stufe tritt am häufigsten bei gebildeten Menschen in Europa und Nordamerika auf und wird daher von einigen als voreingenommen gegenüber Kulturen angesehen, die individuelle Rechte nicht so hoch schätzen wie diese Gruppe.</w:t>
      </w:r>
    </w:p>
    <w:p w:rsidR="00000000" w:rsidDel="00000000" w:rsidP="00000000" w:rsidRDefault="00000000" w:rsidRPr="00000000" w14:paraId="000007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59 </w:t>
      </w:r>
      <w:r w:rsidDel="00000000" w:rsidR="00000000" w:rsidRPr="00000000">
        <w:rPr>
          <w:rFonts w:ascii="Times New Roman" w:cs="Times New Roman" w:eastAsia="Times New Roman" w:hAnsi="Times New Roman"/>
          <w:rtl w:val="0"/>
        </w:rPr>
        <w:t xml:space="preserve">David G. Myers, Psychologie, Sechste Auflage (Worth Publisher, New York, NY, 2001), S. 146-8.</w:t>
      </w:r>
    </w:p>
    <w:p w:rsidR="00000000" w:rsidDel="00000000" w:rsidP="00000000" w:rsidRDefault="00000000" w:rsidRPr="00000000" w14:paraId="000007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60</w:t>
      </w:r>
      <w:r w:rsidDel="00000000" w:rsidR="00000000" w:rsidRPr="00000000">
        <w:rPr>
          <w:rFonts w:ascii="Times New Roman" w:cs="Times New Roman" w:eastAsia="Times New Roman" w:hAnsi="Times New Roman"/>
          <w:rtl w:val="0"/>
        </w:rPr>
        <w:t xml:space="preserve"> Michel Eyquem de Montaigne, in David G. Myers, Psychologie, Sechste Auflage (Worth Publisher, New York, NY, 2001), S. 146.</w:t>
      </w:r>
    </w:p>
    <w:p w:rsidR="00000000" w:rsidDel="00000000" w:rsidP="00000000" w:rsidRDefault="00000000" w:rsidRPr="00000000" w14:paraId="000007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61</w:t>
      </w:r>
      <w:r w:rsidDel="00000000" w:rsidR="00000000" w:rsidRPr="00000000">
        <w:rPr>
          <w:rFonts w:ascii="Times New Roman" w:cs="Times New Roman" w:eastAsia="Times New Roman" w:hAnsi="Times New Roman"/>
          <w:rtl w:val="0"/>
        </w:rPr>
        <w:t xml:space="preserve"> James A. Baker III, Geschäftsethik in skeptischen Zeiten; Noel M. Tichy; Andrew R. McGill, Hrsg., Die ethische Herausforderung: Wie man mit unerschütterlicher Integrität führt (Jossey-Bass, San Francisco, CA, 2003), S. 73.</w:t>
      </w:r>
    </w:p>
    <w:p w:rsidR="00000000" w:rsidDel="00000000" w:rsidP="00000000" w:rsidRDefault="00000000" w:rsidRPr="00000000" w14:paraId="000007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62 </w:t>
      </w:r>
      <w:r w:rsidDel="00000000" w:rsidR="00000000" w:rsidRPr="00000000">
        <w:rPr>
          <w:rFonts w:ascii="Times New Roman" w:cs="Times New Roman" w:eastAsia="Times New Roman" w:hAnsi="Times New Roman"/>
          <w:rtl w:val="0"/>
        </w:rPr>
        <w:t xml:space="preserve">Judy Pearsall; Bill Trumble, Hrsg., Das Oxford English Reference Dictionary (Oxford University Press, Toronto, 1996), S. 1152.</w:t>
      </w:r>
    </w:p>
    <w:p w:rsidR="00000000" w:rsidDel="00000000" w:rsidP="00000000" w:rsidRDefault="00000000" w:rsidRPr="00000000" w14:paraId="000007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63</w:t>
      </w:r>
      <w:r w:rsidDel="00000000" w:rsidR="00000000" w:rsidRPr="00000000">
        <w:rPr>
          <w:rFonts w:ascii="Times New Roman" w:cs="Times New Roman" w:eastAsia="Times New Roman" w:hAnsi="Times New Roman"/>
          <w:rtl w:val="0"/>
        </w:rPr>
        <w:t xml:space="preserve"> Patrick M. Lencioni, Machen Sie Ihren Werten Bedeutung (Harvard Business Review, Juli 2002), S. 9.</w:t>
      </w:r>
    </w:p>
    <w:p w:rsidR="00000000" w:rsidDel="00000000" w:rsidP="00000000" w:rsidRDefault="00000000" w:rsidRPr="00000000" w14:paraId="000007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64 </w:t>
      </w:r>
      <w:r w:rsidDel="00000000" w:rsidR="00000000" w:rsidRPr="00000000">
        <w:rPr>
          <w:rFonts w:ascii="Times New Roman" w:cs="Times New Roman" w:eastAsia="Times New Roman" w:hAnsi="Times New Roman"/>
          <w:rtl w:val="0"/>
        </w:rPr>
        <w:t xml:space="preserve">Barbara W. Tuchman, Der Irrweg von Troja bis Vietnam (Alfred A. Knopf, Inc., New York, 1984), S. 387.</w:t>
      </w:r>
    </w:p>
    <w:p w:rsidR="00000000" w:rsidDel="00000000" w:rsidP="00000000" w:rsidRDefault="00000000" w:rsidRPr="00000000" w14:paraId="000007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65</w:t>
      </w:r>
      <w:r w:rsidDel="00000000" w:rsidR="00000000" w:rsidRPr="00000000">
        <w:rPr>
          <w:rFonts w:ascii="Times New Roman" w:cs="Times New Roman" w:eastAsia="Times New Roman" w:hAnsi="Times New Roman"/>
          <w:rtl w:val="0"/>
        </w:rPr>
        <w:t xml:space="preserve"> Enron Jahresbericht 2000, http://www.enron.com/corp/investors/annuals/2000/ourvalues.html, abgerufen am 24. Juli 2003.</w:t>
      </w:r>
    </w:p>
    <w:p w:rsidR="00000000" w:rsidDel="00000000" w:rsidP="00000000" w:rsidRDefault="00000000" w:rsidRPr="00000000" w14:paraId="000007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66</w:t>
      </w:r>
      <w:r w:rsidDel="00000000" w:rsidR="00000000" w:rsidRPr="00000000">
        <w:rPr>
          <w:rFonts w:ascii="Times New Roman" w:cs="Times New Roman" w:eastAsia="Times New Roman" w:hAnsi="Times New Roman"/>
          <w:rtl w:val="0"/>
        </w:rPr>
        <w:t xml:space="preserve"> Enron Fraud InfoCenter, http://www.enronfraudinfocenter.com/information.php, abgerufen am 24. Juli 2003.</w:t>
      </w:r>
    </w:p>
    <w:p w:rsidR="00000000" w:rsidDel="00000000" w:rsidP="00000000" w:rsidRDefault="00000000" w:rsidRPr="00000000" w14:paraId="000007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67</w:t>
      </w:r>
      <w:r w:rsidDel="00000000" w:rsidR="00000000" w:rsidRPr="00000000">
        <w:rPr>
          <w:rFonts w:ascii="Times New Roman" w:cs="Times New Roman" w:eastAsia="Times New Roman" w:hAnsi="Times New Roman"/>
          <w:rtl w:val="0"/>
        </w:rPr>
        <w:t xml:space="preserve"> Es gab zahlreiche Beschwerden darüber, dass nach der Ankündigung des Konkurses ein so hoher Prozentsatz der Mittel des 401(k)-Rentensparplans in Enron-Aktien investiert war. Da die Beschwerden nicht so laut waren, als die Aktien über die 100-Dollar-Marke stiegen, können sie mit Recht als etwas unaufrichtig angesehen werden.</w:t>
      </w:r>
    </w:p>
    <w:p w:rsidR="00000000" w:rsidDel="00000000" w:rsidP="00000000" w:rsidRDefault="00000000" w:rsidRPr="00000000" w14:paraId="000007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68</w:t>
      </w:r>
      <w:r w:rsidDel="00000000" w:rsidR="00000000" w:rsidRPr="00000000">
        <w:rPr>
          <w:rFonts w:ascii="Times New Roman" w:cs="Times New Roman" w:eastAsia="Times New Roman" w:hAnsi="Times New Roman"/>
          <w:rtl w:val="0"/>
        </w:rPr>
        <w:t xml:space="preserve"> Bela Barner, Schuldzuweisungen gegen Joe Berardino für Arthur Andersen, (Virtual Strategist, Ausgabe 4, Herbst 2002, VirtualStrategist.net LLC, 2002), S. 3.</w:t>
      </w:r>
    </w:p>
    <w:p w:rsidR="00000000" w:rsidDel="00000000" w:rsidP="00000000" w:rsidRDefault="00000000" w:rsidRPr="00000000" w14:paraId="000007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69 </w:t>
      </w:r>
      <w:r w:rsidDel="00000000" w:rsidR="00000000" w:rsidRPr="00000000">
        <w:rPr>
          <w:rFonts w:ascii="Times New Roman" w:cs="Times New Roman" w:eastAsia="Times New Roman" w:hAnsi="Times New Roman"/>
          <w:rtl w:val="0"/>
        </w:rPr>
        <w:t xml:space="preserve">Barbara Ley Toffler, in John P. Mello Jr., Der Fall von Arthur Andersen begann lange vor Enron (Boston Globe Online, 27. Juli 2003).</w:t>
      </w:r>
    </w:p>
    <w:p w:rsidR="00000000" w:rsidDel="00000000" w:rsidP="00000000" w:rsidRDefault="00000000" w:rsidRPr="00000000" w14:paraId="000007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70</w:t>
      </w:r>
      <w:r w:rsidDel="00000000" w:rsidR="00000000" w:rsidRPr="00000000">
        <w:rPr>
          <w:rFonts w:ascii="Times New Roman" w:cs="Times New Roman" w:eastAsia="Times New Roman" w:hAnsi="Times New Roman"/>
          <w:rtl w:val="0"/>
        </w:rPr>
        <w:t xml:space="preserve"> David G. Myers, Psychologie, Sechste Auflage (Worth Publisher, New York, NY, 2001), S. 148.</w:t>
      </w:r>
    </w:p>
    <w:p w:rsidR="00000000" w:rsidDel="00000000" w:rsidP="00000000" w:rsidRDefault="00000000" w:rsidRPr="00000000" w14:paraId="000007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71</w:t>
      </w:r>
      <w:r w:rsidDel="00000000" w:rsidR="00000000" w:rsidRPr="00000000">
        <w:rPr>
          <w:rFonts w:ascii="Times New Roman" w:cs="Times New Roman" w:eastAsia="Times New Roman" w:hAnsi="Times New Roman"/>
          <w:rtl w:val="0"/>
        </w:rPr>
        <w:t xml:space="preserve"> Mir fallen mehrere aktuelle Beispiele ein, vielleicht am besten verkörpert durch das Handeln von Major Harry Schmidt und, in geringerem Maße, seinem Staffelkommandanten Major William Umbach von der Illinois Air National Guard. Major Schmidt tötete nach Angaben des Berichts des US-Untersuchungsausschusses (BOI) vier kanadische Soldaten, indem er ihre Position bombardiert, nachdem er es versäumt hatte, bestehende Einsatzregeln zu befolgen, das Standardverfahren nicht einhielt und einen Befehl zum Feuerhalten ignorierte. Trotz der Beweise, die sowohl dem BOI als auch dem Richter in der Anhörung nach Artikel 51 vorgelegt wurden, gab die Kommandoautorität bekannt, dass sie die gegen Major Schmidt erhobenen Anklagen (vier Anklagepunkte wegen Totschlags, acht Anklagepunkte wegen Körperverletzung und ein Anklagepunkt wegen Pflichtverletzung) nicht weiter verfolgen würde. Natürlich könnte man argumentieren, dass dies mehr über den moralischen Kompass der leitenden Offiziere der US Air Force aussagt als über Major Schmidt.</w:t>
      </w:r>
    </w:p>
    <w:p w:rsidR="00000000" w:rsidDel="00000000" w:rsidP="00000000" w:rsidRDefault="00000000" w:rsidRPr="00000000" w14:paraId="000007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72</w:t>
      </w:r>
      <w:r w:rsidDel="00000000" w:rsidR="00000000" w:rsidRPr="00000000">
        <w:rPr>
          <w:rFonts w:ascii="Times New Roman" w:cs="Times New Roman" w:eastAsia="Times New Roman" w:hAnsi="Times New Roman"/>
          <w:rtl w:val="0"/>
        </w:rPr>
        <w:t xml:space="preserve"> Hew Strachan, Europäische Armeen und das Kriegsverhalten (Routledge, New York, 1983), S. 92-3.</w:t>
      </w:r>
    </w:p>
    <w:p w:rsidR="00000000" w:rsidDel="00000000" w:rsidP="00000000" w:rsidRDefault="00000000" w:rsidRPr="00000000" w14:paraId="000007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73</w:t>
      </w:r>
      <w:r w:rsidDel="00000000" w:rsidR="00000000" w:rsidRPr="00000000">
        <w:rPr>
          <w:rFonts w:ascii="Times New Roman" w:cs="Times New Roman" w:eastAsia="Times New Roman" w:hAnsi="Times New Roman"/>
          <w:rtl w:val="0"/>
        </w:rPr>
        <w:t xml:space="preserve"> Zum Beispiel die Handlungen der kanadischen Airborne-Truppen in Somalia.</w:t>
      </w:r>
    </w:p>
    <w:p w:rsidR="00000000" w:rsidDel="00000000" w:rsidP="00000000" w:rsidRDefault="00000000" w:rsidRPr="00000000" w14:paraId="000007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74</w:t>
      </w:r>
      <w:r w:rsidDel="00000000" w:rsidR="00000000" w:rsidRPr="00000000">
        <w:rPr>
          <w:rFonts w:ascii="Times New Roman" w:cs="Times New Roman" w:eastAsia="Times New Roman" w:hAnsi="Times New Roman"/>
          <w:rtl w:val="0"/>
        </w:rPr>
        <w:t xml:space="preserve"> Kim Cameron, Ethik, Tugendhaftigkeit und ständiger Wandel; Noel M. Tichy; Andrew R. McGill, Hrsg., Die ethische Herausforderung: Wie man mit unerschütterlicher Integrität führt (Jossey-Bass, San Francisco, CA, 2003), S. 191-2.</w:t>
      </w:r>
    </w:p>
    <w:p w:rsidR="00000000" w:rsidDel="00000000" w:rsidP="00000000" w:rsidRDefault="00000000" w:rsidRPr="00000000" w14:paraId="000007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75</w:t>
      </w:r>
      <w:r w:rsidDel="00000000" w:rsidR="00000000" w:rsidRPr="00000000">
        <w:rPr>
          <w:rFonts w:ascii="Times New Roman" w:cs="Times New Roman" w:eastAsia="Times New Roman" w:hAnsi="Times New Roman"/>
          <w:rtl w:val="0"/>
        </w:rPr>
        <w:t xml:space="preserve"> Gianfrancesco Pico Iella Mirandola, zitiert in Barbara W. Tuchman, Der Irrweg von Troja bis Vietnam (Alfred A. Knopf, Inc., New York, 1984), S. 112.</w:t>
      </w:r>
    </w:p>
    <w:p w:rsidR="00000000" w:rsidDel="00000000" w:rsidP="00000000" w:rsidRDefault="00000000" w:rsidRPr="00000000" w14:paraId="000007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76</w:t>
      </w:r>
      <w:r w:rsidDel="00000000" w:rsidR="00000000" w:rsidRPr="00000000">
        <w:rPr>
          <w:rFonts w:ascii="Times New Roman" w:cs="Times New Roman" w:eastAsia="Times New Roman" w:hAnsi="Times New Roman"/>
          <w:rtl w:val="0"/>
        </w:rPr>
        <w:t xml:space="preserve"> Frank Herbert, Dune (Ace Book, The Berkley Publishing Group, New York, NY, 1987), S. 31.</w:t>
      </w:r>
    </w:p>
    <w:p w:rsidR="00000000" w:rsidDel="00000000" w:rsidP="00000000" w:rsidRDefault="00000000" w:rsidRPr="00000000" w14:paraId="000007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111</w:t>
      </w:r>
    </w:p>
    <w:p w:rsidR="00000000" w:rsidDel="00000000" w:rsidP="00000000" w:rsidRDefault="00000000" w:rsidRPr="00000000" w14:paraId="000007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77</w:t>
      </w:r>
      <w:r w:rsidDel="00000000" w:rsidR="00000000" w:rsidRPr="00000000">
        <w:rPr>
          <w:rFonts w:ascii="Times New Roman" w:cs="Times New Roman" w:eastAsia="Times New Roman" w:hAnsi="Times New Roman"/>
          <w:rtl w:val="0"/>
        </w:rPr>
        <w:t xml:space="preserve"> Chris Argyris, Gute Kommunikation, die das Lernen blockiert (Harvard Business Review, Juli-August 1994), S. 84.</w:t>
      </w:r>
    </w:p>
    <w:p w:rsidR="00000000" w:rsidDel="00000000" w:rsidP="00000000" w:rsidRDefault="00000000" w:rsidRPr="00000000" w14:paraId="000007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78</w:t>
      </w:r>
      <w:r w:rsidDel="00000000" w:rsidR="00000000" w:rsidRPr="00000000">
        <w:rPr>
          <w:rFonts w:ascii="Times New Roman" w:cs="Times New Roman" w:eastAsia="Times New Roman" w:hAnsi="Times New Roman"/>
          <w:rtl w:val="0"/>
        </w:rPr>
        <w:t xml:space="preserve"> Bruce W. Tuckman in Zenger Miller, Starten und Betanken Ihres Teams: Werkzeuge und Techniken (Zenger Miller Inc., San Jose, CA, 1992), S. 4.</w:t>
      </w:r>
    </w:p>
    <w:p w:rsidR="00000000" w:rsidDel="00000000" w:rsidP="00000000" w:rsidRDefault="00000000" w:rsidRPr="00000000" w14:paraId="000007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79</w:t>
      </w:r>
      <w:r w:rsidDel="00000000" w:rsidR="00000000" w:rsidRPr="00000000">
        <w:rPr>
          <w:rFonts w:ascii="Times New Roman" w:cs="Times New Roman" w:eastAsia="Times New Roman" w:hAnsi="Times New Roman"/>
          <w:rtl w:val="0"/>
        </w:rPr>
        <w:t xml:space="preserve"> Ronald A. Heifetz, Donald L. Laurie, Die Arbeit der Führung (Best of Harvard Business Review 1997), S. 5.</w:t>
      </w:r>
    </w:p>
    <w:p w:rsidR="00000000" w:rsidDel="00000000" w:rsidP="00000000" w:rsidRDefault="00000000" w:rsidRPr="00000000" w14:paraId="000007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80</w:t>
      </w:r>
      <w:r w:rsidDel="00000000" w:rsidR="00000000" w:rsidRPr="00000000">
        <w:rPr>
          <w:rFonts w:ascii="Times New Roman" w:cs="Times New Roman" w:eastAsia="Times New Roman" w:hAnsi="Times New Roman"/>
          <w:rtl w:val="0"/>
        </w:rPr>
        <w:t xml:space="preserve"> Clayton M. Christensen, Michael Overdorf, Die Herausforderung des disruptiven Wandels bewältigen (Harvard Business Review, März-April 2000), S. 71.</w:t>
      </w:r>
    </w:p>
    <w:p w:rsidR="00000000" w:rsidDel="00000000" w:rsidP="00000000" w:rsidRDefault="00000000" w:rsidRPr="00000000" w14:paraId="000007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81</w:t>
      </w:r>
      <w:r w:rsidDel="00000000" w:rsidR="00000000" w:rsidRPr="00000000">
        <w:rPr>
          <w:rFonts w:ascii="Times New Roman" w:cs="Times New Roman" w:eastAsia="Times New Roman" w:hAnsi="Times New Roman"/>
          <w:rtl w:val="0"/>
        </w:rPr>
        <w:t xml:space="preserve"> Ronald A. Heifetz, Donald L. Laurie, Die Arbeit der Führung (Best of Harvard Business Review 1997), S. 6.</w:t>
      </w:r>
    </w:p>
    <w:p w:rsidR="00000000" w:rsidDel="00000000" w:rsidP="00000000" w:rsidRDefault="00000000" w:rsidRPr="00000000" w14:paraId="000007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82 </w:t>
      </w:r>
      <w:r w:rsidDel="00000000" w:rsidR="00000000" w:rsidRPr="00000000">
        <w:rPr>
          <w:rFonts w:ascii="Times New Roman" w:cs="Times New Roman" w:eastAsia="Times New Roman" w:hAnsi="Times New Roman"/>
          <w:rtl w:val="0"/>
        </w:rPr>
        <w:t xml:space="preserve">Ronald A. Heifetz, Donald L. Laurie, Die Arbeit der Führung (Best of Harvard Business Review 1997), S. 8.</w:t>
      </w:r>
    </w:p>
    <w:p w:rsidR="00000000" w:rsidDel="00000000" w:rsidP="00000000" w:rsidRDefault="00000000" w:rsidRPr="00000000" w14:paraId="000007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83</w:t>
      </w:r>
      <w:r w:rsidDel="00000000" w:rsidR="00000000" w:rsidRPr="00000000">
        <w:rPr>
          <w:rFonts w:ascii="Times New Roman" w:cs="Times New Roman" w:eastAsia="Times New Roman" w:hAnsi="Times New Roman"/>
          <w:rtl w:val="0"/>
        </w:rPr>
        <w:t xml:space="preserve"> Richard Florida, Robert Cushing, Gary Gates, Wenn soziales Kapital Innovationen behindert (Harvard Business Review, August 2002), S. 3.</w:t>
      </w:r>
    </w:p>
    <w:p w:rsidR="00000000" w:rsidDel="00000000" w:rsidP="00000000" w:rsidRDefault="00000000" w:rsidRPr="00000000" w14:paraId="000007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84 </w:t>
      </w:r>
      <w:r w:rsidDel="00000000" w:rsidR="00000000" w:rsidRPr="00000000">
        <w:rPr>
          <w:rFonts w:ascii="Times New Roman" w:cs="Times New Roman" w:eastAsia="Times New Roman" w:hAnsi="Times New Roman"/>
          <w:rtl w:val="0"/>
        </w:rPr>
        <w:t xml:space="preserve">Clayton M. Christensen, Michael Overdorf, Die Herausforderung des disruptiven Wandels bewältigen (Harvard Business Review, März-April 2000), S. 71.</w:t>
      </w:r>
    </w:p>
    <w:p w:rsidR="00000000" w:rsidDel="00000000" w:rsidP="00000000" w:rsidRDefault="00000000" w:rsidRPr="00000000" w14:paraId="000007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85</w:t>
      </w:r>
      <w:r w:rsidDel="00000000" w:rsidR="00000000" w:rsidRPr="00000000">
        <w:rPr>
          <w:rFonts w:ascii="Times New Roman" w:cs="Times New Roman" w:eastAsia="Times New Roman" w:hAnsi="Times New Roman"/>
          <w:rtl w:val="0"/>
        </w:rPr>
        <w:t xml:space="preserve"> Roger W. Barnett, Asymmetrische Kriegsführung: Die heutige Herausforderung für die US-Militärmacht (Brassey's Inc., Washington, D.C., 2003), S. 3.</w:t>
      </w:r>
    </w:p>
    <w:p w:rsidR="00000000" w:rsidDel="00000000" w:rsidP="00000000" w:rsidRDefault="00000000" w:rsidRPr="00000000" w14:paraId="000007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86</w:t>
      </w:r>
      <w:r w:rsidDel="00000000" w:rsidR="00000000" w:rsidRPr="00000000">
        <w:rPr>
          <w:rFonts w:ascii="Times New Roman" w:cs="Times New Roman" w:eastAsia="Times New Roman" w:hAnsi="Times New Roman"/>
          <w:rtl w:val="0"/>
        </w:rPr>
        <w:t xml:space="preserve"> Carl von Clausewitz, Kriegführung (Übersetzt und bearbeitet von Hans W. Gatzke, The Military Service Publishing Company, 1942), http://www.clausewitz.com/CWZHOME/PrincWar/Princwr1.htm, abgerufen am 11. Mai 2003.</w:t>
      </w:r>
    </w:p>
    <w:p w:rsidR="00000000" w:rsidDel="00000000" w:rsidP="00000000" w:rsidRDefault="00000000" w:rsidRPr="00000000" w14:paraId="000007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87</w:t>
      </w:r>
      <w:r w:rsidDel="00000000" w:rsidR="00000000" w:rsidRPr="00000000">
        <w:rPr>
          <w:rFonts w:ascii="Times New Roman" w:cs="Times New Roman" w:eastAsia="Times New Roman" w:hAnsi="Times New Roman"/>
          <w:rtl w:val="0"/>
        </w:rPr>
        <w:t xml:space="preserve"> Baron Antoine Henri de Jomini, Die Kunst des Krieges (Greenhill Books, Mechanicsburg, PA, 1992), S. 43.</w:t>
      </w:r>
    </w:p>
    <w:p w:rsidR="00000000" w:rsidDel="00000000" w:rsidP="00000000" w:rsidRDefault="00000000" w:rsidRPr="00000000" w14:paraId="000007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88</w:t>
      </w:r>
      <w:r w:rsidDel="00000000" w:rsidR="00000000" w:rsidRPr="00000000">
        <w:rPr>
          <w:rFonts w:ascii="Times New Roman" w:cs="Times New Roman" w:eastAsia="Times New Roman" w:hAnsi="Times New Roman"/>
          <w:rtl w:val="0"/>
        </w:rPr>
        <w:t xml:space="preserve"> Marie-France Pochna, Christian Dior: Der Mann, der die Welt neu aussehen ließ (Arcade Publishing, Inc., New York, 1994), S. 131.</w:t>
      </w:r>
    </w:p>
    <w:p w:rsidR="00000000" w:rsidDel="00000000" w:rsidP="00000000" w:rsidRDefault="00000000" w:rsidRPr="00000000" w14:paraId="00000772">
      <w:pPr>
        <w:jc w:val="both"/>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7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89</w:t>
      </w:r>
      <w:r w:rsidDel="00000000" w:rsidR="00000000" w:rsidRPr="00000000">
        <w:rPr>
          <w:rFonts w:ascii="Times New Roman" w:cs="Times New Roman" w:eastAsia="Times New Roman" w:hAnsi="Times New Roman"/>
          <w:rtl w:val="0"/>
        </w:rPr>
        <w:t xml:space="preserve"> Luft- und Raumfahrt-Doktrin für die kanadischen Streitkräfte (B-GA400-000/AF-000), http://www.airforce.forces.gc.ca/libradocs/library5-e.htm, abgerufen am 11. Mai 2003.</w:t>
      </w:r>
    </w:p>
    <w:p w:rsidR="00000000" w:rsidDel="00000000" w:rsidP="00000000" w:rsidRDefault="00000000" w:rsidRPr="00000000" w14:paraId="000007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90</w:t>
      </w:r>
      <w:r w:rsidDel="00000000" w:rsidR="00000000" w:rsidRPr="00000000">
        <w:rPr>
          <w:rFonts w:ascii="Times New Roman" w:cs="Times New Roman" w:eastAsia="Times New Roman" w:hAnsi="Times New Roman"/>
          <w:rtl w:val="0"/>
        </w:rPr>
        <w:t xml:space="preserve"> Der Leitfaden für Stabsoffiziere des Gemeinsamen Stabs 2000, JFSC PUB 1 (National Defense University, Norfolk, 2000), S. D-2.</w:t>
      </w:r>
    </w:p>
    <w:p w:rsidR="00000000" w:rsidDel="00000000" w:rsidP="00000000" w:rsidRDefault="00000000" w:rsidRPr="00000000" w14:paraId="000007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7">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Page 112</w:t>
      </w:r>
      <w:r w:rsidDel="00000000" w:rsidR="00000000" w:rsidRPr="00000000">
        <w:rPr>
          <w:rtl w:val="0"/>
        </w:rPr>
      </w:r>
    </w:p>
    <w:p w:rsidR="00000000" w:rsidDel="00000000" w:rsidP="00000000" w:rsidRDefault="00000000" w:rsidRPr="00000000" w14:paraId="00000778">
      <w:pPr>
        <w:pStyle w:val="Heading2"/>
        <w:jc w:val="center"/>
        <w:rPr>
          <w:rFonts w:ascii="Times New Roman" w:cs="Times New Roman" w:eastAsia="Times New Roman" w:hAnsi="Times New Roman"/>
        </w:rPr>
      </w:pPr>
      <w:bookmarkStart w:colFirst="0" w:colLast="0" w:name="_5vycccg9jpg1" w:id="19"/>
      <w:bookmarkEnd w:id="19"/>
      <w:r w:rsidDel="00000000" w:rsidR="00000000" w:rsidRPr="00000000">
        <w:rPr>
          <w:rFonts w:ascii="Times New Roman" w:cs="Times New Roman" w:eastAsia="Times New Roman" w:hAnsi="Times New Roman"/>
          <w:b w:val="1"/>
          <w:rtl w:val="0"/>
        </w:rPr>
        <w:t xml:space="preserve">Die ukrainischen Streitkräfte in enger Zusammenarbeit mit der NATO</w:t>
      </w:r>
      <w:r w:rsidDel="00000000" w:rsidR="00000000" w:rsidRPr="00000000">
        <w:rPr>
          <w:rtl w:val="0"/>
        </w:rPr>
      </w:r>
    </w:p>
    <w:p w:rsidR="00000000" w:rsidDel="00000000" w:rsidP="00000000" w:rsidRDefault="00000000" w:rsidRPr="00000000" w14:paraId="000007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Von Major Hennadiy Kovalenko*</w:t>
      </w:r>
    </w:p>
    <w:p w:rsidR="00000000" w:rsidDel="00000000" w:rsidP="00000000" w:rsidRDefault="00000000" w:rsidRPr="00000000" w14:paraId="0000077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Major Hennadiy Kovalenko von der Ukrainischen Luftwaffe ist derzeit Student des Kurses für Gemeinsames Kommando und Generalstabsausbildung am Baltic Defence College.</w:t>
      </w:r>
    </w:p>
    <w:p w:rsidR="00000000" w:rsidDel="00000000" w:rsidP="00000000" w:rsidRDefault="00000000" w:rsidRPr="00000000" w14:paraId="000007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Einleitung und historischer Hintergrund</w:t>
      </w:r>
    </w:p>
    <w:p w:rsidR="00000000" w:rsidDel="00000000" w:rsidP="00000000" w:rsidRDefault="00000000" w:rsidRPr="00000000" w14:paraId="000007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scheint endlich, als ob die militärische Umstrukturierung in den ukrainischen Streitkräften nicht mehr nur ein Schlagwort ist. Auf den ersten Blick scheint es ziemlich einfach zu sein, einen kleinen Teil der Gesellschaft umzuorganisieren, aber betrachten Sie die Situation vor zehn oder zwölf Jahren. Im Jahr 1991 erbte die Ukraine 30 Prozent des gesamten Militärpersonals der ehemaligen Sowjetunion, jedoch erbte sie bedauerlicherweise keine hierarchische Struktur mit einem Verteidigungsministerium und einem Generalstab als solches. Es war so etwas wie militärische Muskeln ohne ein Skelett, ein Herz und vor allem ein Gehirn.</w:t>
      </w:r>
    </w:p>
    <w:p w:rsidR="00000000" w:rsidDel="00000000" w:rsidP="00000000" w:rsidRDefault="00000000" w:rsidRPr="00000000" w14:paraId="000007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Ukraine gründete ihre eigenen Streitkräfte am 24. September 1991 mit über 780.000 Soldaten. Die Struktur der Streitkräfte war damals genau wie die der Republiken im großen sowjetischen Imperium mit dem Zentrum in Moskau. Die ukrainischen Streitkräfte bestanden aus drei Militärbezirken mit ihren jeweiligen Hauptquartieren in Kyiv, Lviv und Odessa. Die Struktur der ukrainischen Streitkräfte umfasste rund 6500 Panzer, über 7000 gepanzerte Kampffahrzeuge, 1500 Kampfflugzeuge und über 350 Schiffe. Darüber hinaus befanden sich 1272 strategische Atomkriegsköpfe auf interkontinentalen ballistischen Raketen und 2500 taktische Atomraketen. Nicht zu erwähnen ist hier, wie viel es kostete, diese riesige Streitmacht in Bereitschaft zu halten und angemessene Fähigkeiten sicherzustellen. Das Schlimmste war, dass die Streitkräfte nicht genügend Erfahrung oder ausreichende Fähigkeiten hatten, um unabhängig zu handeln. Obwohl die Ukraine mehr als 12.000 Soldaten repatriierte, die sich weigerten, im neuen unabhängigen Land zu dienen, nahm sie fast 33.000 Soldaten aus anderen ehemaligen Republiken der Sowjetunion auf.</w:t>
      </w:r>
    </w:p>
    <w:p w:rsidR="00000000" w:rsidDel="00000000" w:rsidP="00000000" w:rsidRDefault="00000000" w:rsidRPr="00000000" w14:paraId="000007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3">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113</w:t>
      </w:r>
    </w:p>
    <w:p w:rsidR="00000000" w:rsidDel="00000000" w:rsidP="00000000" w:rsidRDefault="00000000" w:rsidRPr="00000000" w14:paraId="000007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Zum Beispiel bestand die ukrainische Luftwaffe, die auf der Grundlage des Stabes der 24. Luftarmee gebildet wurde, aus vier Luftkorps, zehn Luftdivisionen, neunundvierzig Luftregimentern, elf separaten Staffeln, Ausbildungszentren und speziellen Einrichtungen. Insgesamt waren dies etwa 600 militärische Einheiten, 2800 Flugzeuge und Hubschrauber sowie mehr als 120.000 Soldaten. Laut Leonid Polyakov und Anatoliy Tkachuk (Security Sector Expert Formation: Achievements and Needs in South East Europe):</w:t>
      </w:r>
    </w:p>
    <w:p w:rsidR="00000000" w:rsidDel="00000000" w:rsidP="00000000" w:rsidRDefault="00000000" w:rsidRPr="00000000" w14:paraId="000007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Jahr 1991 befanden sich etwa 150 Hochschulen und Universitäten in der Ukraine. Ein Drittel davon waren militärische Einrichtungen. Zur gleichen Zeit gab es auch über 300 speziell auf militärische Belange ausgerichtete Forschungsinstitute und Konstruktionsbüros in der Ukraine. Statistischen Daten zufolge führten insgesamt 1344 wissenschaftliche und Bildungseinrichtungen militärisch orientierte Forschungsarbeiten durch. Während der Zeit der UdSSR hatte die Ukraine einen Anteil von 17 Prozent an der Produktion des militärisch-industriellen Komplexes, wobei 1840 Unternehmen und Forschungszentren dauerhaft 2,7 Millionen Menschen beschäftigten."¹</w:t>
      </w:r>
    </w:p>
    <w:p w:rsidR="00000000" w:rsidDel="00000000" w:rsidP="00000000" w:rsidRDefault="00000000" w:rsidRPr="00000000" w14:paraId="000007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wichtigsten war, dass die Kommando-, Kontroll-, Kommunikations- und Informationssysteme (KKKI) der ukrainischen Streitkräfte eng mit den entsprechenden Systemen in der Russischen Föderation verbunden waren. Es ist verständlich, dass die gesamte militärische Struktur zu dieser Zeit darauf ausgelegt war, sich mit Verteidigungsoperationen gegen eine von der NATO ausgehende militärische Bedrohung sowie mit Angriffsoperationen, die direkt von Moskau aus geleitet wurden, auseinanderzusetzen.</w:t>
      </w:r>
    </w:p>
    <w:p w:rsidR="00000000" w:rsidDel="00000000" w:rsidP="00000000" w:rsidRDefault="00000000" w:rsidRPr="00000000" w14:paraId="000007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Glücklicherweise hatte die Ukraine keine politischen Schwierigkeiten bei der Erlangung ihrer Unabhängigkeit. Das Land folgte dem Vorbild der baltischen Länder, und es gab damals nicht so viel Widerstand aus Moskau. Dadurch konnte Blutvergießen vermieden und Szenarien wie in Rumänien oder Jugoslawien vermieden werden. Tatsächlich war dies eine der wichtigsten Tatsachen in der Anfangsphase der Entwicklung eines neuen unabhängigen Staates. So weit, so gut, aber der Staat darf nicht stillstehen, und die Bewegung sollte in die richtige Richtung erfolgen. Der Zweck dieses Artikels ist es, zu erläutern, wie sich die Beziehung zwischen der Ukraine und der NATO entwickelt hat und vor allem, welche Schritte in naher Zukunft unternommen werden müssen, um den Kooperationsprozess zu beschleunigen.</w:t>
      </w:r>
    </w:p>
    <w:p w:rsidR="00000000" w:rsidDel="00000000" w:rsidP="00000000" w:rsidRDefault="00000000" w:rsidRPr="00000000" w14:paraId="000007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Offensichtlich waren Reformen in den ukrainischen Streitkräften nicht in ferner Zukunft, sondern so bald wie möglich erforderlich. Der Zeitfaktor war wichtig, um Einmischungen von außen zu vermeiden und den Einfluss einiger unverantwortlicher Politiker oder sogar krimineller Elemente auf die Entwicklung zu minimieren. Zweifellos waren die Ukraine im Allgemeinen und die ukrainischen Streitkräfte im Besonderen in dieser Zeit äußerst verwundbar und sensibel.</w:t>
      </w:r>
    </w:p>
    <w:p w:rsidR="00000000" w:rsidDel="00000000" w:rsidP="00000000" w:rsidRDefault="00000000" w:rsidRPr="00000000" w14:paraId="000007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erste Phase der offiziellen Reformen der Streitkräfte fand zwischen 1991 und 1996 statt. Diese Phase spielte eine bedeutende Rolle, da sie Auswirkungen auf die nächsten Schritte </w:t>
      </w:r>
    </w:p>
    <w:p w:rsidR="00000000" w:rsidDel="00000000" w:rsidP="00000000" w:rsidRDefault="00000000" w:rsidRPr="00000000" w14:paraId="000007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114</w:t>
      </w:r>
    </w:p>
    <w:p w:rsidR="00000000" w:rsidDel="00000000" w:rsidP="00000000" w:rsidRDefault="00000000" w:rsidRPr="00000000" w14:paraId="000007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Entwicklung der ukrainischen Streitkräfte hatte. Jemand Großes sagte einmal, dass selbst die längste Reise der Welt mit dem ersten Schritt beginnt. In der ersten Phase der Reformen wurden folgende Schritte unternommen:</w:t>
      </w:r>
    </w:p>
    <w:p w:rsidR="00000000" w:rsidDel="00000000" w:rsidP="00000000" w:rsidRDefault="00000000" w:rsidRPr="00000000" w14:paraId="000007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rechtliche Grundlage wurde geschaffen.</w:t>
      </w:r>
    </w:p>
    <w:p w:rsidR="00000000" w:rsidDel="00000000" w:rsidP="00000000" w:rsidRDefault="00000000" w:rsidRPr="00000000" w14:paraId="000007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institutionelle Grundlage wurde geschaffen.</w:t>
      </w:r>
    </w:p>
    <w:p w:rsidR="00000000" w:rsidDel="00000000" w:rsidP="00000000" w:rsidRDefault="00000000" w:rsidRPr="00000000" w14:paraId="000007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Kommando- und Kontrollstrukturen wurden endgültig übernommen.</w:t>
      </w:r>
    </w:p>
    <w:p w:rsidR="00000000" w:rsidDel="00000000" w:rsidP="00000000" w:rsidRDefault="00000000" w:rsidRPr="00000000" w14:paraId="000007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 aktuellen Exekutivstrukturen und unterstützenden Strukturen wurden entworfen.</w:t>
      </w:r>
    </w:p>
    <w:p w:rsidR="00000000" w:rsidDel="00000000" w:rsidP="00000000" w:rsidRDefault="00000000" w:rsidRPr="00000000" w14:paraId="000007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 beträchtliche Anzahl von Rechtsakten im militärischen Bereich wurde verabschiedet: Das Konzept für Verteidigung und Organisation der Streitkräfte der Ukraine, die Gesetze "Über die Verteidigung der Ukraine", "Über die Streitkräfte der Ukraine", die Militärdoktrin der Ukraine und die Resolution "Über den Sicherheitsrat der Ukraine".</w:t>
      </w:r>
    </w:p>
    <w:p w:rsidR="00000000" w:rsidDel="00000000" w:rsidP="00000000" w:rsidRDefault="00000000" w:rsidRPr="00000000" w14:paraId="000007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Gleichzeitig gab es erhebliche Schwierigkeiten hinsichtlich Führung und Lenkung. Von 1991 bis 1996 wechselten drei Verteidigungsminister und vier Generalstabschefs im Amt. Über 70 Prozent des Personals wurden ausgetauscht, und nahezu alle Kommandeure der Militärbezirke, Armeen, Korps und Divisionen wurden ausgetauscht. Dies geschah in der ersten, wichtigsten Phase der Reformen und Entwicklung der ukrainischen Streitkräfte.</w:t>
      </w:r>
    </w:p>
    <w:p w:rsidR="00000000" w:rsidDel="00000000" w:rsidP="00000000" w:rsidRDefault="00000000" w:rsidRPr="00000000" w14:paraId="000007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Jahr 1996 entwarf der Nationale Sicherheits- und Verteidigungsrat (NSDC) unter dem Vorsitz von Volodymir Horbulin ein Konzept für die nationale Sicherheit, das im Januar 1997 vom ukrainischen Parlament (Verkhovna Rada) genehmigt wurde. Gleichzeitig wurde gemäß einem Präsidialdekret das Staatsprogramm zur Entwicklung der Streitkräfte bis 2005 verabschiedet. Zwischen 1997 und 1999 versuchte das Programm, eine spezielle Grundlage für die Entwicklung moderner Streitkräfte zu schaffen, um effektive hoch einsatzbereite und einsatzfähige Kräfte zu schaffen, die in der Lage sind, mit der gesamten Bandbreite von Konflikten umzugehen.</w:t>
      </w:r>
    </w:p>
    <w:p w:rsidR="00000000" w:rsidDel="00000000" w:rsidP="00000000" w:rsidRDefault="00000000" w:rsidRPr="00000000" w14:paraId="000007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Bedeutende Veränderungen in der globalen Sicherheitslage stellten die ukrainischen Streitkräfte vor neue Herausforderungen, insbesondere hinsichtlich der Art moderner Kriegsführung und der Formen und Methoden zeitgenössischer militärischer Konflikte, in die die Streitkräfte tief verwickelt sein könnten. Es ist verständlich, dass das Staatsprogramm zur Entwicklung der Streitkräfte bis 2005 angepasst und verbessert werden musste.</w:t>
      </w:r>
    </w:p>
    <w:p w:rsidR="00000000" w:rsidDel="00000000" w:rsidP="00000000" w:rsidRDefault="00000000" w:rsidRPr="00000000" w14:paraId="000007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Yevgen Marchuk, Verteidigungsminister und ehemaliger Sekretär des Nationalen Sicherheits- und Verteidigungsrates, sagte: "Wir stehen vor einer widersprüchlichen Situation. Die Wirtschaft ist nicht in der Lage, die Sicherheitsstrukturen so zu finanzieren, wie es notwendig wäre, und deshalb werden die Strukturen, die für die innere oder äußere Sicherheit sorgen sollen, selbst zu Quellen zusätzlicher Spannungen in der Gesellschaft. Die Situation ist so, dass eine Optimierung der Sicherheitsstrukturen nicht prompt und ordnungsgemäß oder radikal durchgeführt werden kann, da solche Maßnahmen durch Sozialprogramme ergänzt werden müssen. Aus diesem Grund müssen wir in Zukunft den "goldenen Mittelweg" finden." Die Zeit von 1996 bis heute könnte als weitere Reorganisation und Entwicklung </w:t>
      </w:r>
    </w:p>
    <w:p w:rsidR="00000000" w:rsidDel="00000000" w:rsidP="00000000" w:rsidRDefault="00000000" w:rsidRPr="00000000" w14:paraId="000007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4">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115</w:t>
      </w:r>
    </w:p>
    <w:p w:rsidR="00000000" w:rsidDel="00000000" w:rsidP="00000000" w:rsidRDefault="00000000" w:rsidRPr="00000000" w14:paraId="000007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ukrainischen Streitkräfte charakterisiert werden. Die bisher unternommenen Schritte, insbesondere im militärischen Bereich, können aus der aktuellen Perspektive bewertet werden. Es war ein äußerst schmerzhafter Prozess aufgrund der Tradition einer starken Militärgemeinschaft und der recht starken Unterstützung, die das Militär in der Gesellschaft genoss. Dennoch wurde er unternommen, um dringende Probleme anzugehen und die Situation zu verbessern.</w:t>
      </w:r>
    </w:p>
    <w:p w:rsidR="00000000" w:rsidDel="00000000" w:rsidP="00000000" w:rsidRDefault="00000000" w:rsidRPr="00000000" w14:paraId="000007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Zunächst einmal ist die politische Entscheidung der ukrainischen Behörden über den nuklearen Status des Staates der wichtigste Faktor. Es war wahrscheinlich eines der bedeutendsten Ereignisse in der zeitgenössischen Geschichte, da es das erste Mal war, dass ein Staat aus eigener Initiative auf Kernwaffen verzichtete. Es scheint angemessen anzuerkennen, dass die Ukraine in dieser speziellen Entscheidung Belarus und Kasachstan folgte. Als Folge dieses Prozesses gab es Anfang Juni 1996 keine Kernwaffen mehr in der Ukraine. Dennoch wird von einigen politischen Beobachtern gelegentlich die Idee aufgeworfen, wieder Kernwaffen zu besitzen.</w:t>
      </w:r>
    </w:p>
    <w:p w:rsidR="00000000" w:rsidDel="00000000" w:rsidP="00000000" w:rsidRDefault="00000000" w:rsidRPr="00000000" w14:paraId="000007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Darüber hinaus wurden weitere wichtige Schritte unternommen und wichtige Entscheidungen getroffen. Einige dieser entscheidenden Schritte können wie folgt erläutert werden:</w:t>
      </w:r>
    </w:p>
    <w:p w:rsidR="00000000" w:rsidDel="00000000" w:rsidP="00000000" w:rsidRDefault="00000000" w:rsidRPr="00000000" w14:paraId="000007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Erstens wurden die Truppenstärke und die Ausrüstung der Streitkräfte erheblich reduziert, um ihre Fähigkeiten zu verbessern und die Ausgaben für ihre Instandhaltung zu senken. Darüber hinaus wurde ein gemeinsamer Ansatz für militärische Operationen durch das Verteidigungsministerium, die Streitkräfte und andere Kräftestrukturen etabliert.</w:t>
      </w:r>
    </w:p>
    <w:p w:rsidR="00000000" w:rsidDel="00000000" w:rsidP="00000000" w:rsidRDefault="00000000" w:rsidRPr="00000000" w14:paraId="000007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Zweitens wurden das Konzept der Streitkräfte 2010 und das staatliche Programm zur schrittweisen Umstellung der Streitkräfte auf eine Vertragsbasis verabschiedet.</w:t>
      </w:r>
    </w:p>
    <w:p w:rsidR="00000000" w:rsidDel="00000000" w:rsidP="00000000" w:rsidRDefault="00000000" w:rsidRPr="00000000" w14:paraId="000007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Drittens wurde das Gesetz über die Grundlagen der nationalen Sicherheit am 19. Juni 2003 von der Werchowna Rada verabschiedet. Schließlich wurde die Entwurfs-Militärdoktrin am 8. April 2003 vom Kabinett der Minister genehmigt. Diese Doktrin ist neu aktualisiert und bietet den Hauptrahmen für die zukünftige Entwicklung der ukrainischen Verteidigungspolitik im Allgemeinen und die Zukunft der ukrainischen Streitkräfte im Besonderen.</w:t>
      </w:r>
    </w:p>
    <w:p w:rsidR="00000000" w:rsidDel="00000000" w:rsidP="00000000" w:rsidRDefault="00000000" w:rsidRPr="00000000" w14:paraId="000007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diese Ereignisse spiegeln zweifellos wider, dass die nationale Verteidigung aktiv geplant wird. Dies ermöglicht die Beobachtung des aktuellen Prozesses und bietet die Möglichkeit, notwendige Korrekturen und Verbesserungen vorzunehmen. Es ist offensichtlich, dass der Umgang mit einem riesigen und träge wirkenden Objekt wie den Streitkräften zeitaufwändig ist und anhaltende Anstrengungen erfordert.</w:t>
      </w:r>
    </w:p>
    <w:p w:rsidR="00000000" w:rsidDel="00000000" w:rsidP="00000000" w:rsidRDefault="00000000" w:rsidRPr="00000000" w14:paraId="000007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Ukraine und internationale Organisationen</w:t>
      </w:r>
    </w:p>
    <w:p w:rsidR="00000000" w:rsidDel="00000000" w:rsidP="00000000" w:rsidRDefault="00000000" w:rsidRPr="00000000" w14:paraId="000007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Nun ist es an der Zeit, von den aktuellen internen Ereignissen zur internationalen Position der Ukraine im Allgemeinen und der ukrainischen Streitkräfte im Besonderen überzugehen. Wie der US-Präsident George W. Bush in seiner Rede in Warschau im Juni 2001 sagte: "Ich glaube an eine NATO-Mitgliedschaft für alle europäischen Demokratien, die danach streben und bereit sind, die Verantwortung zu teilen, die NATO mit sich bringt". Um dieser Aussage gerecht zu werden, sollten hier einige allgemeine Punkte zur Notwendigkeit der Zusammenarbeit erwähnt werden. Die Ablehnung der Teilnahme an internationalen Institutionen zu Beginn des 21. Jahrhunderts bedeutet einfach die Ausgrenzung </w:t>
      </w:r>
    </w:p>
    <w:p w:rsidR="00000000" w:rsidDel="00000000" w:rsidP="00000000" w:rsidRDefault="00000000" w:rsidRPr="00000000" w14:paraId="000007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8">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116</w:t>
      </w:r>
    </w:p>
    <w:p w:rsidR="00000000" w:rsidDel="00000000" w:rsidP="00000000" w:rsidRDefault="00000000" w:rsidRPr="00000000" w14:paraId="000007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von den wichtigsten Prozessen in der politischen Sphäre sowie die Verringerung des Einflusses auf die wichtigsten Regionen der Welt.</w:t>
      </w:r>
    </w:p>
    <w:p w:rsidR="00000000" w:rsidDel="00000000" w:rsidP="00000000" w:rsidRDefault="00000000" w:rsidRPr="00000000" w14:paraId="000007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anderen Worten ist es heutzutage recht einfach für einen Staat, sich durch den Abbau von internationaler Zusammenarbeit in schwierige Umstände zu bringen und in eine ungünstige Umgebung zu geraten. Andererseits eröffnet eine aktive Teilnahme an internationalen Institutionen wie der NATO, OSZE usw. sowie an internationalen Übungen viele neue Möglichkeiten für den Staat, seine nationalen Interessen zu fördern und praktische Vorteile zu erzielen. Die reichen und mächtigen Länder können ihre Interessen einseitig vorantreiben, indem sie ihre nationale Macht, ihren Reichtum und ihre natürlichen Ressourcen nutzen, aber die Ukraine muss einen multilateralen Rahmen wählen, um ihre Interessen und Ziele zu erreichen. Wie Celeste A. Wallander absolut richtig bemerkte: "Die NATO ist in der Lage, auf internationaler Ebene zusammenzuarbeiten... Daher ist die Zusammenarbeit mit der NATO - obwohl sehr wünschenswert - nicht dasselbe wie die Zusammenarbeit innerhalb der NATO".² Im Mai 2003 fand in Washington, D.C., eine NATO-Ukraine-Verteidigungsministerkonferenz mit dem Titel "Aufbau der Zukunft für die NATO-Ukraine-Beziehungen" statt. Bei der Konferenz äußerte sich der ehemalige US-amerikanische Nationale Sicherheitsberater Zbigniew Brzezinski, einer der erfahrensten Personen im Verhältnis zwischen den USA und den ehemaligen Sowjetrepubliken, wie folgt:</w:t>
      </w:r>
    </w:p>
    <w:p w:rsidR="00000000" w:rsidDel="00000000" w:rsidP="00000000" w:rsidRDefault="00000000" w:rsidRPr="00000000" w14:paraId="000007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NATO tritt nun in die dritte Phase ihrer Anpassung nach dem Ende des Kalten Krieges ein. Die erste - die Warschauer Phase - umfasste die strategische Erweiterung des euro-atlantischen Raums durch die Aufnahme von Polen, der Tschechischen Republik und Ungarn in die NATO. Die zweite - die Vilnius-Phase - die derzeit im Gange ist, beinhaltet die politische Vereinigung der östlichen Grenzen der NATO und der EU durch die nahezu gleichzeitige und sich überschneidende Erweiterung sowohl der NATO als auch der EU. Die dritte Phase, die in vielerlei Hinsicht mit dieser Konferenz eingeleitet wird, umfasst den Blick nach Osten, in die fortlaufende, komplexe, aber historisch unvermeidliche Erweiterung sowohl der atlantischen Gemeinschaft als auch der europäischen Identität. Daher richtet die dritte Phase den Blick auf Kiew..."³</w:t>
      </w:r>
    </w:p>
    <w:p w:rsidR="00000000" w:rsidDel="00000000" w:rsidP="00000000" w:rsidRDefault="00000000" w:rsidRPr="00000000" w14:paraId="000007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 Vision spiegelt sich in der offiziellen Position der ukrainischen Regierung wider: Gemäß der Erklärung des ukrainischen Nationalen Sicherheits- und Verteidigungsrates vom 23. Mai 2002 ist die NATO-Mitgliedschaft das "langfristige Ziel". Gemäß dieser Erklärung scheint es sinnvoll, die Beziehung zwischen der NATO und der Ukraine zu betrachten. Tatsächlich begann der Prozess der Zusammenarbeit und Partnerschaft bereits früher. Seit 1997 ist die Ukraine einer der aktivsten Teilnehmer an Übungen im Rahmen des Programms "Partnerschaft für den Frieden" (PfP). Ihre Truppen haben seit dem Start dieses Programms im Jahr 1994 an mehr als 80 Militärübungen teilgenommen. Darüber hinaus beherbergt die Ukraine das NATO PfP-Trainingszentrum in Yavoriv und richtet jedes Jahr mehrere Militärübungen aus. Es scheint angebracht, hier einige der ukrainischen Truppen aufzulisten, die zum NATO-Partnerschaftsprogramm beigetragen haben:</w:t>
      </w:r>
    </w:p>
    <w:p w:rsidR="00000000" w:rsidDel="00000000" w:rsidP="00000000" w:rsidRDefault="00000000" w:rsidRPr="00000000" w14:paraId="000007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Erstes Abgetrenntes Bataillon für Spezialkräfte, ukrainischer Teil des UKRPOLBAT (KFOR)</w:t>
      </w:r>
    </w:p>
    <w:p w:rsidR="00000000" w:rsidDel="00000000" w:rsidP="00000000" w:rsidRDefault="00000000" w:rsidRPr="00000000" w14:paraId="000007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13. Luftbewegliches Bataillon der 95. Brigade</w:t>
      </w:r>
    </w:p>
    <w:p w:rsidR="00000000" w:rsidDel="00000000" w:rsidP="00000000" w:rsidRDefault="00000000" w:rsidRPr="00000000" w14:paraId="000007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6">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117</w:t>
      </w:r>
    </w:p>
    <w:p w:rsidR="00000000" w:rsidDel="00000000" w:rsidP="00000000" w:rsidRDefault="00000000" w:rsidRPr="00000000" w14:paraId="000007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Ingenieurkompanie, Ukrainischer Teil des multinationalen Bataillons "TYSA"</w:t>
      </w:r>
    </w:p>
    <w:p w:rsidR="00000000" w:rsidDel="00000000" w:rsidP="00000000" w:rsidRDefault="00000000" w:rsidRPr="00000000" w14:paraId="000007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2. Ponton-Brückenbataillon des 11. Pionierregiments</w:t>
      </w:r>
    </w:p>
    <w:p w:rsidR="00000000" w:rsidDel="00000000" w:rsidP="00000000" w:rsidRDefault="00000000" w:rsidRPr="00000000" w14:paraId="000007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Fregatte U-130 "Hetman Sahaydachniy"</w:t>
      </w:r>
    </w:p>
    <w:p w:rsidR="00000000" w:rsidDel="00000000" w:rsidP="00000000" w:rsidRDefault="00000000" w:rsidRPr="00000000" w14:paraId="000007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Angriffsschiff U-402 "Konstantyn Olshanskiy"</w:t>
      </w:r>
    </w:p>
    <w:p w:rsidR="00000000" w:rsidDel="00000000" w:rsidP="00000000" w:rsidRDefault="00000000" w:rsidRPr="00000000" w14:paraId="000007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2. Staffel des 7. Hubschrauberregiments</w:t>
      </w:r>
    </w:p>
    <w:p w:rsidR="00000000" w:rsidDel="00000000" w:rsidP="00000000" w:rsidRDefault="00000000" w:rsidRPr="00000000" w14:paraId="000007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Vier Flugzeuge aus dem 25. Luftgruppenregiment</w:t>
      </w:r>
    </w:p>
    <w:p w:rsidR="00000000" w:rsidDel="00000000" w:rsidP="00000000" w:rsidRDefault="00000000" w:rsidRPr="00000000" w14:paraId="000007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Abgesetzte Transportkompanie des 18. Logistikregiments</w:t>
      </w:r>
    </w:p>
    <w:p w:rsidR="00000000" w:rsidDel="00000000" w:rsidP="00000000" w:rsidRDefault="00000000" w:rsidRPr="00000000" w14:paraId="000007D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Über 30 Offiziere für den Einsatz in multinationalen Hauptquartieren.</w:t>
      </w:r>
    </w:p>
    <w:p w:rsidR="00000000" w:rsidDel="00000000" w:rsidP="00000000" w:rsidRDefault="00000000" w:rsidRPr="00000000" w14:paraId="000007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Geschichte der ukrainischen militärischen Unterstützung bei Friedensmissionen reicht bis zum 15. Juli 1992 zurück, als gemäß einer Entscheidung des Obersten Rates der Ukraine das 240. Separate Spezialbataillon (550 Soldaten) nach Ex-Jugoslawien entsandt wurde. Seitdem ist die Ukraine weiterhin aktiver Teilnehmer im Friedensprozess und gehört zu den größten Beitragsleistern für UN-Friedensmissionen (wie oben erwähnt). Seit dem 3. Juli 1992 haben mehr als 8000 Offiziere, Unteroffiziere und Soldaten an ukrainischen Friedensmissionen teilgenommen. Die ukrainischen Streitkräfte haben bei diesen Einsätzen 19 Tote und 50 Verwundete zu beklagen.</w:t>
      </w:r>
    </w:p>
    <w:p w:rsidR="00000000" w:rsidDel="00000000" w:rsidP="00000000" w:rsidRDefault="00000000" w:rsidRPr="00000000" w14:paraId="000007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ist hier anzumerken, dass die Beziehung, die im Laufe der Zeit zwischen der NATO und der Ukraine entstanden ist, besonders ist und sich sehr von der Beziehung zwischen Russland und der NATO unterscheidet.⁴ Im Juli 1997 führte die Charta über eine distinktive NATO-Ukraine-Partnerschaft zur Einrichtung einer NATO-Ukraine-Kommission. Darüber hinaus wurde eine Gemeinsame Arbeitsgruppe zur Verteidigungsreform (JWGDR) eingerichtet. Im Jahr 2000 trat die Ukraine dem NATO Planning and Review Process (PARP) bei und reichte ihr "Staatliches Programm zur Entwicklung der Streitkräfte bis 2005" zur Analyse und Kommentierung bei der NATO ein.⁵ Bis 2001 intensivierte die Ukraine ihre Teilnahme am PARP sowie am Programm Partnership for Peace (PfP). Schließlich wurde am 22. November 2002 der NATO-Ukraine-Aktionsplan von der NATO-Ukraine-Kommission auf ihrer Sitzung auf Ministerebene in Prag genehmigt. Er legte gemeinsam vereinbarte Grundsätze und Ziele fest, die politische, wirtschaftliche, sicherheitsrelevante, verteidigungsrelevante sowie gesetzliche Grundlagen und den Schutz von Informationen umfassten. Der Plan bot auch einen Rahmen für kohärente Konsultationen und Zusammenarbeit in politischen, wirtschaftlichen, militärischen und verteidigungsrelevanten Fragen.</w:t>
      </w:r>
    </w:p>
    <w:p w:rsidR="00000000" w:rsidDel="00000000" w:rsidP="00000000" w:rsidRDefault="00000000" w:rsidRPr="00000000" w14:paraId="000007D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Was wurde daraus gelernt?</w:t>
      </w:r>
    </w:p>
    <w:p w:rsidR="00000000" w:rsidDel="00000000" w:rsidP="00000000" w:rsidRDefault="00000000" w:rsidRPr="00000000" w14:paraId="000007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Warum wurde die Ukraine nicht wie die anderen Länder Osteuropas und des Baltikums zur Aufnahme in die Allianz eingeladen und warum erhielt sie nicht einmal einen Membership Action Plan (MAP)?⁶ Es gab eine Reihe von Gründen, angefangen bei der besonderen geopolitischen Lage des Landes bis hin zu politischen Schwierigkeiten zwischen der ukrainischen Regierung und den meisten NATO-Regierungen. Um diese Schwierigkeiten zu verdeutlichen, kann Celeste A. Wallander hier zitiert werden:</w:t>
      </w:r>
    </w:p>
    <w:p w:rsidR="00000000" w:rsidDel="00000000" w:rsidP="00000000" w:rsidRDefault="00000000" w:rsidRPr="00000000" w14:paraId="000007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118</w:t>
      </w:r>
    </w:p>
    <w:p w:rsidR="00000000" w:rsidDel="00000000" w:rsidP="00000000" w:rsidRDefault="00000000" w:rsidRPr="00000000" w14:paraId="000007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Beziehungen zwischen der Ukraine und den Vereinigten Staaten wurden durch Meinungsverschiedenheiten über bestimmte Fragen belastet, wie beispielsweise den potenziellen Verkauf des Kolchuga-Radar-Systems an den Irak (aber bisher wurden keine Beweise dafür gefunden). Grundsätzlicher haben Fragen zur Behandlung der Medien, der Opposition und der Durchführung von Wahlen ernsthafte Zweifel daran aufkommen lassen, ob die politische Führung der Ukraine tatsächlich dem Weg der europäischen und transatlantischen Demokratie verpflichtet ist, der für eine volle Mitgliedschaft in der NATO-Gemeinschaft erforderlich ist. Es ist wichtig, die Bedeutung oder Tiefe dieses Problems nicht zu unterschätzen, denn dies würde das ernsthafte Verständnis und das notwendige Engagement für dessen Behebung verhindern."⁷</w:t>
      </w:r>
    </w:p>
    <w:p w:rsidR="00000000" w:rsidDel="00000000" w:rsidP="00000000" w:rsidRDefault="00000000" w:rsidRPr="00000000" w14:paraId="000007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"Dennoch werden sichtbare Fortschritte erzielt, um der speziellen Partnerschaft mehr Substanz zu verleihen. So wurde der NATO-Ukraine- Aktionsplan (AP) etabliert⁸. Gemäß den strategischen Zielen der Ukraine muss dieser Plan der Eckpfeiler des gesamten Entwicklungsprozesses sein. Der Zweck des Aktionsplans besteht darin, die strategischen Ziele der Ukraine klar zu definieren und gemäß den Bestrebungen einer vollständigen Integration in die Allianz zu priorisieren. Der Plan wurde erstellt, um einen strategischen Rahmen für die aktuelle und zukünftige Entwicklung der NATO-Ukraine-Zusammenarbeit zu bieten."</w:t>
      </w:r>
    </w:p>
    <w:p w:rsidR="00000000" w:rsidDel="00000000" w:rsidP="00000000" w:rsidRDefault="00000000" w:rsidRPr="00000000" w14:paraId="000007E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Hauptunterschied zwischen einem Membership Action Plan (MAP), der auf dem NATO-Gipfel 1999 den Aspirantenländern ausgestellt wurde, und einem Aktionsplan besteht darin, dass ersterer gemäß der Definition der Allianz "konkrete Rückmeldungen und Ratschläge von der NATO an die Aspirantenländer für deren Vorbereitungen auf die zukünftige Mitgliedschaft vorsieht. Er umfasst eine Reihe von Aktivitäten, die darauf abzielen, die Kandidatur jedes Aspirantenlandes zu stärken."⁹ Gleichzeitig dient der NATO-Ukraine-Aktionsplan dazu, "die strategischen Ziele und Prioritäten der Ukraine bei der Verfolgung ihrer Bestrebungen einer vollständigen Integration in die euro-atlantischen Sicherheitsstrukturen klar zu definieren und einen strategischen Rahmen für die bestehende und zukünftige NATO-Ukraine-Zusammenarbeit gemäß der Charta zu bieten."¹⁰</w:t>
      </w:r>
    </w:p>
    <w:p w:rsidR="00000000" w:rsidDel="00000000" w:rsidP="00000000" w:rsidRDefault="00000000" w:rsidRPr="00000000" w14:paraId="000007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größere Schwierigkeiten bei der Reorganisation und Entwicklung der ukrainischen Streitkräfte oder bei der Verbesserung der nationalen Verteidigungs- und Sicherheitsfähigkeiten zu vermeiden, ist es entscheidend, einige wesentliche Punkte zu analysieren, die eine Verbesserung im NATO-Ukraine-Aktionsplan erfordern. Es steht außer Frage, dass die NATO die aktuellen Ereignisse in der Ukraine und deren Folgen sorgfältig bewertet. Aus diesem Grund ist der Aktionsplan sowohl für das Land als auch für die Allianz von großer Bedeutung. Der Plan umfasst Grundsätze und Ziele in Bereichen wie politischen und wirtschaftlichen Fragen, Sicherheit, Verteidigung und Militärfragen, Informationsschutz usw. Um diese Grundsätze und Ziele im Allgemeinen zu unterstützen, mussten jährliche Zielpläne (Annual Target Plans, ATP) entwickelt werden (Plan, Abschnitt 5). Ein solcher Plan ist seit Anfang 2003 in Kraft. Während des kürzlichen Treffens auf Ebene der Außenminister im Dezember 2003 in Brüssel drückten die NATO-Minister ihre Anerkennung für die Bemühungen der Ukraine im letzten Jahr aus, die Ziele des Aktionsplans und </w:t>
      </w:r>
    </w:p>
    <w:p w:rsidR="00000000" w:rsidDel="00000000" w:rsidP="00000000" w:rsidRDefault="00000000" w:rsidRPr="00000000" w14:paraId="000007E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A">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119</w:t>
      </w:r>
    </w:p>
    <w:p w:rsidR="00000000" w:rsidDel="00000000" w:rsidP="00000000" w:rsidRDefault="00000000" w:rsidRPr="00000000" w14:paraId="000007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Aktivitäten des jährlichen Zielplans von 2003 umzusetzen. Darüber hinaus wurden die Minister über den Stand der Verhandlungen zum NATO-Ukraine Annual Target Plan für 2004¹¹ informiert. Dieser Plan wird die internen Aktivitäten umfassen, die die Ukraine im kommenden Jahr durchführen möchte, sowie viele der vorgesehenen NATO-Ukraine-Aktivitäten. Obwohl der Plan als Instrument zur Steuerung der Beziehung und als Spiegel des Reform- und Entwicklungsprozesses sehr wichtig ist, weist er einige Schwächen auf, die behoben werden sollten. Erstens lässt die Formulierung der zu ergreifenden Schritte viel Raum für Klärung. Es besteht viel Spielraum für Missverständnisse und unterschiedliche Interpretationen, was den Fortschritt hemmt und zu Reibungen in der Joint Working Group on Defence Reform führt. Weiterhin ist es im Plan recht schwierig, langfristige Ziele von kurzfristigen Zielen zu unterscheiden. Kurzfristige Ziele sollten innerhalb eines absehbaren Zeitraums erreicht werden. Andernfalls könnte eine ständige Verschiebung der erreichbaren Aufgaben vielen politischen Spekulanten Vorteile verschaffen, was wiederum zu gegenseitigem Misstrauen und Enttäuschung zwischen der Ukraine und der NATO führen könnte. Schließlich müssen die Partnerschaftsaktivitäten und die Umsetzung des vereinbarten Aktionsplans zu einem Schwerpunkt der Öffentlichkeitsarbeit seitens der ukrainischen Regierung werden. Die ukrainische Bevölkerung ist größtenteils immer noch im Dunkeln darüber, was wirklich vor sich geht. Der Verhandlungsprozess hat viele Pläne und Vereinbarungen zwischen dem Staat und der Allianz geschaffen, aber fast niemand in der ukrainischen Bevölkerung, insbesondere die Zivilisten auf dem Land, verfügt über ausreichend relevante Informationen über aktuelle Ereignisse. Diese Situation hat bereits zu einigen öffentlichen Fehleinschätzungen geführt und könnte zu einem Hindernis für die politischen und strategischen Bestrebungen der Ukraine werden.</w:t>
      </w:r>
    </w:p>
    <w:p w:rsidR="00000000" w:rsidDel="00000000" w:rsidP="00000000" w:rsidRDefault="00000000" w:rsidRPr="00000000" w14:paraId="000007E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E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Fazit</w:t>
      </w:r>
    </w:p>
    <w:p w:rsidR="00000000" w:rsidDel="00000000" w:rsidP="00000000" w:rsidRDefault="00000000" w:rsidRPr="00000000" w14:paraId="000007E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Analyse der NATO-Ukraine-Beziehung im Allgemeinen und des Aktionsplans im Besonderen lässt zunächst feststellen, dass es sich nicht um einen konkreten Plan handelt, sondern eher um eine Absichtserklärung. Aus diesem Grund gibt es viel Raum für Verbesserungen. Zunächst sollten die jährlichen Zielpläne mit viel klareren Zielen festgelegt werden. Darüber hinaus sollte so schnell wie möglich ein Mechanismus zur Erreichung kurzfristiger und langfristiger Aufgaben implementiert werden, um Zeitverschwendung und Aufschub des wirklichen Fortschritts zu vermeiden. Es reicht nicht aus, klare Ziele und klare Kontrollmechanismen zu haben; es ist auch sehr wichtig, relevante Kriterien und genaue Zeitpläne dafür festzulegen. Einfach ausgedrückt müssen die NATO und die Ukraine eine klare Linie vom vorherigen Schritt (Aktionsplan) zum wahrscheinlichsten nächsten Schritt (Membership Action Plan) ziehen. Dies wird eine zusätzliche Aufgabe für die Joint Working Group on Defence Reform in enger Zusammenarbeit mit NATO-Verbindungsoffizieren sein. Schließlich muss die Information über die aktuellen Ereignisse im Zusammenhang mit der NATO-Ukraine-Sonderpartnerschaft und ihren Aktivitäten breiter verteilt werden, nicht nur in der Hauptstadt der Ukraine, sondern auch in anderen großen Städten, Garnisonen und sogar in den abgelegenen Einheiten. Um eine breite öffentliche Unterstützung für die Verteidigungsreformen und die NATO-Ukraine-Partnerschaft sicherzustellen, muss </w:t>
      </w:r>
    </w:p>
    <w:p w:rsidR="00000000" w:rsidDel="00000000" w:rsidP="00000000" w:rsidRDefault="00000000" w:rsidRPr="00000000" w14:paraId="000007F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2">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120</w:t>
      </w:r>
    </w:p>
    <w:p w:rsidR="00000000" w:rsidDel="00000000" w:rsidP="00000000" w:rsidRDefault="00000000" w:rsidRPr="00000000" w14:paraId="000007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Aktionsplan öffentlichkeitswirksame Aspekte enthalten, die de facto zu einem wesentlichen Bestandteil des MAP geworden sind, dem sieben Nationen folgen, die zur Mitgliedschaft in der NATO eingeladen wurden.</w:t>
      </w:r>
    </w:p>
    <w:p w:rsidR="00000000" w:rsidDel="00000000" w:rsidP="00000000" w:rsidRDefault="00000000" w:rsidRPr="00000000" w14:paraId="000007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Literaturverzeichnis</w:t>
      </w:r>
    </w:p>
    <w:p w:rsidR="00000000" w:rsidDel="00000000" w:rsidP="00000000" w:rsidRDefault="00000000" w:rsidRPr="00000000" w14:paraId="000007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Leonid Polyakov und Anatoliy Tkachuk, "Security Sector Expert Formation: Achievements and Needs in South East Europe", Geneva Centre for the Democratic Control of Armed Forces, 2003, auf http:/ /dcaf.ch/partners/Expert_formation/ contents.html-27k, abgerufen am 15. Oktober 2003.</w:t>
      </w:r>
    </w:p>
    <w:p w:rsidR="00000000" w:rsidDel="00000000" w:rsidP="00000000" w:rsidRDefault="00000000" w:rsidRPr="00000000" w14:paraId="000007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James Sherr, "New Documents On Ukraine’s Security Policy: A Sound Basis For Action?", Conflict Studies Research Centre, Juni 2003, G121.</w:t>
      </w:r>
    </w:p>
    <w:p w:rsidR="00000000" w:rsidDel="00000000" w:rsidP="00000000" w:rsidRDefault="00000000" w:rsidRPr="00000000" w14:paraId="000007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CSIS Hosts NATO Conference, 2003: "Ukraine and NATO. Promoting Action on the Action Plan", Building the Future for NATO Ukraine Relations, auf http:// www.csis.org/pubs/Insights/ 03MayJun.pdf, abgerufen am 08. Oktober 2003.</w:t>
      </w:r>
    </w:p>
    <w:p w:rsidR="00000000" w:rsidDel="00000000" w:rsidP="00000000" w:rsidRDefault="00000000" w:rsidRPr="00000000" w14:paraId="000007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"Prague Summit Declaration", NATO-Webseite, auf http://www.nato.int/ docu/pr/2002/p02-127e.htm, abgerufen am 08. Oktober 2003.</w:t>
      </w:r>
    </w:p>
    <w:p w:rsidR="00000000" w:rsidDel="00000000" w:rsidP="00000000" w:rsidRDefault="00000000" w:rsidRPr="00000000" w14:paraId="000007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"NATO - Ukraine cooperation on defence reform". Interview mit Edgar Buckley, Assistant Secretary General for Defence Planning and Operations, in NATO - Ukraine magazine Novyny, Oktober 2002.</w:t>
      </w:r>
    </w:p>
    <w:p w:rsidR="00000000" w:rsidDel="00000000" w:rsidP="00000000" w:rsidRDefault="00000000" w:rsidRPr="00000000" w14:paraId="000008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James Sherr (2002), "Ukraine’s Defence Reform: An Update", Conflict Studies Research Centre, Juli 2002, G112.</w:t>
      </w:r>
    </w:p>
    <w:p w:rsidR="00000000" w:rsidDel="00000000" w:rsidP="00000000" w:rsidRDefault="00000000" w:rsidRPr="00000000" w14:paraId="000008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w:t>
      </w:r>
      <w:r w:rsidDel="00000000" w:rsidR="00000000" w:rsidRPr="00000000">
        <w:rPr>
          <w:rFonts w:ascii="Times New Roman" w:cs="Times New Roman" w:eastAsia="Times New Roman" w:hAnsi="Times New Roman"/>
          <w:rtl w:val="0"/>
        </w:rPr>
        <w:t xml:space="preserve">. James Sherr (2001), "A Failing Partnership? Ukraine and the West", Conflict Studies Research Centre, Januar 2001, G89.</w:t>
      </w:r>
    </w:p>
    <w:p w:rsidR="00000000" w:rsidDel="00000000" w:rsidP="00000000" w:rsidRDefault="00000000" w:rsidRPr="00000000" w14:paraId="000008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Graeme P Herd, Hrsg. (2003), "European Security and Post-Soviet Space: Integration or Isolation?", Conflict Studies Research Centre, Dezember 2000, G87.</w:t>
      </w:r>
    </w:p>
    <w:p w:rsidR="00000000" w:rsidDel="00000000" w:rsidP="00000000" w:rsidRDefault="00000000" w:rsidRPr="00000000" w14:paraId="000008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rtl w:val="0"/>
        </w:rPr>
        <w:t xml:space="preserve">. James Sherr (2000), "European Defence: Whither Russia and Ukraine?", Conflict Studies Research Centre, März 2000, Occasional Brief 76.</w:t>
      </w:r>
    </w:p>
    <w:p w:rsidR="00000000" w:rsidDel="00000000" w:rsidP="00000000" w:rsidRDefault="00000000" w:rsidRPr="00000000" w14:paraId="000008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10</w:t>
      </w:r>
      <w:r w:rsidDel="00000000" w:rsidR="00000000" w:rsidRPr="00000000">
        <w:rPr>
          <w:rFonts w:ascii="Times New Roman" w:cs="Times New Roman" w:eastAsia="Times New Roman" w:hAnsi="Times New Roman"/>
          <w:rtl w:val="0"/>
        </w:rPr>
        <w:t xml:space="preserve">. "Ukraine finalises 2003 Target Plan", NATO Update-Webseite, auf http:// www.nato.int/docu/update/2003/03- march/e0324b.htm, abgerufen am 10. Oktober 2003.</w:t>
      </w:r>
    </w:p>
    <w:p w:rsidR="00000000" w:rsidDel="00000000" w:rsidP="00000000" w:rsidRDefault="00000000" w:rsidRPr="00000000" w14:paraId="000008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11</w:t>
      </w:r>
      <w:r w:rsidDel="00000000" w:rsidR="00000000" w:rsidRPr="00000000">
        <w:rPr>
          <w:rFonts w:ascii="Times New Roman" w:cs="Times New Roman" w:eastAsia="Times New Roman" w:hAnsi="Times New Roman"/>
          <w:rtl w:val="0"/>
        </w:rPr>
        <w:t xml:space="preserve">. "NATO - Ukraine 2003 Target Plan In The Framework of the NATO Ukraine Action Plan", NATO-Webseite, auf http:/ /www.nato.int/docu/basictxt/ b030324e.pdf, abgerufen am 6. Oktober 2003.</w:t>
      </w:r>
    </w:p>
    <w:p w:rsidR="00000000" w:rsidDel="00000000" w:rsidP="00000000" w:rsidRDefault="00000000" w:rsidRPr="00000000" w14:paraId="000008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12</w:t>
      </w:r>
      <w:r w:rsidDel="00000000" w:rsidR="00000000" w:rsidRPr="00000000">
        <w:rPr>
          <w:rFonts w:ascii="Times New Roman" w:cs="Times New Roman" w:eastAsia="Times New Roman" w:hAnsi="Times New Roman"/>
          <w:rtl w:val="0"/>
        </w:rPr>
        <w:t xml:space="preserve">. "NATO Ukraine Action Plan", NATO-Webseite, auf http://www.nato.int/ docu/basictxt/b021122a.htm, abgerufen am 7. Oktober 2003.</w:t>
      </w:r>
    </w:p>
    <w:p w:rsidR="00000000" w:rsidDel="00000000" w:rsidP="00000000" w:rsidRDefault="00000000" w:rsidRPr="00000000" w14:paraId="000008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 "Membership Action Plan", NATO-Webseite, auf http://www.nato.int/docu/ pr/1999/p99-066e.htm, abgerufen am 8. Oktober 2003.</w:t>
      </w:r>
    </w:p>
    <w:p w:rsidR="00000000" w:rsidDel="00000000" w:rsidP="00000000" w:rsidRDefault="00000000" w:rsidRPr="00000000" w14:paraId="000008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Polyakov, Leonid und Tkachuk, Anatoliy (2003). "Sicherheitssektor-Expertenausbildung: Errungenschaften und Bedarf in Südosteuropa."</w:t>
      </w:r>
    </w:p>
    <w:p w:rsidR="00000000" w:rsidDel="00000000" w:rsidP="00000000" w:rsidRDefault="00000000" w:rsidRPr="00000000" w14:paraId="000008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CSIS veranstaltet NATO-Konferenz, 2003.</w:t>
      </w:r>
    </w:p>
    <w:p w:rsidR="00000000" w:rsidDel="00000000" w:rsidP="00000000" w:rsidRDefault="00000000" w:rsidRPr="00000000" w14:paraId="000008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CSIS veranstaltet NATO-Konferenz, 2003.</w:t>
      </w:r>
    </w:p>
    <w:p w:rsidR="00000000" w:rsidDel="00000000" w:rsidP="00000000" w:rsidRDefault="00000000" w:rsidRPr="00000000" w14:paraId="000008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NATO-Ukraine-Handlungsplan.</w:t>
      </w:r>
    </w:p>
    <w:p w:rsidR="00000000" w:rsidDel="00000000" w:rsidP="00000000" w:rsidRDefault="00000000" w:rsidRPr="00000000" w14:paraId="000008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NATO-Ukraine 2003-Zielplan im Rahmen des NATO-Ukraine-Handlungsplans.</w:t>
      </w:r>
    </w:p>
    <w:p w:rsidR="00000000" w:rsidDel="00000000" w:rsidP="00000000" w:rsidRDefault="00000000" w:rsidRPr="00000000" w14:paraId="000008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Mitgliedschaftsaktionsplan.</w:t>
      </w:r>
    </w:p>
    <w:p w:rsidR="00000000" w:rsidDel="00000000" w:rsidP="00000000" w:rsidRDefault="00000000" w:rsidRPr="00000000" w14:paraId="000008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w:t>
      </w:r>
      <w:r w:rsidDel="00000000" w:rsidR="00000000" w:rsidRPr="00000000">
        <w:rPr>
          <w:rFonts w:ascii="Times New Roman" w:cs="Times New Roman" w:eastAsia="Times New Roman" w:hAnsi="Times New Roman"/>
          <w:rtl w:val="0"/>
        </w:rPr>
        <w:t xml:space="preserve">. CSIS veranstaltet NATO-Konferenz, 2003.</w:t>
      </w:r>
    </w:p>
    <w:p w:rsidR="00000000" w:rsidDel="00000000" w:rsidP="00000000" w:rsidRDefault="00000000" w:rsidRPr="00000000" w14:paraId="000008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NATO-Ukraine-Handlungsplan.</w:t>
      </w:r>
    </w:p>
    <w:p w:rsidR="00000000" w:rsidDel="00000000" w:rsidP="00000000" w:rsidRDefault="00000000" w:rsidRPr="00000000" w14:paraId="000008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rtl w:val="0"/>
        </w:rPr>
        <w:t xml:space="preserve">. Mitgliedschaftsaktionsplan.</w:t>
      </w:r>
    </w:p>
    <w:p w:rsidR="00000000" w:rsidDel="00000000" w:rsidP="00000000" w:rsidRDefault="00000000" w:rsidRPr="00000000" w14:paraId="000008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10</w:t>
      </w:r>
      <w:r w:rsidDel="00000000" w:rsidR="00000000" w:rsidRPr="00000000">
        <w:rPr>
          <w:rFonts w:ascii="Times New Roman" w:cs="Times New Roman" w:eastAsia="Times New Roman" w:hAnsi="Times New Roman"/>
          <w:rtl w:val="0"/>
        </w:rPr>
        <w:t xml:space="preserve">. NATO-Ukraine-Handlungsplan.</w:t>
      </w:r>
    </w:p>
    <w:p w:rsidR="00000000" w:rsidDel="00000000" w:rsidP="00000000" w:rsidRDefault="00000000" w:rsidRPr="00000000" w14:paraId="000008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11</w:t>
      </w:r>
      <w:r w:rsidDel="00000000" w:rsidR="00000000" w:rsidRPr="00000000">
        <w:rPr>
          <w:rFonts w:ascii="Times New Roman" w:cs="Times New Roman" w:eastAsia="Times New Roman" w:hAnsi="Times New Roman"/>
          <w:rtl w:val="0"/>
        </w:rPr>
        <w:t xml:space="preserve">. Ukraine schließt den Zielplan für 2003 ab.</w:t>
      </w:r>
    </w:p>
    <w:p w:rsidR="00000000" w:rsidDel="00000000" w:rsidP="00000000" w:rsidRDefault="00000000" w:rsidRPr="00000000" w14:paraId="000008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8">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121</w:t>
      </w:r>
    </w:p>
    <w:p w:rsidR="00000000" w:rsidDel="00000000" w:rsidP="00000000" w:rsidRDefault="00000000" w:rsidRPr="00000000" w14:paraId="000008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A">
      <w:pPr>
        <w:pStyle w:val="Heading2"/>
        <w:jc w:val="center"/>
        <w:rPr>
          <w:rFonts w:ascii="Times New Roman" w:cs="Times New Roman" w:eastAsia="Times New Roman" w:hAnsi="Times New Roman"/>
          <w:b w:val="1"/>
        </w:rPr>
      </w:pPr>
      <w:bookmarkStart w:colFirst="0" w:colLast="0" w:name="_mjrd7yk3cgy" w:id="20"/>
      <w:bookmarkEnd w:id="20"/>
      <w:r w:rsidDel="00000000" w:rsidR="00000000" w:rsidRPr="00000000">
        <w:rPr>
          <w:rFonts w:ascii="Times New Roman" w:cs="Times New Roman" w:eastAsia="Times New Roman" w:hAnsi="Times New Roman"/>
          <w:b w:val="1"/>
          <w:rtl w:val="0"/>
        </w:rPr>
        <w:t xml:space="preserve">Section IV </w:t>
      </w:r>
    </w:p>
    <w:p w:rsidR="00000000" w:rsidDel="00000000" w:rsidP="00000000" w:rsidRDefault="00000000" w:rsidRPr="00000000" w14:paraId="0000082B">
      <w:pPr>
        <w:pStyle w:val="Heading2"/>
        <w:jc w:val="center"/>
        <w:rPr>
          <w:rFonts w:ascii="Times New Roman" w:cs="Times New Roman" w:eastAsia="Times New Roman" w:hAnsi="Times New Roman"/>
          <w:b w:val="1"/>
        </w:rPr>
      </w:pPr>
      <w:bookmarkStart w:colFirst="0" w:colLast="0" w:name="_25tumaxqmliv" w:id="21"/>
      <w:bookmarkEnd w:id="21"/>
      <w:r w:rsidDel="00000000" w:rsidR="00000000" w:rsidRPr="00000000">
        <w:rPr>
          <w:rFonts w:ascii="Times New Roman" w:cs="Times New Roman" w:eastAsia="Times New Roman" w:hAnsi="Times New Roman"/>
          <w:b w:val="1"/>
          <w:rtl w:val="0"/>
        </w:rPr>
        <w:t xml:space="preserve">Militärgeschichte</w:t>
      </w:r>
    </w:p>
    <w:p w:rsidR="00000000" w:rsidDel="00000000" w:rsidP="00000000" w:rsidRDefault="00000000" w:rsidRPr="00000000" w14:paraId="000008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Traditionell widmet das Baltic Defence Review einen Teil seiner Ausgabe verschiedenen Aspekten der Militärgeschichte des Baltikums. Ein umfassender Artikel von Ivo Juurvee enthüllt, wie Estland in der Zwischenkriegszeit seine Fähigkeiten im Bereich der Nachrichtendienste aufbaute und nutzte. Der Schwerpunkt des Autors liegt auf der Funkaufklärung, die zu dieser Zeit eine relativ neue Form der nachrichtendienstlichen Tätigkeit war. Basierend auf gründlichen Untersuchungen von verfügbaren Archiven rekonstruiert der Autor Stück für Stück das Bild der estnischen Funkaufklärung und liefert dabei viele wertvolle Fakten und Schlussfolgerungen.</w:t>
      </w:r>
    </w:p>
    <w:p w:rsidR="00000000" w:rsidDel="00000000" w:rsidP="00000000" w:rsidRDefault="00000000" w:rsidRPr="00000000" w14:paraId="000008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F">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123</w:t>
      </w:r>
    </w:p>
    <w:p w:rsidR="00000000" w:rsidDel="00000000" w:rsidP="00000000" w:rsidRDefault="00000000" w:rsidRPr="00000000" w14:paraId="00000830">
      <w:pPr>
        <w:pStyle w:val="Heading2"/>
        <w:jc w:val="both"/>
        <w:rPr>
          <w:rFonts w:ascii="Times New Roman" w:cs="Times New Roman" w:eastAsia="Times New Roman" w:hAnsi="Times New Roman"/>
          <w:b w:val="1"/>
        </w:rPr>
      </w:pPr>
      <w:bookmarkStart w:colFirst="0" w:colLast="0" w:name="_1p5aeo3m2gi" w:id="22"/>
      <w:bookmarkEnd w:id="22"/>
      <w:r w:rsidDel="00000000" w:rsidR="00000000" w:rsidRPr="00000000">
        <w:rPr>
          <w:rFonts w:ascii="Times New Roman" w:cs="Times New Roman" w:eastAsia="Times New Roman" w:hAnsi="Times New Roman"/>
          <w:b w:val="1"/>
          <w:rtl w:val="0"/>
        </w:rPr>
        <w:t xml:space="preserve">Estonische Funkaufklärung in der Zwischenkriegszeit*</w:t>
      </w:r>
    </w:p>
    <w:p w:rsidR="00000000" w:rsidDel="00000000" w:rsidP="00000000" w:rsidRDefault="00000000" w:rsidRPr="00000000" w14:paraId="000008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Von Ivo Juurvee**</w:t>
      </w:r>
    </w:p>
    <w:p w:rsidR="00000000" w:rsidDel="00000000" w:rsidP="00000000" w:rsidRDefault="00000000" w:rsidRPr="00000000" w14:paraId="000008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Dieser Artikel basiert auf der Masterarbeit des Autors mit dem Titel "Militärnachrichtendienste in kleinen Staaten: Eine Fallstudie zu Estland und Lettland vor dem Krieg" (Budapest: Central European University, 2003). Der Autor drückt seine Dankbarkeit gegenüber allen aus, die zu dieser Arbeit beigetragen haben, insbesondere Professor Karl Hall (CEU) und Herrn Karl Ruf (EADS RACOMS).</w:t>
      </w:r>
    </w:p>
    <w:p w:rsidR="00000000" w:rsidDel="00000000" w:rsidP="00000000" w:rsidRDefault="00000000" w:rsidRPr="00000000" w14:paraId="000008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Ivo Juurvee ist Berater im Staatskanzlei der Republik Estland.</w:t>
      </w:r>
    </w:p>
    <w:p w:rsidR="00000000" w:rsidDel="00000000" w:rsidP="00000000" w:rsidRDefault="00000000" w:rsidRPr="00000000" w14:paraId="000008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Estnische Funkaufklärung in der Geschichtsschreibung </w:t>
      </w:r>
    </w:p>
    <w:p w:rsidR="00000000" w:rsidDel="00000000" w:rsidP="00000000" w:rsidRDefault="00000000" w:rsidRPr="00000000" w14:paraId="000008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estnische militärische Nachrichtendienst vor dem Krieg - die Zweite Abteilung des Generalstabs - und insbesondere ihr Funkaufklärungszweig¹, Abteilung D, wurden nicht viel erforscht, obwohl sie in der Geschichtsschreibung recht häufig erwähnt werden. Aus verschiedenen Gründen wurde ihre Bedeutung wahrscheinlich überbewertet. Diejenigen, die den Mythos ihrer einflussreichen Rolle förderten, waren Offiziere des Generalstabs, die von der NKWD (dem sowjetischen Geheimdienst, dem Vorgänger des KGB) verhaftet und verhört wurden. Sie wurden nach Nachrichtendiensten gefragt, und es musste eine Antwort gegeben werden. Über die Bedeutung von Abteilung D zu sprechen war sicher, da ihre Führung rechtzeitig aus dem Land fliehen konnte und ihre Mitarbeiter den sowjetischen Behörden bekannt waren.² Daher hätte Informationen über die Funkaufklärung keine weiteren Verhaftungen verursachen können, wie es beim Aufdecken anderer Mitarbeiter der Zweiten Abteilung möglich gewesen wäre. Zum Beispiel sagte der ehemalige Chef des Generalstabs, General Nikolai Reek, dass er sehr wenig über den Nachrichtendienst wisse, da der Leiter der Zweiten Abteilung direkt an den Oberbefehlshaber, General Johan Laidoner, berichten musste (was nicht stimmte).³ Bald begann Reek sich zu erinnern, vermutlich aufgrund von Folter, und eine der ersten Dinge, die er gestand, war, dass die "Funkaufklärung viel gegeben" habe⁴.</w:t>
      </w:r>
    </w:p>
    <w:p w:rsidR="00000000" w:rsidDel="00000000" w:rsidP="00000000" w:rsidRDefault="00000000" w:rsidRPr="00000000" w14:paraId="000008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 weiterer Grund, an die Macht von Abteilung D zu glauben, ist weniger pragmatisch, sondern politisch. Da die Funkaufklärung gegen die Sowjetunion höchstwahrscheinlich in Zusammenarbeit mit Deutschland organisiert wurde, wurde sie in der sowjetestnischen Geschichtsschreibung genutzt, um die Führung der Republik Estland und ihre Streitkräfte als pro-nazistisch zu diskreditieren und als indirekte Rechtfertigung für die Ereignisse des Sommers 1940. Untersuchungen mehrerer Autoren zur Partnerschaft zwischen der Zweiten Abteilung und dem deutschen militärischen Nachrichtendienst Abwehr zeigen, dass spezielle </w:t>
      </w:r>
    </w:p>
    <w:p w:rsidR="00000000" w:rsidDel="00000000" w:rsidP="00000000" w:rsidRDefault="00000000" w:rsidRPr="00000000" w14:paraId="000008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C">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124</w:t>
      </w:r>
    </w:p>
    <w:p w:rsidR="00000000" w:rsidDel="00000000" w:rsidP="00000000" w:rsidRDefault="00000000" w:rsidRPr="00000000" w14:paraId="000008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Funkaufklärungsausrüstung und Optik von ihren deutschen Kollegen an die Esten gespendet wurden.⁵ Das Gleiche wurde in jüngsten Veröffentlichungen bestätigt.⁶ Es ist zu einer "allgemein bekannten Tatsache" geworden, da die ursprüngliche Quelle für diesen Fakt aufgrund von Querverweisen und fehlenden Zitaten schwer zu ermitteln ist. Nach einigen Recherchen war es möglich, die Originalquelle zu finden, die ein Buch des ostdeutschen Historikers Julius Mader ist. Er schreibt:</w:t>
      </w:r>
    </w:p>
    <w:p w:rsidR="00000000" w:rsidDel="00000000" w:rsidP="00000000" w:rsidRDefault="00000000" w:rsidRPr="00000000" w14:paraId="000008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Juni [1936] besucht der Leiter des Zweiten Departements des estnischen Generalstabs, Oberst Maasing, Canaris in Berlin. Die Abwehr erhält die Genehmigung der estnischen Regierung, estnisches Gebiet für anti-sowjetische Spionage zu nutzen. Zur Erfüllung dieser Aufgabe wird der estnische Geheimdienst mit Langstreckenkameras und Funkaufklärungswerkzeugen ausgestattet, die entlang der estnisch-sowjetischen Grenze stationiert werden sollen. Kameras wurden in den Leuchttürmen am Finnischen Meerbusen installiert, um vorbeifahrende sowjetische Kriegsschiffe zu fotografieren."⁷</w:t>
      </w:r>
    </w:p>
    <w:p w:rsidR="00000000" w:rsidDel="00000000" w:rsidP="00000000" w:rsidRDefault="00000000" w:rsidRPr="00000000" w14:paraId="000008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Dieses kurze Zitat ohne jegliche Quellenangabe war lange Zeit die Grundlage für alle Studien zur estnischen Funkaufklärung. Die Existenz von Kameras in den Leuchttürmen könnte möglich sein, obwohl bisher keine dokumentarischen Beweise gefunden wurden, die diese Behauptung unterstützen.</w:t>
      </w:r>
    </w:p>
    <w:p w:rsidR="00000000" w:rsidDel="00000000" w:rsidP="00000000" w:rsidRDefault="00000000" w:rsidRPr="00000000" w14:paraId="000008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Funkaufklärung vor Abteilung D</w:t>
      </w:r>
    </w:p>
    <w:p w:rsidR="00000000" w:rsidDel="00000000" w:rsidP="00000000" w:rsidRDefault="00000000" w:rsidRPr="00000000" w14:paraId="000008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Esten belauschten bereits vor der Gründung von Abteilung D im Zweiten Departement die sowjetische Funkkommunikation. Das Ausmaß der systematischen Arbeit ist schwer festzustellen. In den 1920er und 1930er Jahren bestand kein wesentlicher Unterschied zwischen konventioneller Funkausrüstung und Ausrüstung für Funkaufklärungsaufgaben. Nahezu alle militärischen Empfänger konnten zur Überwachung der Kommunikation des Feindes genutzt werden. Mit einigen einfachen Umbauten konnten auch zivile Rundfunkempfänger für solche Zwecke verwendet werden. Gleiches galt für Geräte, die von Funkamateuren genutzt wurden, die in einigen Fällen anspruchsvoller waren als die Ausrüstung der Streitkräfte.</w:t>
      </w:r>
    </w:p>
    <w:p w:rsidR="00000000" w:rsidDel="00000000" w:rsidP="00000000" w:rsidRDefault="00000000" w:rsidRPr="00000000" w14:paraId="000008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drahtlose Station des Generalstabs in Tallinn hat während des Unabhängigkeitskrieges (1918-1920) die ersten Funksprüche der Roten Armee abgefangen.⁸ Jedoch wurde die Funkaufklärung nicht als eine ihrer Hauptfunktionen erwähnt.⁹ Es war wahrscheinlich nur ein Zufall, der während langer Arbeitsphasen im Empfangsmodus passierte.</w:t>
      </w:r>
    </w:p>
    <w:p w:rsidR="00000000" w:rsidDel="00000000" w:rsidP="00000000" w:rsidRDefault="00000000" w:rsidRPr="00000000" w14:paraId="000008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gibt einige Beispiele für maritime Funkaufklärung. Nach dem Unabhängigkeitskrieg wurde eine Langwellenstation am Standort der Marinekommunikation in Stenskäri eingerichtet. Unter anderem hatte sie die Aufgabe, sich um die Funkaufklärung zu kümmern. Ende der 1920er Jahre hatte die Station an Bedeutung verloren, da die Rote Baltische Flotte während ihrer Seefahrten nur selten Langwellenübertragungen nutzte.¹⁰</w:t>
      </w:r>
    </w:p>
    <w:p w:rsidR="00000000" w:rsidDel="00000000" w:rsidP="00000000" w:rsidRDefault="00000000" w:rsidRPr="00000000" w14:paraId="000008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Juli 1928 informierte Oberstleutnant Karl Laurits, zu dieser Zeit Leiter des Zweiten Departements, den Stabschef der Marine:</w:t>
      </w:r>
    </w:p>
    <w:p w:rsidR="00000000" w:rsidDel="00000000" w:rsidP="00000000" w:rsidRDefault="00000000" w:rsidRPr="00000000" w14:paraId="000008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Zustimmung des Marinekommandanten ... wird die Funkstation auf der Insel Naissaare, deren Personal um einen zivilen Mitarbeiter des Zweiten Departements verstärkt wird, für Funkaufklärungszwecke genutzt. Die eigentliche Funkaufklärungsarbeit wird </w:t>
      </w:r>
    </w:p>
    <w:p w:rsidR="00000000" w:rsidDel="00000000" w:rsidP="00000000" w:rsidRDefault="00000000" w:rsidRPr="00000000" w14:paraId="000008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125</w:t>
      </w:r>
    </w:p>
    <w:p w:rsidR="00000000" w:rsidDel="00000000" w:rsidP="00000000" w:rsidRDefault="00000000" w:rsidRPr="00000000" w14:paraId="000008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vom Kommandanten der Funkstation des Generalstabs, Leutnant Lõhmussaar vom Kommunikationsbataillon, unter meiner Aufsicht organisiert."¹¹</w:t>
      </w:r>
    </w:p>
    <w:p w:rsidR="00000000" w:rsidDel="00000000" w:rsidP="00000000" w:rsidRDefault="00000000" w:rsidRPr="00000000" w14:paraId="000008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selben Dokument wurde vorgesehen, dass die Station bis zur Ankunft des vierten Funkers 18 Stunden pro Tag im Empfangsmodus arbeiten musste und rund um die Uhr, sobald der vierte Funker eingetroffen war. Daraus lässt sich schließen, dass eine Schicht sechs Stunden dauerte.</w:t>
      </w:r>
    </w:p>
    <w:p w:rsidR="00000000" w:rsidDel="00000000" w:rsidP="00000000" w:rsidRDefault="00000000" w:rsidRPr="00000000" w14:paraId="000008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 Dokument "Signale und Arbeitszeiten der Funkstationen der Armee und Marine", das am 1. Oktober 1928 in Kraft trat, besagte, dass die Marine-Funkstationen von Kuressaare, Pärnu und den Küstenbefestigungen neben ihrer regulären Arbeit jede Stunde fünf Minuten lang die Kommunikation der sowjetischen Kriegsschiffe in der Ostsee überwachen mussten. Keine Funkstation der Armee hatte eine solche Aufgabe.¹²</w:t>
      </w:r>
    </w:p>
    <w:p w:rsidR="00000000" w:rsidDel="00000000" w:rsidP="00000000" w:rsidRDefault="00000000" w:rsidRPr="00000000" w14:paraId="000008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Jahr 1925 wurden drei Richtfunkstationen für die Armee gekauft,¹³ also Ausrüstung für Aufklärungszwecke. Bis April 1933 war diese recht primitive Ausrüstung außer Betrieb und befand sich im Lager der 3. Nachrichtenkompanie.¹⁴ Obwohl der Leiter des Zweiten Departements, Laurits, 1931 die theoretischen Ansichten und die Bedeutung der Funkpeilung in der Broschüre "Nachrichtendienst in Stäben" beschrieb, verfügte die estnische Armee zu dieser Zeit nicht über die dort beschriebene moderne Ausrüstung.¹⁵</w:t>
      </w:r>
    </w:p>
    <w:p w:rsidR="00000000" w:rsidDel="00000000" w:rsidP="00000000" w:rsidRDefault="00000000" w:rsidRPr="00000000" w14:paraId="000008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 der Stab der 1. Division 1932 von Narva (nahe der russischen Grenze) nach Rakvere (100 km westlich von Narva) verlegt wurde, blieb die Funkstation an ihrem früheren Standort, um spezielle Aufgaben zu erfüllen. Sie blieb dort mindestens bis Ende 1933, als der Inspekteur der Pioniertruppen gefragt wurde, ob sie dort bleiben oder durch eine Station gleicher Art ersetzt werden sollte.¹⁶</w:t>
      </w:r>
    </w:p>
    <w:p w:rsidR="00000000" w:rsidDel="00000000" w:rsidP="00000000" w:rsidRDefault="00000000" w:rsidRPr="00000000" w14:paraId="000008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ist nicht bekannt, ob mit "speziellen Aufgaben" die Funkaufklärung gemeint war. Trotzdem arbeitete der Sender der Station von April 1932 bis April 1933 insgesamt 217 Stunden und der Empfänger 7998 Stunden (im Durchschnitt also etwa 22 Stunden pro Tag), d. h. der Empfänger arbeitete etwa 37-mal länger als der Sender. Der Durchschnitt für alle Stationen des Kommunikationsbataillons betrug 24,5-mal. Daraus lässt sich argumentieren, dass die Station in Narva für Aufklärungszwecke genutzt wurde. Die vier Richtfunkstationen arbeiteten in dem oben genannten Zeitraum insgesamt 1350 Stunden, was im Durchschnitt 3 Stunden und 42 Minuten pro Tag entspricht. (Diese Zahl ist rein theoretisch, da zur Ortung eines Senders mindestens zwei Stationen gleichzeitig arbeiten mussten. Sie zeigt jedoch eine relativ geringe Intensität der Richtfunkpeilung an.) Die am aktivsten genutzte (2 Stunden und 20 Minuten pro Tag) Marconi-Richtfunkstation befand sich in Petseri (einer Stadt an der russischen Grenze in Südostestland), an demselben Ort, an dem sich die Aufklärungsstation befand, und überwachte die sowjetische Kommunikation 9 Stunden  und 10 Minuten pro Tag.¹⁷</w:t>
      </w:r>
    </w:p>
    <w:p w:rsidR="00000000" w:rsidDel="00000000" w:rsidP="00000000" w:rsidRDefault="00000000" w:rsidRPr="00000000" w14:paraId="000008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die oben genannten Daten belegen, dass die Esten einige Anstrengungen im Bereich der Funkaufklärung unternommen haben, vermittelt der Brief des Generalstabschefs General Nikolai Reek an den Kommunikationschef der Armee den Eindruck, dass die Arbeit nicht systematisch war. Reek schreibt:</w:t>
      </w:r>
    </w:p>
    <w:p w:rsidR="00000000" w:rsidDel="00000000" w:rsidP="00000000" w:rsidRDefault="00000000" w:rsidRPr="00000000" w14:paraId="000008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Bereits in Friedenszeiten müssen wir uns auf die Durchführung von Funkaufklärung vorbereiten. Es bedeutet Fähigkeiten zum Auffinden [feindlicher] Stationen und zur Entzifferung </w:t>
      </w:r>
    </w:p>
    <w:p w:rsidR="00000000" w:rsidDel="00000000" w:rsidP="00000000" w:rsidRDefault="00000000" w:rsidRPr="00000000" w14:paraId="0000086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2">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126</w:t>
      </w:r>
    </w:p>
    <w:p w:rsidR="00000000" w:rsidDel="00000000" w:rsidP="00000000" w:rsidRDefault="00000000" w:rsidRPr="00000000" w14:paraId="000008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abgefangener Nachrichten. Es muss ein entsprechender Plan erstellt und mehrere junge Offiziere von der Höheren Militärschule in diese Aufgabe einbezogen werden."¹⁸</w:t>
      </w:r>
    </w:p>
    <w:p w:rsidR="00000000" w:rsidDel="00000000" w:rsidP="00000000" w:rsidRDefault="00000000" w:rsidRPr="00000000" w14:paraId="0000086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Funkkommunikation in der zweiten Hälfte der 1930er Jahre</w:t>
      </w:r>
    </w:p>
    <w:p w:rsidR="00000000" w:rsidDel="00000000" w:rsidP="00000000" w:rsidRDefault="00000000" w:rsidRPr="00000000" w14:paraId="000008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der zweiten Hälfte der 1930er Jahre wurden hauptsächlich drei Wellenbänder für die Funkkommunikation verwendet: Langwellen (Bandbreite ca. 1-10 km, Frequenz 300-30 kHz), Mittelwellen (ca. 100-1000 m, 3000-300 kHz) und Kurzwellen (ca. 10-100 m, 30000-3000 kHz). Ultralangwellen (mehr als 10 km, weniger als 30 kHz) wurden selten genutzt, aber die Forschung zu Ultrakurzwellen befand sich noch in einem Stadium, das keine weit verbreitete Nutzung ermöglichte.</w:t>
      </w:r>
    </w:p>
    <w:p w:rsidR="00000000" w:rsidDel="00000000" w:rsidP="00000000" w:rsidRDefault="00000000" w:rsidRPr="00000000" w14:paraId="000008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Mittel- und Langwellen waren zuverlässiger, aber aufgrund einiger Besonderheiten waren Kurzwellen für militärische Kommunikation vielversprechender.¹⁹ Da Kurzwellen von der Ionosphäre reflektiert werden, konnten Sender mit geringer Leistung Kommunikation über Tausende von Kilometern ermöglichen. Die erheblichen Nachteile waren jedoch geringe Zuverlässigkeit und die "Stille Zone" (d.h. dass die direkte Welle nicht mehr empfangen werden kann und die reflektierte Welle die Erdoberfläche noch nicht erreicht hat).²⁰</w:t>
      </w:r>
    </w:p>
    <w:p w:rsidR="00000000" w:rsidDel="00000000" w:rsidP="00000000" w:rsidRDefault="00000000" w:rsidRPr="00000000" w14:paraId="000008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dieser Zeit wurden hauptsächlich zwei Empfängermarken, "Audion" und "Super", verwendet. "Super" war anspruchsvoller und machte "Audion" überflüssig. Die Anzahl der Röhren (Vakuumröhren) in einem Empfänger konnte normalerweise auf den Grad der Raffinesse der Station hinweisen. Funkamateure waren unter den Esten beliebt. Es war die Zeit der "Radio-Romantiker". Einige von Amateuren gebaute Geräte waren sogar besser als die Ausrüstung, die von den Streitkräften verwendet wurde. Gleichzeitig </w:t>
      </w:r>
    </w:p>
    <w:p w:rsidR="00000000" w:rsidDel="00000000" w:rsidP="00000000" w:rsidRDefault="00000000" w:rsidRPr="00000000" w14:paraId="000008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Picture: </w:t>
      </w:r>
    </w:p>
    <w:p w:rsidR="00000000" w:rsidDel="00000000" w:rsidP="00000000" w:rsidRDefault="00000000" w:rsidRPr="00000000" w14:paraId="000008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Einer der Kurzwellenempfänger der Abteilung D. Quelle: Estnisches Staatsarchiv (ERA), 498-14-488, S. 213.</w:t>
      </w:r>
    </w:p>
    <w:p w:rsidR="00000000" w:rsidDel="00000000" w:rsidP="00000000" w:rsidRDefault="00000000" w:rsidRPr="00000000" w14:paraId="000008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127</w:t>
      </w:r>
    </w:p>
    <w:p w:rsidR="00000000" w:rsidDel="00000000" w:rsidP="00000000" w:rsidRDefault="00000000" w:rsidRPr="00000000" w14:paraId="000008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stellten sie eine Reserve an Funkexperten für das Militär dar, die im Bedarfsfall eingesetzt werden konnten, insbesondere durch die Verteidigungswehr.²¹</w:t>
      </w:r>
    </w:p>
    <w:p w:rsidR="00000000" w:rsidDel="00000000" w:rsidP="00000000" w:rsidRDefault="00000000" w:rsidRPr="00000000" w14:paraId="000008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Ausrüstung²²</w:t>
      </w:r>
    </w:p>
    <w:p w:rsidR="00000000" w:rsidDel="00000000" w:rsidP="00000000" w:rsidRDefault="00000000" w:rsidRPr="00000000" w14:paraId="000008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Informationen über die Ausrüstung der estnischen Funkaufklärung stammen aus dem Sommer 1940, als sie an die Rote Armee übergeben werden musste. In einzelnen Teilen übergab die Abteilung D insgesamt 25 Funkstationen, Sender, Empfänger, Peilstationen und mehrere hundert weitere Ausrüstungsgegenstände (Antennen, Kabel, Batterien, Röhren usw.). Es kann nicht vollständig ausgeschlossen werden, dass einige Ausrüstungsgegenstände fehlten - entweder versteckt, zuvor an eine andere estnische Militäreinheit übergeben oder gestohlen wurden -, obwohl dies unwahrscheinlich ist. Bis zum Sommer 1940 waren folgende Geräte im Einsatz:</w:t>
      </w:r>
    </w:p>
    <w:p w:rsidR="00000000" w:rsidDel="00000000" w:rsidP="00000000" w:rsidRDefault="00000000" w:rsidRPr="00000000" w14:paraId="000008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Funkstationen (inklusive Empfänger und Sender):</w:t>
      </w:r>
    </w:p>
    <w:p w:rsidR="00000000" w:rsidDel="00000000" w:rsidP="00000000" w:rsidRDefault="00000000" w:rsidRPr="00000000" w14:paraId="000008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Torn. Fu f/24 b211 (1 Stück)</w:t>
      </w:r>
    </w:p>
    <w:p w:rsidR="00000000" w:rsidDel="00000000" w:rsidP="00000000" w:rsidRDefault="00000000" w:rsidRPr="00000000" w14:paraId="000008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Torn. Fu B 1 (1 Stück)</w:t>
      </w:r>
    </w:p>
    <w:p w:rsidR="00000000" w:rsidDel="00000000" w:rsidP="00000000" w:rsidRDefault="00000000" w:rsidRPr="00000000" w14:paraId="000008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7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Empfänger:</w:t>
      </w:r>
    </w:p>
    <w:p w:rsidR="00000000" w:rsidDel="00000000" w:rsidP="00000000" w:rsidRDefault="00000000" w:rsidRPr="00000000" w14:paraId="000008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Torn. EB (4 Stück)</w:t>
      </w:r>
    </w:p>
    <w:p w:rsidR="00000000" w:rsidDel="00000000" w:rsidP="00000000" w:rsidRDefault="00000000" w:rsidRPr="00000000" w14:paraId="000008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Spez. 445 b Bs Tornister (3 Stück)</w:t>
      </w:r>
    </w:p>
    <w:p w:rsidR="00000000" w:rsidDel="00000000" w:rsidP="00000000" w:rsidRDefault="00000000" w:rsidRPr="00000000" w14:paraId="000008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D 770 (4 Stück)</w:t>
      </w:r>
    </w:p>
    <w:p w:rsidR="00000000" w:rsidDel="00000000" w:rsidP="00000000" w:rsidRDefault="00000000" w:rsidRPr="00000000" w14:paraId="000008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E 381 H Allwellen (2 Stück)</w:t>
      </w:r>
    </w:p>
    <w:p w:rsidR="00000000" w:rsidDel="00000000" w:rsidP="00000000" w:rsidRDefault="00000000" w:rsidRPr="00000000" w14:paraId="000008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L.Mw H.E/24b 316 (1 Stück)</w:t>
      </w:r>
    </w:p>
    <w:p w:rsidR="00000000" w:rsidDel="00000000" w:rsidP="00000000" w:rsidRDefault="00000000" w:rsidRPr="00000000" w14:paraId="000008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876 WR (1 Stück)</w:t>
      </w:r>
    </w:p>
    <w:p w:rsidR="00000000" w:rsidDel="00000000" w:rsidP="00000000" w:rsidRDefault="00000000" w:rsidRPr="00000000" w14:paraId="000008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Kerting-Ultramar 37 SV 8360 (1 Stück)</w:t>
      </w:r>
    </w:p>
    <w:p w:rsidR="00000000" w:rsidDel="00000000" w:rsidP="00000000" w:rsidRDefault="00000000" w:rsidRPr="00000000" w14:paraId="000008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'5-Röhren' des Kommunikationsbataillons (veraltet, 1 Stück)</w:t>
      </w:r>
    </w:p>
    <w:p w:rsidR="00000000" w:rsidDel="00000000" w:rsidP="00000000" w:rsidRDefault="00000000" w:rsidRPr="00000000" w14:paraId="000008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8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Peilstationen:</w:t>
      </w:r>
    </w:p>
    <w:p w:rsidR="00000000" w:rsidDel="00000000" w:rsidP="00000000" w:rsidRDefault="00000000" w:rsidRPr="00000000" w14:paraId="000008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TP/L.M./6/315 (3 Stück)</w:t>
      </w:r>
    </w:p>
    <w:p w:rsidR="00000000" w:rsidDel="00000000" w:rsidP="00000000" w:rsidRDefault="00000000" w:rsidRPr="00000000" w14:paraId="000008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8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Sender:</w:t>
      </w:r>
    </w:p>
    <w:p w:rsidR="00000000" w:rsidDel="00000000" w:rsidP="00000000" w:rsidRDefault="00000000" w:rsidRPr="00000000" w14:paraId="000008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Quarzkristall (veraltet, 2 Stück)</w:t>
      </w:r>
    </w:p>
    <w:p w:rsidR="00000000" w:rsidDel="00000000" w:rsidP="00000000" w:rsidRDefault="00000000" w:rsidRPr="00000000" w14:paraId="000008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'1-Röhre' (veraltet, 1 Stück) ²³</w:t>
      </w:r>
    </w:p>
    <w:p w:rsidR="00000000" w:rsidDel="00000000" w:rsidP="00000000" w:rsidRDefault="00000000" w:rsidRPr="00000000" w14:paraId="000008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Picture: Telefunken Funkpeilstationen. Quelle: Estnisches Staatsarchiv (ERA), 498-14-488, S. 217.</w:t>
      </w:r>
    </w:p>
    <w:p w:rsidR="00000000" w:rsidDel="00000000" w:rsidP="00000000" w:rsidRDefault="00000000" w:rsidRPr="00000000" w14:paraId="000008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0">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128</w:t>
      </w:r>
    </w:p>
    <w:p w:rsidR="00000000" w:rsidDel="00000000" w:rsidP="00000000" w:rsidRDefault="00000000" w:rsidRPr="00000000" w14:paraId="00000891">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8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Von diesen 25 Geräten hatten 22 eine Empfangsfunktion und nur fünf eine Sendefunktion (davon waren drei veraltet). Dies zeigt eine klare Fokussierung auf Überwachung. Dennoch hatten alle drei Funkaufklärungseinheiten ihren eigenen Sender, und im Zweiten Departement gab es ebenfalls einen.24 (Das Zweite Departement²⁴ befand sich in der Pagari-Straße in der Altstadt von Tallinn im Gebäude des Generalstabs. Seine Funkstation im selben Gebäude stand wahrscheinlich auch den Geheimdienstoffizieren zur Verfügung, falls erforderlich, z. B. für den Kontakt zu den Funkaufklärungseinheiten.) </w:t>
      </w:r>
    </w:p>
    <w:p w:rsidR="00000000" w:rsidDel="00000000" w:rsidP="00000000" w:rsidRDefault="00000000" w:rsidRPr="00000000" w14:paraId="000008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"Tornister-Empfänger²⁵ Spez. 445 b Bs" war ein tragbarer 4-Ventil-Audion-Empfänger, der von einem Mann im Rucksack getragen werden konnte. In der deutschen Wehrmacht wurde er von 1930 bis 1937 verwendet. In der Zeit von 1937 bis 1939 wurde er durch den anspruchsvolleren Telefunken Torn. EB ersetzt, der bis zum Ende des Zweiten Weltkriegs verwendet wurde. Diese beiden waren auch die Hauptempfänger in deutschen Panzern und anderen gepanzerten Fahrzeugen.²⁶ Section D besaß bis zum Sommer 1940 drei Spez. 445 und vier Torn EBs. Die Seriennummern zeigen, dass alle drei in Estland verwendeten Spez. 445 im Jahr 1936 hergestellt wurden. Dies könnte darauf hindeuten, dass 1) sie bereits von Deutschen verwendet wurden und im Rahmen des Erneuerungsprozesses von 1937-1939 als Gebrauchtgeräte an Section D übergeben wurden oder 2) der gleiche Prozess in Estland stattfand, die ursprüngliche Anzahl von Spez. 445 größer war und einige von ihnen bereits durch Torn EBs ersetzt worden waren, oder 3) der Prozess bereits abgeschlossen war und vier Torn EBs drei Spez. 445, die zu diesem Zeitpunkt in Reserve waren, ersetzt hatten.</w:t>
      </w:r>
    </w:p>
    <w:p w:rsidR="00000000" w:rsidDel="00000000" w:rsidP="00000000" w:rsidRDefault="00000000" w:rsidRPr="00000000" w14:paraId="000008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Spez. 445 war ein Empfänger, der speziell für den Einsatz unter Feldbedingungen entwickelt wurde. Daher hatte die Betriebssicherheit oberste Priorität. Alle vier Vakuumröhren waren vom gleichen Typ (RE 074). Obwohl vier verschiedene Ventile eine bessere Empfangsqualität ermöglicht hätten, bevorzugten deutsche Ingenieure den einfachen Austausch. Es war offensichtlich viel einfacher, nur ein Ventil für den Austausch im Feld mitzuführen, als vier verschiedene. Es war auch einfacher für die Esten, nur einen Typ von Ersatzventilen aus Deutschland zu bestellen. Das primitive Design des Empfängers zeigt sich darin, dass die Bandbreite nicht durch einen Schalter geändert werden konnte, sondern der Bediener drei verschiedene Spulen (für Kurz-, Mittel- und Langwellen) mitführen musste. Der Spez. 445 konnte Bänder von 40-3000 Metern empfangen und trotz einiger Unvollkommenheiten für Funkaufklärungszwecke verwendet werden. Der Torn EB war ein Update des Spez. 445. Eine der Unterschiede bestand darin, dass die Bandbreite durch Umschalten geändert wurde und keine Notwendigkeit bestand, Spulen zu wechseln. Dieser Empfänger wurde in großen Mengen produziert und war das Rückgrat der Funkkommunikation der deutschen Infanterie und Panzereinheiten während des Zweiten Weltkriegs²⁷</w:t>
      </w:r>
    </w:p>
    <w:p w:rsidR="00000000" w:rsidDel="00000000" w:rsidP="00000000" w:rsidRDefault="00000000" w:rsidRPr="00000000" w14:paraId="000008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D 770" und "Telefunken 876 WR" waren 7- bzw. 6-Ventil-Superempfänger. Obwohl ihr Aufbau viel anspruchsvoller als beim Spez. 445 war, handelte es sich bei D 770 und 876 WR nur um zivile Rundfunkempfänger. Nach Ausbruch des Krieges im September 1939 erhielt das Zweite Departement zusätzliche Mittel, um fünf Empfänger zum Überwachen ausländischer öffentlicher Rundfunksendungen (hauptsächlich Nachrichten) zu beschaffen.²⁸ Dies erklärt den Zweck dieser Empfänger und gibt das ungefähre Kaufdatum an. </w:t>
      </w:r>
    </w:p>
    <w:p w:rsidR="00000000" w:rsidDel="00000000" w:rsidP="00000000" w:rsidRDefault="00000000" w:rsidRPr="00000000" w14:paraId="000008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 einer einfachen und kostengünstigen Umgestaltung und einer besseren Antenne </w:t>
      </w:r>
    </w:p>
    <w:p w:rsidR="00000000" w:rsidDel="00000000" w:rsidP="00000000" w:rsidRDefault="00000000" w:rsidRPr="00000000" w14:paraId="000008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C">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129</w:t>
      </w:r>
    </w:p>
    <w:p w:rsidR="00000000" w:rsidDel="00000000" w:rsidP="00000000" w:rsidRDefault="00000000" w:rsidRPr="00000000" w14:paraId="000008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konnten D 770 und 876 WR für viel breitere Zwecke als nur zum Hören von Rundfunknachrichten verwendet werden.</w:t>
      </w:r>
    </w:p>
    <w:p w:rsidR="00000000" w:rsidDel="00000000" w:rsidP="00000000" w:rsidRDefault="00000000" w:rsidRPr="00000000" w14:paraId="000008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entscheidende Unterschied zwischen militärischer und ziviler Ausrüstung bestand darin, dass letztere keinen Text in Morsecode empfangen konnte. Den Aufbau dieser Radios, um Morsecode zu empfangen, war nicht kompliziert, insbesondere im Vergleich zu den verschiedenen Experimenten, die vom Kommunikationsbataillon durchgeführt wurden.²⁹ Danach wären sie für den Geheimdienst noch nützlicher gewesen als Spez. 445 und Torn EB, obwohl nicht bekannt ist, ob sie umgebaut wurden. Aufgrund ihrer Natur waren D 770 und 876 WR für den Transport und insbesondere für die Arbeitsbedingungen im Feld nicht sehr geeignet.</w:t>
      </w:r>
    </w:p>
    <w:p w:rsidR="00000000" w:rsidDel="00000000" w:rsidP="00000000" w:rsidRDefault="00000000" w:rsidRPr="00000000" w14:paraId="000008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"Telefunken Torn. Fu f/24 b211" und "Telefunken Torn. Fu B 1" waren tragbare Funkstationen (d. h. sie enthielten Sender und Empfänger), die in der deutschen Armee von 1937 bis zum Ende des Zweiten Weltkriegs weit verbreitet waren.³⁰ Telefunken TP/L.M./ 6/315 war eine tragbare Lang- und Mittelwellen-Funkpeilstation. Neben einer gewöhnlichen beweglichen Schleifenantenne, die das grundlegende Element jeder Peilstation zu sein scheint, waren sie mit einer zusätzlichen Stabantenne ausgestattet, mit der die Richtung feindlicher Sender genauer bestimmt werden konnte. Das Set enthielt verschiedene weitere Extras bis hin zu Ledertaschen für den Transport.³¹</w:t>
      </w:r>
    </w:p>
    <w:p w:rsidR="00000000" w:rsidDel="00000000" w:rsidP="00000000" w:rsidRDefault="00000000" w:rsidRPr="00000000" w14:paraId="000008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Angesichts der geringen Anzahl an Personal in Abschnitt D ist die Menge an Ausrüstung beachtlich. Offensichtlich wurde nicht alles zur gleichen Zeit, sondern nach Bedarf verwendet. Ein Teil davon könnte in Reserve sein, ein Teil vorübergehend außer Betrieb. Wenn die Luft ruhig war, konnte ein Bediener mehrere verschiedene Frequenzen gleichzeitig mit mehreren Empfängern überwachen.</w:t>
      </w:r>
    </w:p>
    <w:p w:rsidR="00000000" w:rsidDel="00000000" w:rsidP="00000000" w:rsidRDefault="00000000" w:rsidRPr="00000000" w14:paraId="000008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Vierundzwanzig von fünfundzwanzig Artikeln wurden von der deutschen Firma Telefunken hergestellt. Den Dokumenten zufolge waren vier anderswo hergestellte Artikel veraltet. Es ist klar, dass die große Mehrheit der Technologie, die bis zum Sommer 1940 verwendet wurde, von Telefunken stammte. Die Ausrüstung war modern, meist nur wenige Jahre alt und auf dem gleichen Niveau wie in den deutschen Bodentruppen. Auf der anderen Seite bestand sie aus Geräten, die für die Kommunikation verwendet wurden, und nicht aus speziellen Funkaufklärungswerkzeugen, abgesehen von den Peilstationen.</w:t>
      </w:r>
    </w:p>
    <w:p w:rsidR="00000000" w:rsidDel="00000000" w:rsidP="00000000" w:rsidRDefault="00000000" w:rsidRPr="00000000" w14:paraId="000008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Die Frage der Beschaffung der Ausrüstung</w:t>
      </w:r>
    </w:p>
    <w:p w:rsidR="00000000" w:rsidDel="00000000" w:rsidP="00000000" w:rsidRDefault="00000000" w:rsidRPr="00000000" w14:paraId="000008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der zweiten Hälfte der 1930er Jahre verwendeten die estnischen Streitkräfte hauptsächlich die Funktechnologie von Telefunken. Die größten Einkäufe in dieser Zeit waren sechs Divisionen und sechs Brigade-Funkstationen, die in der zweiten Hälfte von 1938 bei Telefunken bestellt wurden.³² Es wurde eine Wettbewerbsausschreibung veröffentlicht, und umfangreiche Dokumentationen sind erhalten geblieben.³³ Es gibt keinen Grund, an der Qualität der Technologie zu zweifeln, da Telefunken zumindest im Bereich der Kurzwellen eine der (wenn nicht die) besten Unternehmen der Welt war. Bereits 1912 gelang es dem Unternehmen nach kontinuierlicher Forschung, eine Kurzwellen-Funkverbindung über eine Entfernung von 20.000 km herzustellen.</w:t>
      </w:r>
    </w:p>
    <w:p w:rsidR="00000000" w:rsidDel="00000000" w:rsidP="00000000" w:rsidRDefault="00000000" w:rsidRPr="00000000" w14:paraId="000008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existieren keine Dokumentationen über den Beschaffungsprozess der Ausrüstung. Dies lässt Raum für historische Diskussionen. Eine Möglichkeit könnte sein, dass die Akten während des Zweiten Weltkriegs zerstört oder verloren gegangen sind. Die andere Möglichkeit ist, dass solche Dokumentationen </w:t>
      </w:r>
    </w:p>
    <w:p w:rsidR="00000000" w:rsidDel="00000000" w:rsidP="00000000" w:rsidRDefault="00000000" w:rsidRPr="00000000" w14:paraId="000008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AE">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130</w:t>
      </w:r>
    </w:p>
    <w:p w:rsidR="00000000" w:rsidDel="00000000" w:rsidP="00000000" w:rsidRDefault="00000000" w:rsidRPr="00000000" w14:paraId="000008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 existiert haben, was wiederum zu zwei Optionen führt.</w:t>
      </w:r>
    </w:p>
    <w:p w:rsidR="00000000" w:rsidDel="00000000" w:rsidP="00000000" w:rsidRDefault="00000000" w:rsidRPr="00000000" w14:paraId="000008B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Erstens wurde die Ausschreibung möglicherweise nicht öffentlich bekannt gegeben, um die Absichten des estnischen Funkaufklärungsdienstes zu verschleiern. Die Entscheidung wurde von einem engen Kreis militärischer Funkexperten getroffen.³⁴</w:t>
      </w:r>
    </w:p>
    <w:p w:rsidR="00000000" w:rsidDel="00000000" w:rsidP="00000000" w:rsidRDefault="00000000" w:rsidRPr="00000000" w14:paraId="000008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Zweitens könnte die Ausrüstung möglicherweise von der deutschen Abwehr als Hilfe bereitgestellt worden sein, wie der ostdeutsche Historiker Julius Mader argumentiert hat. Diese Möglichkeit ist realistischer, kann jedoch noch nicht bestätigt werden.</w:t>
      </w:r>
    </w:p>
    <w:p w:rsidR="00000000" w:rsidDel="00000000" w:rsidP="00000000" w:rsidRDefault="00000000" w:rsidRPr="00000000" w14:paraId="000008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Personal von Abschnitt D</w:t>
      </w:r>
    </w:p>
    <w:p w:rsidR="00000000" w:rsidDel="00000000" w:rsidP="00000000" w:rsidRDefault="00000000" w:rsidRPr="00000000" w14:paraId="000008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Gegensatz zu anderen Teilen des Zweiten Departements ist das Personal von Abschnitt D im Sommer 1940 genau bekannt: Es bestand aus 26 Personen - zwei Offizieren, 23 Unteroffizieren und einem Soldaten. Vor 1936 war niemand eingestellt worden. Dies bestätigt die Vermutung, dass Abschnitt D in den Jahren 1936-1937 gegründet wurde.³⁵ Der zweite Offizier, Olev Õun, wurde erst im März 1938 zum Dienst eingestellt; bisher hatte Andres Kalmus alleine die Leitung des Abschnitts übernommen.³⁶</w:t>
      </w:r>
    </w:p>
    <w:p w:rsidR="00000000" w:rsidDel="00000000" w:rsidP="00000000" w:rsidRDefault="00000000" w:rsidRPr="00000000" w14:paraId="000008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Funkaufklärung hatte zwei wesentliche Erweiterungen durchlaufen. Die erste fand zu Beginn des Jahres 1937 statt, als Abschnitt D gerade mit seiner Arbeit begonnen hatte. Die zweite erfolgte im Sommer 1939, als aufgrund der komplexen Situation [in Europa] die Funkaufklärung der Marine verstärkt wurde, gemäß dem geheimen Dekret von Präsident Konstantin Päts vom 10. Juli. Mit dem Befehl des Oberbefehlshabers General Johan Laidoner vom 22. Juli wurde die Funkmannschaft des Zweiten Departements "erheblich" erweitert.³⁷</w:t>
      </w:r>
    </w:p>
    <w:p w:rsidR="00000000" w:rsidDel="00000000" w:rsidP="00000000" w:rsidRDefault="00000000" w:rsidRPr="00000000" w14:paraId="000008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 dem Einmarsch der Roten Armee in Estland Ende September 1939 gibt es nur einen bekannten neuen Unteroffizier in Abschnitt D.</w:t>
      </w:r>
    </w:p>
    <w:p w:rsidR="00000000" w:rsidDel="00000000" w:rsidP="00000000" w:rsidRDefault="00000000" w:rsidRPr="00000000" w14:paraId="000008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Gemäß einem streng geheimen Dekret des Oberbefehlshabers Nr. 223 aus dem Jahr 1936 betrug das Personal von Abschnitt D in Friedenszeiten 33 Personen.³⁸ Es gibt zwei Möglichkeiten: Entweder war Abschnitt D nicht vollständig besetzt oder es wurden auch zivile Funkoperatoren beschäftigt.</w:t>
      </w:r>
    </w:p>
    <w:p w:rsidR="00000000" w:rsidDel="00000000" w:rsidP="00000000" w:rsidRDefault="00000000" w:rsidRPr="00000000" w14:paraId="000008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Ausbildung des Personals</w:t>
      </w:r>
    </w:p>
    <w:p w:rsidR="00000000" w:rsidDel="00000000" w:rsidP="00000000" w:rsidRDefault="00000000" w:rsidRPr="00000000" w14:paraId="000008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meisten der Informations-Unteroffiziere (offizieller Name für Unteroffiziere der Funkaufklärung), über die Daten vorliegen, waren Absolventen der Funkklasse des Kommunikationsbataillons. Die beiden Ausnahmen waren der Verwaltungssergeant, der im Büro arbeitete und keine Ausbildung im Funkbereich benötigte, und ein Unteroffizier, der als Funker in der Marine ausgebildet wurde.</w:t>
      </w:r>
    </w:p>
    <w:p w:rsidR="00000000" w:rsidDel="00000000" w:rsidP="00000000" w:rsidRDefault="00000000" w:rsidRPr="00000000" w14:paraId="000008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Informations-Unteroffiziere waren Profis. Einige von ihnen hatten mehr als zehn Jahre Erfahrung als militärische oder zivile Funkoperatoren, viele hatten Lob von ihren Vorgesetzten für hervorragenden Dienst erhalten.</w:t>
      </w:r>
    </w:p>
    <w:p w:rsidR="00000000" w:rsidDel="00000000" w:rsidP="00000000" w:rsidRDefault="00000000" w:rsidRPr="00000000" w14:paraId="000008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beiden Offiziere waren gut ausgebildet. Neben der militärischen Schule hatten sie das Vollzeit-Gymnasium abgeschlossen, was in den 1930er Jahren nicht so häufig vorkam wie heute. Beide waren Ausbilder an der Gemeinsamen Militärbildungseinrichtung und beherrschten Deutsch und Russisch fließend. Hauptmann Kalmus hatte militärische Funkkurse im Ausland besucht.³⁹ Major Reino Hallamaa, der Leiter der finnischen Funkaufklärung während des Zweiten Weltkriegs, unter dessen Aufsicht Hauptmann Kalmus und Hauptmann Õun nach ihrer Flucht aus </w:t>
      </w:r>
    </w:p>
    <w:p w:rsidR="00000000" w:rsidDel="00000000" w:rsidP="00000000" w:rsidRDefault="00000000" w:rsidRPr="00000000" w14:paraId="000008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8">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131</w:t>
      </w:r>
    </w:p>
    <w:p w:rsidR="00000000" w:rsidDel="00000000" w:rsidP="00000000" w:rsidRDefault="00000000" w:rsidRPr="00000000" w14:paraId="000008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Estland im Jahr 1940 arbeiteten, sagte, dass beide Männer sehr talentiert waren. Besonders talentiert war Olev Õun, der in Hallamaas Meinung ein "phänomenaler Entzifferer" war und es geschafft hatte, den neuesten Code der Roten Armee während des Polenfeldzugs im September 1939 zu brechen.⁴⁰ Leider stehen keine Materialien zur Verfügung, um die Worte dieses hochrangigen finnischen Geheimdienstoffiziers zu unterstützen oder zu widerlegen.</w:t>
      </w:r>
    </w:p>
    <w:p w:rsidR="00000000" w:rsidDel="00000000" w:rsidP="00000000" w:rsidRDefault="00000000" w:rsidRPr="00000000" w14:paraId="000008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Unter Berücksichtigung des Gesagten kann das Personal von Abschnitt D als hochprofessionell und erfahren bewertet werden. Sie waren das Beste, was die winzige Armee Estlands bieten konnte.</w:t>
      </w:r>
    </w:p>
    <w:p w:rsidR="00000000" w:rsidDel="00000000" w:rsidP="00000000" w:rsidRDefault="00000000" w:rsidRPr="00000000" w14:paraId="000008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C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Positionen der Funkaufklärungseinheiten</w:t>
      </w:r>
    </w:p>
    <w:p w:rsidR="00000000" w:rsidDel="00000000" w:rsidP="00000000" w:rsidRDefault="00000000" w:rsidRPr="00000000" w14:paraId="000008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Zeitraum von 1939-1940 waren die Einheiten von Abschnitt D in Merivälja (7 km östlich vom Stadtzentrum von Tallinn, wahrscheinlich in der Nähe des Leuchtturms von Viimsi, wo sich der Posten der Marinekommunikation befand, oder irgendwo in der Gegend von Ranniku Road oder Mõisa Road), Narva (wahrscheinlich in Olgino Mason, 5 km nordöstlich vom Stadtzentrum)⁴¹ und Tartu (wahrscheinlich in einigen Einheiten der 2. Division) stationiert.</w:t>
      </w:r>
    </w:p>
    <w:p w:rsidR="00000000" w:rsidDel="00000000" w:rsidP="00000000" w:rsidRDefault="00000000" w:rsidRPr="00000000" w14:paraId="000008D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 zum 1. Juli 1940 waren vierzehn Informations-Unteroffiziere in Merivälja stationiert, fünf in Tartu und vier in Narva.⁴² Sie waren kürzlich umgruppiert worden, und ihre früheren Positionen sind heute nicht mehr nachverfolgbar. Beachten Sie, dass für den Betrieb eines Empfängers rund um die Uhr vier Funker erforderlich waren.</w:t>
      </w:r>
    </w:p>
    <w:p w:rsidR="00000000" w:rsidDel="00000000" w:rsidP="00000000" w:rsidRDefault="00000000" w:rsidRPr="00000000" w14:paraId="000008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Verteilung der Ausrüstung zwischen den Einheiten ist nicht klar bekannt. In jeder Einheit gab es eine Peilstation. Andere Ausrüstung wurde allmählich in Merivälja zusammengeführt, da Abschnitt D im Sommer 1940 aufgelöst wurde. Es gibt keine Hinweise auf eine Einheit von Abschnitt D in Petseri, obwohl dies in der Literatur erwähnt wurde.⁴³ Möglicherweise wurde sie bereits früher geschlossen und Personal sowie Ausrüstung wurden nach Merivälja transferiert, was auch die höhere Konzentration von Personal und Ausrüstung dort erklären würde.</w:t>
      </w:r>
    </w:p>
    <w:p w:rsidR="00000000" w:rsidDel="00000000" w:rsidP="00000000" w:rsidRDefault="00000000" w:rsidRPr="00000000" w14:paraId="000008D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Transfer von Personal und Geräten von Narva nach Merivälja begann im Oktober 1939.⁴⁴ Dies wurde vermutlich durch veränderte Prioritäten der Funkaufklärung verursacht, nachdem die Rote Armee gemäß einem bilateralem Vertrag vom 28. September 1939 (eine Vorstufe der Besetzung und Annexion Estlands durch die Sowjetunion) Stützpunkte in Estland etabliert hatte. Die Stützpunkte befanden sich in Paldiski (eine Stadt 60 km westlich von Tallinn) und auf der Insel Saaremaa (in der Ostsee vor der westlichen Küste Estlands) und betrafen das Zweite Departement weit mehr als die Einheiten der Roten Armee im Leningrader Militärbezirk. Dies erklärt die Verlagerung des Schwerpunkts der Funkaufklärungsarbeit von der estnischen Ostgrenze nach Tallinn.</w:t>
      </w:r>
    </w:p>
    <w:p w:rsidR="00000000" w:rsidDel="00000000" w:rsidP="00000000" w:rsidRDefault="00000000" w:rsidRPr="00000000" w14:paraId="000008D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Zwischen Januar und September 1938 hatte der Leiter von Sektion D, Hauptmann Kalmus, fünfmal "besondere Aufgaben erfüllt" in Võru, einmal in Tapa und in Narva. Diese Reisen dauerten jeweils 4-5 Tage.⁴⁵ Im Oktober erfüllte Hauptmann Õun für drei Tage dieselben Aufgaben in Tartu.⁴⁶ Dies könnte Spekulationen ermöglichen (z. B. dass es eine Funkaufklärungseinheit in Võru gab, die dauerhaft Probleme hatte und im September-Oktober </w:t>
      </w:r>
    </w:p>
    <w:p w:rsidR="00000000" w:rsidDel="00000000" w:rsidP="00000000" w:rsidRDefault="00000000" w:rsidRPr="00000000" w14:paraId="000008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A">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132</w:t>
      </w:r>
    </w:p>
    <w:p w:rsidR="00000000" w:rsidDel="00000000" w:rsidP="00000000" w:rsidRDefault="00000000" w:rsidRPr="00000000" w14:paraId="000008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1938 nach Tartu verlegt wurde), aber leider nicht zu handfesten Schlussfolgerungen führen.</w:t>
      </w:r>
    </w:p>
    <w:p w:rsidR="00000000" w:rsidDel="00000000" w:rsidP="00000000" w:rsidRDefault="00000000" w:rsidRPr="00000000" w14:paraId="000008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Jahr 1938 hatte der Generalstab die Idee, im folgenden Jahr eine mobile Funkaufklärungseinheit zu schaffen. Der Aktionsplan des Stabs unter dem Titel "Aufklärung" besagte: "Funkaufklärung entwickeln und erweitern. Eine mobile Funkaufklärungsbasis für die Funkaufklärung und das Abhören von Telefonkommunikation in den Gebieten nahe der Grenze beschaffen".⁴⁷ Es gibt keine Hinweise auf die Umsetzung dieser Idee, obwohl deren Umsetzung nicht kompliziert gewesen sein sollte. Alle Militärfunkgeräte von Telefunken waren tragbar und wurden mit der Absicht entwickelt, dass ein oder zwei Männer auf dem Schlachtfeld die gesamte benötigte Ausrüstung, einschließlich Batterien oder einem Generator, tragen konnten. Daher könnte schon ein Lkw mit einigen Empfängern und Batterien als mobile Funkaufklärungseinheit bezeichnet werden, da er problemlos das benötigte Personal und die Geräte transportieren konnte. Die andere Seite der Medaille ist, ob dies notwendig war. Estland ist ein kleines Land und es gab bereits mindestens drei permanente Funkaufklärungseinheiten mit relativ</w:t>
      </w:r>
    </w:p>
    <w:p w:rsidR="00000000" w:rsidDel="00000000" w:rsidP="00000000" w:rsidRDefault="00000000" w:rsidRPr="00000000" w14:paraId="000008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Picture: (Die Positionen der Funkpeilstationen von Section D und ihre ungefähre Reichweite von 1939 bis 1940.)</w:t>
      </w:r>
    </w:p>
    <w:p w:rsidR="00000000" w:rsidDel="00000000" w:rsidP="00000000" w:rsidRDefault="00000000" w:rsidRPr="00000000" w14:paraId="000008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132</w:t>
      </w:r>
    </w:p>
    <w:p w:rsidR="00000000" w:rsidDel="00000000" w:rsidP="00000000" w:rsidRDefault="00000000" w:rsidRPr="00000000" w14:paraId="000008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geringen Entfernungen zueinander. (Zur gleichen Zeit hatte der Signals Intelligence Service der Vereinigten Staaten nur sieben permanente Einheiten, obwohl diese wahrscheinlich besser besetzt und ausgestattet waren.)⁴⁸ Eine weitere transportable Einheit konnte keinen neuen qualitativen Schritt bedeuten. Wahrscheinlich war die Idee nur ein Versuch, den allgemeinen Trend zur Mobilmachung der Kommunikationstruppen umzusetzen.⁴⁹</w:t>
      </w:r>
    </w:p>
    <w:p w:rsidR="00000000" w:rsidDel="00000000" w:rsidP="00000000" w:rsidRDefault="00000000" w:rsidRPr="00000000" w14:paraId="000008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Telefonabhörung</w:t>
      </w:r>
    </w:p>
    <w:p w:rsidR="00000000" w:rsidDel="00000000" w:rsidP="00000000" w:rsidRDefault="00000000" w:rsidRPr="00000000" w14:paraId="000008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Idee einer mobilen Einheit umfasste auch die Abhörung von Telefonen. Die Zweite Abteilung war mit dieser Aufgabe vertraut. In den 1930er Jahren kaufte die estnische Streitkräfte mehr als zwanzig Geräte zur Abhörung von Telefonleitungen,⁵⁰ und bis 1940 hatte Section D mindestens eines davon (Typ "LE 36").⁵¹ Diese waren primitiv und leicht und konnten nur verwendet werden, wenn der Feind eine niedrige Qualität oder eine Ein-Draht-Verbindung hatte (in diesem Fall wurde der Boden als zweiter Draht verwendet). In beiden Fällen musste die Abhörausrüstung in der Nähe der Leitung des Feindes platziert sein. Das System war darauf ausgelegt, die Feldtelefonkommunikation der Truppen an der Frontseite der Gegenseite unter Kampfbedingungen abzuhören.⁵² Während der Friedenszeit konnten diese Geräte nicht verwendet werden, da aus Sicherheitsgründen Ein-Draht-Telefone nach dem Ersten Weltkrieg größtenteils aufgegeben wurden und Feldtelefone nicht in Friedenszeiten verwendet wurden. Darüber hinaus gab es ohnehin keinen direkten Zugang zu den sowjetischen Telefonleitungen. Das Abhören der Kommunikationsleitungen der sowjetischen Botschaft in Tallinn war technisch möglich, aber die Frage, ob dies tatsächlich durchgeführt wurde, erfordert weitere Untersuchungen.</w:t>
      </w:r>
    </w:p>
    <w:p w:rsidR="00000000" w:rsidDel="00000000" w:rsidP="00000000" w:rsidRDefault="00000000" w:rsidRPr="00000000" w14:paraId="000008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Peilung (Richtungsfeststellung)</w:t>
      </w:r>
    </w:p>
    <w:p w:rsidR="00000000" w:rsidDel="00000000" w:rsidP="00000000" w:rsidRDefault="00000000" w:rsidRPr="00000000" w14:paraId="000008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jeder Einheit von Section D befand sich eine Peilstation, was auch die pragmatischste Lösung war. Die Reichweite der Stationen betrug damals 250-300 km. Daher war es theoretisch möglich, alle Sender auf Lang- und Mittelwellen an jedem beliebigen Ort in Estland sowie im Finnischen Meerbusen, im westlichen Teil des Leningrader Militärbezirks (einschließlich der Stadt selbst), in Südfinnland und im nördlichen Lettland zu orten.</w:t>
      </w:r>
    </w:p>
    <w:p w:rsidR="00000000" w:rsidDel="00000000" w:rsidP="00000000" w:rsidRDefault="00000000" w:rsidRPr="00000000" w14:paraId="000008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Neben den Peilstationen von Section D gab es auch einige auf Kriegsschiffen der Marine. Es ist jedoch nicht bekannt, ob sie für nachrichtendienstliche oder navigationsbezogene Zwecke genutzt wurden. Auch der Standort und die Funktion der in der zweiten Hälfte der 1930er Jahre vom Heer genutzten "Marconi"-Peilstation sind nicht bekannt.</w:t>
      </w:r>
    </w:p>
    <w:p w:rsidR="00000000" w:rsidDel="00000000" w:rsidP="00000000" w:rsidRDefault="00000000" w:rsidRPr="00000000" w14:paraId="000008E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 Wirksamkeit der Peilung bleibt unbekannt. Als zwischen 1936 und 1937 mehrere Sender von "Radio-Randalierern" (Rundfunkamateuren, die ihre ausgeklügelte Ausrüstung "zum Spaß" nutzten) im Raum Tallinn auftraten, vergingen mehr als ein halbes Jahr, bis der bekannteste von ihnen, "Kapa-Kohila", der Frequenzen nutzte, die für die zivile Flugverkehrsnavigation reserviert waren, aufgespürt wurde.⁵³ Dies beweist nicht den erbärmlichen Zustand der Funkaufklärung. (Ehemalige Offiziere des Kommunikationsbataillons haben später erzählt, dass sie den Standort von Kapa-Kohila perfekt kannten.)⁵⁴ Das Bekämpfen von Radio-Randalierern war keine Aufgabe von Section D. Es besteht die Möglichkeit, dass das Postwesen die Streitkräfte nicht einmal um Hilfe gebeten hat. Dennoch könnte nur die Notwendigkeit, die tatsächlichen Fähigkeiten der estnischen Funkaufklärung vor </w:t>
      </w:r>
    </w:p>
    <w:p w:rsidR="00000000" w:rsidDel="00000000" w:rsidP="00000000" w:rsidRDefault="00000000" w:rsidRPr="00000000" w14:paraId="000008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1">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134</w:t>
      </w:r>
    </w:p>
    <w:p w:rsidR="00000000" w:rsidDel="00000000" w:rsidP="00000000" w:rsidRDefault="00000000" w:rsidRPr="00000000" w14:paraId="000008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möglichen Feinden zu verbergen, diese nahezu kriminelle Ignoranz entschuldigen. </w:t>
      </w:r>
    </w:p>
    <w:p w:rsidR="00000000" w:rsidDel="00000000" w:rsidP="00000000" w:rsidRDefault="00000000" w:rsidRPr="00000000" w14:paraId="000008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Entschlüsselung</w:t>
      </w:r>
    </w:p>
    <w:p w:rsidR="00000000" w:rsidDel="00000000" w:rsidP="00000000" w:rsidRDefault="00000000" w:rsidRPr="00000000" w14:paraId="000008F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 Erfolg von Hauptmann Õun bei der Entschlüsselung unmittelbar nach Ausbruch des Zweiten Weltkriegs wurde bereits erwähnt. Der Krieg war ein entscheidender Faktor, der einen Durchbruch bei der Entschlüsselung feindlicher militärischer Codes ermöglichte. In Friedenszeiten bevorzugten Bodentruppen aufgrund ihrer höheren Zuverlässigkeit drahtgebundene Verbindungen.⁵⁵ Im Gegensatz zu Funksprüchen mussten Telegramme und Telefonate nicht verschlüsselt werden, was sie schneller und benutzerfreundlicher machte. Im Krieg, wenn große Truppen bewegt werden mussten und nicht in ihren ständigen Stützpunkten bleiben konnten, gab es keine Alternative zur Funkkommunikation. Daher stieg die Anzahl der gesendeten Nachrichten erheblich an, was mehr Daten für kryptografische Analysen lieferte, die die Grundlage für das Knacken von Codes bilden.⁵⁶</w:t>
      </w:r>
    </w:p>
    <w:p w:rsidR="00000000" w:rsidDel="00000000" w:rsidP="00000000" w:rsidRDefault="00000000" w:rsidRPr="00000000" w14:paraId="000008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 das Zweite Departement geschlossen wurde, übergab es 51 Bücher an die Rote Armee, darunter neun Bücher über Kryptologie, ein russisch-estnisches Militärwörterbuch und drei Krypto-"Verschlüsselungsuhren".⁵⁷ Um mit dem eigenen Code des Zweiten Departements umzugehen, waren diese Maschinen nicht erforderlich,⁵⁸ was zu der Schlussfolgerung führt, dass neben dem Abhören von Funksprüchen auch an der Entschlüsselung sowjetischer Chiffren gearbeitet wurde. Über die Dauer und die Ergebnisse dieser Arbeit kann nur spekuliert werden.</w:t>
      </w:r>
    </w:p>
    <w:p w:rsidR="00000000" w:rsidDel="00000000" w:rsidP="00000000" w:rsidRDefault="00000000" w:rsidRPr="00000000" w14:paraId="000008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1936 berichtete der ehemalige Leiter des Zweiten Departements, Oberstleutnant Artur Normak, einem schwedischen Geheimdienstoffizier, Hauptmann Hallenborg, dass es einen Durchbruch bei der Entschlüsselung sowjetischer Codes gegeben habe. Der Hinweis auf das Geheimnis wurde erhalten, nachdem eine Station der Roten Armee ihre verschlüsselte Nachricht im Klartext wiederholt hatte, nachdem sie vom Empfänger nicht verstanden worden war. Beide Nachrichten wurden von der estnischen Funkaufklärung abgefangen.⁵⁹</w:t>
      </w:r>
    </w:p>
    <w:p w:rsidR="00000000" w:rsidDel="00000000" w:rsidP="00000000" w:rsidRDefault="00000000" w:rsidRPr="00000000" w14:paraId="000008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Nach seiner Inhaftierung im Jahr 1941 erzählte der ehemalige Chef des Generalstabs, General Nikolai Reek, den NKWD-Verhörführern, dass der Leiter des Zweiten Departements, Oberst Maasing, ihm von der Entschlüsselung einiger Codes der Roten Armee berichtet habe.⁶⁰ Wahrscheinlich aufgrund von Folter erzählte Reek dem NKWD, was es hören wollte, aber es ist auch möglich, dass es wahr ist.</w:t>
      </w:r>
    </w:p>
    <w:p w:rsidR="00000000" w:rsidDel="00000000" w:rsidP="00000000" w:rsidRDefault="00000000" w:rsidRPr="00000000" w14:paraId="000008F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F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Die Ziele der Funkaufklärung</w:t>
      </w:r>
    </w:p>
    <w:p w:rsidR="00000000" w:rsidDel="00000000" w:rsidP="00000000" w:rsidRDefault="00000000" w:rsidRPr="00000000" w14:paraId="000008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Obwohl die Sender der sowjetischen Bodentruppen sicherlich überwacht wurden, hatte Section D vermutlich vorrangig die Rote Baltische Flotte im Visier, die seit 1918 auf einen schmalen Streifen an der Ostküste des Finnischen Meerbusens zurückgedrängt worden war, mit dem Hauptstützpunkt in Kronstadt.</w:t>
      </w:r>
    </w:p>
    <w:p w:rsidR="00000000" w:rsidDel="00000000" w:rsidP="00000000" w:rsidRDefault="00000000" w:rsidRPr="00000000" w14:paraId="000009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den 1930er Jahren waren die Bodentruppen zunächst zögerlich, Funkgeräte zu verwenden, hauptsächlich aufgrund ihrer Komplexität und Sicherheitsbedenken. Die Rote Armee war zu dieser Zeit immer noch unzureichend mit Funkstationen ausgestattet.⁶¹ Daher konnte die Funkkommunikation zwischen den Einheiten im Leningrader Militärbezirk nicht sehr aktiv sein, während die Flotte keine andere Wahl hatte und drahtlose Verbindungen nutzen musste.</w:t>
      </w:r>
    </w:p>
    <w:p w:rsidR="00000000" w:rsidDel="00000000" w:rsidP="00000000" w:rsidRDefault="00000000" w:rsidRPr="00000000" w14:paraId="000009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Zweitens wurde angeblich die estnische Funkaufklärung von der deutschen Abwehr unterstützt, und das Hauptinteresse Deutschlands in der </w:t>
      </w:r>
    </w:p>
    <w:p w:rsidR="00000000" w:rsidDel="00000000" w:rsidP="00000000" w:rsidRDefault="00000000" w:rsidRPr="00000000" w14:paraId="000009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6">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135</w:t>
      </w:r>
    </w:p>
    <w:p w:rsidR="00000000" w:rsidDel="00000000" w:rsidP="00000000" w:rsidRDefault="00000000" w:rsidRPr="00000000" w14:paraId="000009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 galt der Roten Baltischen Flotte. Bis die Schlachtschiff Bismarck im Jahr 1940 einsatzbereit wurde, hatte die deutsche Marine keine Schiffe mit einer derart starken Bewaffnung wie die sowjetischen Schlachtschiffe Marat und Oktyabrskaya Revolutsiya. Diese Schiffe wurden zwischen 1928 und 1934⁶² modernisiert und konnten innerhalb von 24 Stunden von ihrer Basis in Kronstadt an der Ostpreußischen Küste eintreffen.</w:t>
      </w:r>
    </w:p>
    <w:p w:rsidR="00000000" w:rsidDel="00000000" w:rsidP="00000000" w:rsidRDefault="00000000" w:rsidRPr="00000000" w14:paraId="000009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Drittens hatte Section D seine beiden am besten ausgerüsteten Einheiten in der Nähe des Meeres stationiert, während die dritte Einheit (Tartu) etwas entfernt von der sowjetischen Grenze lag, aber dennoch den Bereich der Richtfunkstation in der Ostsee abdeckte (siehe Karte).</w:t>
      </w:r>
    </w:p>
    <w:p w:rsidR="00000000" w:rsidDel="00000000" w:rsidP="00000000" w:rsidRDefault="00000000" w:rsidRPr="00000000" w14:paraId="000009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Viertens hatte die Funkaufklärung in der Zeit vor und während des Zweiten Weltkriegs für die Marine eine größere Bedeutung als für die Bodentruppen.⁶³</w:t>
      </w:r>
    </w:p>
    <w:p w:rsidR="00000000" w:rsidDel="00000000" w:rsidP="00000000" w:rsidRDefault="00000000" w:rsidRPr="00000000" w14:paraId="000009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Langfristig könnten die Deutschen an der estnischen Funkaufklärung interessiert gewesen sein, um ihren Spezialisten mehr Rohdaten für die kryptografische Analyse zur Verfügung zu stellen. Dennoch könnten auch einige Materialien von operativem Wert erhalten worden sein. Sowjetische Hilfe hatte einen großen Einfluss auf den Spanischen Bürgerkrieg (1936-1939). Der Großteil wurde über die Häfen Sewastopol und Odessa am Schwarzen Meer geliefert, während einige Schiffe von Leningrad⁶⁴ (heute St. Petersburg) abfuhren, durch den dänischen Sund und den Ärmelkanal fuhren und ihre Fracht in den Häfen von Santander und Bilbao an der Südküste des Golf von Biskaya abgaben. Diese Schiffe waren mit Kurzwellen-Funkstationen ausgestattet und passierten die Einheiten von Section D in unmittelbarer Nähe. Während der Reise versuchten sie, so weit wie möglich Funkstille zu wahren. Es ist jedoch erwähnenswert, dass bereits in den Jahren 1936/1937 die Möglichkeit bestand, dass die estnische Funkaufklärung sowjetische Kommunikation im Kriegsgebiet abhörte. Eine der Hauptstationen, die Signale mit den sowjetischen Instruktoren austauschte, befand sich in Leningrad, sodass die meisten ihrer Übertragungen und Empfänge innerhalb der Reichweite der Section D-Einheit in Narva stattfinden sollten.</w:t>
      </w:r>
    </w:p>
    <w:p w:rsidR="00000000" w:rsidDel="00000000" w:rsidP="00000000" w:rsidRDefault="00000000" w:rsidRPr="00000000" w14:paraId="000009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Anhand der Personalstärke, der Ausbildung und der eingesetzten Ausrüstung kann geschlossen werden, dass die estnische Funkaufklärung über ausreichende Kapazitäten verfügte, um sowjetische Funkkommunikation abzufangen und so die Grundlage für erfolgreiche Entschlüsselungsprozesse zu schaffen. Wie Section D diese Aufgabe tatsächlich bewältigt hat, um die abgefangenen Informationen in nützliche Erkenntnisse umzuwandeln, bleibt ein Thema für weitere Forschungen.</w:t>
      </w:r>
    </w:p>
    <w:p w:rsidR="00000000" w:rsidDel="00000000" w:rsidP="00000000" w:rsidRDefault="00000000" w:rsidRPr="00000000" w14:paraId="000009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Funkaufklärung ist ein Prozess des Überwachens (feindlicher) Funkkommunikation, des Sammelns, Analysierens und Entschlüsselns der abgefangenen Funksignale sowie die Organisation, die sich mit diesem Prozess befasst. Wichtig ist eine systematische und bewusste Arbeit, da zufälliges Abhören von Nachrichten anderer nicht als Aufklärung bezeichnet werden kann. Das Feld entwickelte sich rasch mit der Entwicklung und dem breiteren Einsatz von Funkkommunikation in der Zwischenkriegszeit. Heutzutage wird auch der Begriff SIGINT (Signals Intelligence) weit verbreitet verwendet.</w:t>
      </w:r>
    </w:p>
    <w:p w:rsidR="00000000" w:rsidDel="00000000" w:rsidP="00000000" w:rsidRDefault="00000000" w:rsidRPr="00000000" w14:paraId="000009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EE ERA, 495-12-121, S. 21-22; 495-12-277, S. 16-18.</w:t>
      </w:r>
    </w:p>
    <w:p w:rsidR="00000000" w:rsidDel="00000000" w:rsidP="00000000" w:rsidRDefault="00000000" w:rsidRPr="00000000" w14:paraId="000009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w:t>
      </w:r>
      <w:r w:rsidDel="00000000" w:rsidR="00000000" w:rsidRPr="00000000">
        <w:rPr>
          <w:rFonts w:ascii="Times New Roman" w:cs="Times New Roman" w:eastAsia="Times New Roman" w:hAnsi="Times New Roman"/>
          <w:rtl w:val="0"/>
        </w:rPr>
        <w:t xml:space="preserve"> Berichte der Militärattachés wurden von den Nachrichtendiensten an Reek weitergeleitet.</w:t>
      </w:r>
    </w:p>
    <w:p w:rsidR="00000000" w:rsidDel="00000000" w:rsidP="00000000" w:rsidRDefault="00000000" w:rsidRPr="00000000" w14:paraId="000009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ERAF, 130-1-9861/3, S. 52-55.</w:t>
      </w:r>
    </w:p>
    <w:p w:rsidR="00000000" w:rsidDel="00000000" w:rsidP="00000000" w:rsidRDefault="00000000" w:rsidRPr="00000000" w14:paraId="000009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r w:rsidDel="00000000" w:rsidR="00000000" w:rsidRPr="00000000">
        <w:rPr>
          <w:rFonts w:ascii="Times New Roman" w:cs="Times New Roman" w:eastAsia="Times New Roman" w:hAnsi="Times New Roman"/>
          <w:rtl w:val="0"/>
        </w:rPr>
        <w:t xml:space="preserve"> Leonid Barkov, Abwehr Eesti. [Abwehr in Estland] (Tallinn: Eesti Raamat, 1974), S. 35; Heino Arumäe, Kahe ilma piiril [An der Grenze zwischen zwei Welten] (Tallinn: Eesti Raamat, 1979), S. 111.</w:t>
      </w:r>
    </w:p>
    <w:p w:rsidR="00000000" w:rsidDel="00000000" w:rsidP="00000000" w:rsidRDefault="00000000" w:rsidRPr="00000000" w14:paraId="000009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rtl w:val="0"/>
        </w:rPr>
        <w:t xml:space="preserve"> Tiit Noormets, Eesti sõjaväeluure tegevusest, meetoditest ja vahenditest aastail 1920-1940, S. 58; Jari Leskinen, Vendade riigisaladus: Soome ja Eesti salajane sõjaline koostöö Nõukogude Liidu võimaliku rünnaku vastu aastatel 1918-1940 [Das Geheimnis der Brüder: Die geheime militärische Zusammenarbeit Finnlands und Estlands </w:t>
      </w:r>
    </w:p>
    <w:p w:rsidR="00000000" w:rsidDel="00000000" w:rsidP="00000000" w:rsidRDefault="00000000" w:rsidRPr="00000000" w14:paraId="000009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E">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136</w:t>
      </w:r>
    </w:p>
    <w:p w:rsidR="00000000" w:rsidDel="00000000" w:rsidP="00000000" w:rsidRDefault="00000000" w:rsidRPr="00000000" w14:paraId="000009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gegen mögliche sowjetische Aggression, 1918-1940] (Tallinn: Sinisukk, 2000), S. 49.</w:t>
      </w:r>
    </w:p>
    <w:p w:rsidR="00000000" w:rsidDel="00000000" w:rsidP="00000000" w:rsidRDefault="00000000" w:rsidRPr="00000000" w14:paraId="000009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7</w:t>
      </w:r>
      <w:r w:rsidDel="00000000" w:rsidR="00000000" w:rsidRPr="00000000">
        <w:rPr>
          <w:rFonts w:ascii="Times New Roman" w:cs="Times New Roman" w:eastAsia="Times New Roman" w:hAnsi="Times New Roman"/>
          <w:rtl w:val="0"/>
        </w:rPr>
        <w:t xml:space="preserve"> Julius Mader, Hitlers Spionagegenerale sagen aus: Ein Dokumentarbericht über Aufbau, Struktur und Operationen des OKW-Geheimdienstamtes Ausland/ Abwehr mit einer Chronologie seiner Einsätze von 1933 bis 1944 (Berlin: Verlag der Nation, 1970), S. 308.</w:t>
      </w:r>
    </w:p>
    <w:p w:rsidR="00000000" w:rsidDel="00000000" w:rsidP="00000000" w:rsidRDefault="00000000" w:rsidRPr="00000000" w14:paraId="000009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rtl w:val="0"/>
        </w:rPr>
        <w:t xml:space="preserve"> Tiit Noormets, Eesti sõjaväeluure tegevusest, meetoditest ja vahenditest aastail 1920-1940, S. 59-60.</w:t>
      </w:r>
    </w:p>
    <w:p w:rsidR="00000000" w:rsidDel="00000000" w:rsidP="00000000" w:rsidRDefault="00000000" w:rsidRPr="00000000" w14:paraId="000009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rtl w:val="0"/>
        </w:rPr>
        <w:t xml:space="preserve"> J. Vingisaar, Raadioside Vabadussõjas. Sõdur, Nr. 46-47, 1938, S. 1154. Es kann nicht ausgeschlossen werden, dass es sich um eine geheime Aufgabe handelte.</w:t>
      </w:r>
    </w:p>
    <w:p w:rsidR="00000000" w:rsidDel="00000000" w:rsidP="00000000" w:rsidRDefault="00000000" w:rsidRPr="00000000" w14:paraId="000009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10</w:t>
      </w:r>
      <w:r w:rsidDel="00000000" w:rsidR="00000000" w:rsidRPr="00000000">
        <w:rPr>
          <w:rFonts w:ascii="Times New Roman" w:cs="Times New Roman" w:eastAsia="Times New Roman" w:hAnsi="Times New Roman"/>
          <w:rtl w:val="0"/>
        </w:rPr>
        <w:t xml:space="preserve"> EE ERA, 527-1-1575, S. 100.</w:t>
      </w:r>
    </w:p>
    <w:p w:rsidR="00000000" w:rsidDel="00000000" w:rsidP="00000000" w:rsidRDefault="00000000" w:rsidRPr="00000000" w14:paraId="000009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11</w:t>
      </w:r>
      <w:r w:rsidDel="00000000" w:rsidR="00000000" w:rsidRPr="00000000">
        <w:rPr>
          <w:rFonts w:ascii="Times New Roman" w:cs="Times New Roman" w:eastAsia="Times New Roman" w:hAnsi="Times New Roman"/>
          <w:rtl w:val="0"/>
        </w:rPr>
        <w:t xml:space="preserve"> EE ERA, 642-1-230, S. 5-6.</w:t>
      </w:r>
    </w:p>
    <w:p w:rsidR="00000000" w:rsidDel="00000000" w:rsidP="00000000" w:rsidRDefault="00000000" w:rsidRPr="00000000" w14:paraId="000009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12</w:t>
      </w:r>
      <w:r w:rsidDel="00000000" w:rsidR="00000000" w:rsidRPr="00000000">
        <w:rPr>
          <w:rFonts w:ascii="Times New Roman" w:cs="Times New Roman" w:eastAsia="Times New Roman" w:hAnsi="Times New Roman"/>
          <w:rtl w:val="0"/>
        </w:rPr>
        <w:t xml:space="preserve"> Ebd., S. 18.</w:t>
      </w:r>
    </w:p>
    <w:p w:rsidR="00000000" w:rsidDel="00000000" w:rsidP="00000000" w:rsidRDefault="00000000" w:rsidRPr="00000000" w14:paraId="000009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 Toe Nõmm, "Eesti kaitsejõudude raadioside" Tehnika ja Tootmine, Nr. 7, 1992, S. 46.</w:t>
      </w:r>
    </w:p>
    <w:p w:rsidR="00000000" w:rsidDel="00000000" w:rsidP="00000000" w:rsidRDefault="00000000" w:rsidRPr="00000000" w14:paraId="000009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14</w:t>
      </w:r>
      <w:r w:rsidDel="00000000" w:rsidR="00000000" w:rsidRPr="00000000">
        <w:rPr>
          <w:rFonts w:ascii="Times New Roman" w:cs="Times New Roman" w:eastAsia="Times New Roman" w:hAnsi="Times New Roman"/>
          <w:rtl w:val="0"/>
        </w:rPr>
        <w:t xml:space="preserve"> EE ERA, 512-1-268, S. 151. Im Jahr 1940 verwendete Abschnitt D auch drei Funkpeilstationen, diese waren jedoch moderner und später beschafft worden.</w:t>
      </w:r>
    </w:p>
    <w:p w:rsidR="00000000" w:rsidDel="00000000" w:rsidP="00000000" w:rsidRDefault="00000000" w:rsidRPr="00000000" w14:paraId="000009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15</w:t>
      </w:r>
      <w:r w:rsidDel="00000000" w:rsidR="00000000" w:rsidRPr="00000000">
        <w:rPr>
          <w:rFonts w:ascii="Times New Roman" w:cs="Times New Roman" w:eastAsia="Times New Roman" w:hAnsi="Times New Roman"/>
          <w:rtl w:val="0"/>
        </w:rPr>
        <w:t xml:space="preserve"> Karl Laurits, Luureteenistus staapide. Tallinn: Kaitsevägede Staabi VI Osakonna Kirjastus, 1931, S. 18-19.</w:t>
      </w:r>
    </w:p>
    <w:p w:rsidR="00000000" w:rsidDel="00000000" w:rsidP="00000000" w:rsidRDefault="00000000" w:rsidRPr="00000000" w14:paraId="000009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16</w:t>
      </w:r>
      <w:r w:rsidDel="00000000" w:rsidR="00000000" w:rsidRPr="00000000">
        <w:rPr>
          <w:rFonts w:ascii="Times New Roman" w:cs="Times New Roman" w:eastAsia="Times New Roman" w:hAnsi="Times New Roman"/>
          <w:rtl w:val="0"/>
        </w:rPr>
        <w:t xml:space="preserve"> EE ERA, 512-1-268, S. 28.</w:t>
      </w:r>
    </w:p>
    <w:p w:rsidR="00000000" w:rsidDel="00000000" w:rsidP="00000000" w:rsidRDefault="00000000" w:rsidRPr="00000000" w14:paraId="000009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17</w:t>
      </w:r>
      <w:r w:rsidDel="00000000" w:rsidR="00000000" w:rsidRPr="00000000">
        <w:rPr>
          <w:rFonts w:ascii="Times New Roman" w:cs="Times New Roman" w:eastAsia="Times New Roman" w:hAnsi="Times New Roman"/>
          <w:rtl w:val="0"/>
        </w:rPr>
        <w:t xml:space="preserve"> Ebd., S. 151-151 verso.</w:t>
      </w:r>
    </w:p>
    <w:p w:rsidR="00000000" w:rsidDel="00000000" w:rsidP="00000000" w:rsidRDefault="00000000" w:rsidRPr="00000000" w14:paraId="000009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18 </w:t>
      </w:r>
      <w:r w:rsidDel="00000000" w:rsidR="00000000" w:rsidRPr="00000000">
        <w:rPr>
          <w:rFonts w:ascii="Times New Roman" w:cs="Times New Roman" w:eastAsia="Times New Roman" w:hAnsi="Times New Roman"/>
          <w:rtl w:val="0"/>
        </w:rPr>
        <w:t xml:space="preserve">Tiit Noormets, S. 59.</w:t>
      </w:r>
    </w:p>
    <w:p w:rsidR="00000000" w:rsidDel="00000000" w:rsidP="00000000" w:rsidRDefault="00000000" w:rsidRPr="00000000" w14:paraId="000009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19</w:t>
      </w:r>
      <w:r w:rsidDel="00000000" w:rsidR="00000000" w:rsidRPr="00000000">
        <w:rPr>
          <w:rFonts w:ascii="Times New Roman" w:cs="Times New Roman" w:eastAsia="Times New Roman" w:hAnsi="Times New Roman"/>
          <w:rtl w:val="0"/>
        </w:rPr>
        <w:t xml:space="preserve"> Raadiosidemest ja sidepidamise võimalustest lühilainel. Kaitse Kodu, Nr. 2, 1939, S. 46-48.</w:t>
      </w:r>
    </w:p>
    <w:p w:rsidR="00000000" w:rsidDel="00000000" w:rsidP="00000000" w:rsidRDefault="00000000" w:rsidRPr="00000000" w14:paraId="000009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20</w:t>
      </w:r>
      <w:r w:rsidDel="00000000" w:rsidR="00000000" w:rsidRPr="00000000">
        <w:rPr>
          <w:rFonts w:ascii="Times New Roman" w:cs="Times New Roman" w:eastAsia="Times New Roman" w:hAnsi="Times New Roman"/>
          <w:rtl w:val="0"/>
        </w:rPr>
        <w:t xml:space="preserve"> O. Saarep, Lühilained maailmaruumis. Kaitse Kodu, Nr. 2, 1939, S. 49-50.</w:t>
      </w:r>
    </w:p>
    <w:p w:rsidR="00000000" w:rsidDel="00000000" w:rsidP="00000000" w:rsidRDefault="00000000" w:rsidRPr="00000000" w14:paraId="000009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21</w:t>
      </w:r>
      <w:r w:rsidDel="00000000" w:rsidR="00000000" w:rsidRPr="00000000">
        <w:rPr>
          <w:rFonts w:ascii="Times New Roman" w:cs="Times New Roman" w:eastAsia="Times New Roman" w:hAnsi="Times New Roman"/>
          <w:rtl w:val="0"/>
        </w:rPr>
        <w:t xml:space="preserve"> Kaitseliit raadioasjandust arendamas. Kaitse Kodu, Nr. 7, 1936, S. 209. Die Kaitseliit war eine freiwillige militärische Organisation und das estnische Äquivalent zur Nationalgarde in den Vereinigten Staaten. Mit ihren 40.000 Mitgliedern war sie eine beträchtliche militärische Streitmacht.</w:t>
      </w:r>
    </w:p>
    <w:p w:rsidR="00000000" w:rsidDel="00000000" w:rsidP="00000000" w:rsidRDefault="00000000" w:rsidRPr="00000000" w14:paraId="000009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22</w:t>
      </w:r>
      <w:r w:rsidDel="00000000" w:rsidR="00000000" w:rsidRPr="00000000">
        <w:rPr>
          <w:rFonts w:ascii="Times New Roman" w:cs="Times New Roman" w:eastAsia="Times New Roman" w:hAnsi="Times New Roman"/>
          <w:rtl w:val="0"/>
        </w:rPr>
        <w:t xml:space="preserve"> Alle technischen Daten unten, sofern nicht angegeben, stammen von Materialien, die vom Autor von EADS-RACOMS erhalten wurden.</w:t>
      </w:r>
    </w:p>
    <w:p w:rsidR="00000000" w:rsidDel="00000000" w:rsidP="00000000" w:rsidRDefault="00000000" w:rsidRPr="00000000" w14:paraId="000009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23</w:t>
      </w:r>
      <w:r w:rsidDel="00000000" w:rsidR="00000000" w:rsidRPr="00000000">
        <w:rPr>
          <w:rFonts w:ascii="Times New Roman" w:cs="Times New Roman" w:eastAsia="Times New Roman" w:hAnsi="Times New Roman"/>
          <w:rtl w:val="0"/>
        </w:rPr>
        <w:t xml:space="preserve"> EE ERA, 495-12-277, S. 2-3; 9-10 verso; 49. Die angegebene Anzahl der Röhren bedeutet, dass die Ausrüstung von den estnischen Streitkräften hergestellt wurde, wahrscheinlich in den Werkstätten des Kommunikationsbataillons.</w:t>
      </w:r>
    </w:p>
    <w:p w:rsidR="00000000" w:rsidDel="00000000" w:rsidP="00000000" w:rsidRDefault="00000000" w:rsidRPr="00000000" w14:paraId="000009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24</w:t>
      </w:r>
      <w:r w:rsidDel="00000000" w:rsidR="00000000" w:rsidRPr="00000000">
        <w:rPr>
          <w:rFonts w:ascii="Times New Roman" w:cs="Times New Roman" w:eastAsia="Times New Roman" w:hAnsi="Times New Roman"/>
          <w:rtl w:val="0"/>
        </w:rPr>
        <w:t xml:space="preserve"> EE ERA, 495-12-277, S. 10 verso.</w:t>
      </w:r>
    </w:p>
    <w:p w:rsidR="00000000" w:rsidDel="00000000" w:rsidP="00000000" w:rsidRDefault="00000000" w:rsidRPr="00000000" w14:paraId="000009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25</w:t>
      </w:r>
      <w:r w:rsidDel="00000000" w:rsidR="00000000" w:rsidRPr="00000000">
        <w:rPr>
          <w:rFonts w:ascii="Times New Roman" w:cs="Times New Roman" w:eastAsia="Times New Roman" w:hAnsi="Times New Roman"/>
          <w:rtl w:val="0"/>
        </w:rPr>
        <w:t xml:space="preserve"> Tornister-Empfänger - "Rucksack-Empfänger".</w:t>
      </w:r>
    </w:p>
    <w:p w:rsidR="00000000" w:rsidDel="00000000" w:rsidP="00000000" w:rsidRDefault="00000000" w:rsidRPr="00000000" w14:paraId="000009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26</w:t>
      </w:r>
      <w:r w:rsidDel="00000000" w:rsidR="00000000" w:rsidRPr="00000000">
        <w:rPr>
          <w:rFonts w:ascii="Times New Roman" w:cs="Times New Roman" w:eastAsia="Times New Roman" w:hAnsi="Times New Roman"/>
          <w:rtl w:val="0"/>
        </w:rPr>
        <w:t xml:space="preserve"> Sende- und Empfangsgeräte des Heeres. In: Lexicon der Wehrmacht, verfügbar im Internet, http://www.lexikon-der-wehrmacht.de/Waffen/Funkgeraete.htm, zuletzt abgerufen im Juni 2003.</w:t>
      </w:r>
    </w:p>
    <w:p w:rsidR="00000000" w:rsidDel="00000000" w:rsidP="00000000" w:rsidRDefault="00000000" w:rsidRPr="00000000" w14:paraId="000009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27</w:t>
      </w:r>
      <w:r w:rsidDel="00000000" w:rsidR="00000000" w:rsidRPr="00000000">
        <w:rPr>
          <w:rFonts w:ascii="Times New Roman" w:cs="Times New Roman" w:eastAsia="Times New Roman" w:hAnsi="Times New Roman"/>
          <w:rtl w:val="0"/>
        </w:rPr>
        <w:t xml:space="preserve"> Hans-Peter Dohmen, Torn E.b., verfügbar im Internet, http://home.t-online.de/home/dohmenhape/torn_eb.html, zuletzt abgerufen im Juni 2003.</w:t>
      </w:r>
    </w:p>
    <w:p w:rsidR="00000000" w:rsidDel="00000000" w:rsidP="00000000" w:rsidRDefault="00000000" w:rsidRPr="00000000" w14:paraId="000009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28</w:t>
      </w:r>
      <w:r w:rsidDel="00000000" w:rsidR="00000000" w:rsidRPr="00000000">
        <w:rPr>
          <w:rFonts w:ascii="Times New Roman" w:cs="Times New Roman" w:eastAsia="Times New Roman" w:hAnsi="Times New Roman"/>
          <w:rtl w:val="0"/>
        </w:rPr>
        <w:t xml:space="preserve"> EE ERA, 498-9-272, S. 258.</w:t>
      </w:r>
    </w:p>
    <w:p w:rsidR="00000000" w:rsidDel="00000000" w:rsidP="00000000" w:rsidRDefault="00000000" w:rsidRPr="00000000" w14:paraId="000009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29</w:t>
      </w:r>
      <w:r w:rsidDel="00000000" w:rsidR="00000000" w:rsidRPr="00000000">
        <w:rPr>
          <w:rFonts w:ascii="Times New Roman" w:cs="Times New Roman" w:eastAsia="Times New Roman" w:hAnsi="Times New Roman"/>
          <w:rtl w:val="0"/>
        </w:rPr>
        <w:t xml:space="preserve"> H. Jens, "Rahuaegne töö Sidepataljonis". Sõdur, Nr. 46-47, 1938, S. 1158.</w:t>
      </w:r>
    </w:p>
    <w:p w:rsidR="00000000" w:rsidDel="00000000" w:rsidP="00000000" w:rsidRDefault="00000000" w:rsidRPr="00000000" w14:paraId="000009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30</w:t>
      </w:r>
      <w:r w:rsidDel="00000000" w:rsidR="00000000" w:rsidRPr="00000000">
        <w:rPr>
          <w:rFonts w:ascii="Times New Roman" w:cs="Times New Roman" w:eastAsia="Times New Roman" w:hAnsi="Times New Roman"/>
          <w:rtl w:val="0"/>
        </w:rPr>
        <w:t xml:space="preserve"> "Sende- und Empfangsgeräte des Heeres".</w:t>
      </w:r>
    </w:p>
    <w:p w:rsidR="00000000" w:rsidDel="00000000" w:rsidP="00000000" w:rsidRDefault="00000000" w:rsidRPr="00000000" w14:paraId="000009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31</w:t>
      </w:r>
      <w:r w:rsidDel="00000000" w:rsidR="00000000" w:rsidRPr="00000000">
        <w:rPr>
          <w:rFonts w:ascii="Times New Roman" w:cs="Times New Roman" w:eastAsia="Times New Roman" w:hAnsi="Times New Roman"/>
          <w:rtl w:val="0"/>
        </w:rPr>
        <w:t xml:space="preserve"> EE ERA, 495-12-277, S. 9.</w:t>
      </w:r>
    </w:p>
    <w:p w:rsidR="00000000" w:rsidDel="00000000" w:rsidP="00000000" w:rsidRDefault="00000000" w:rsidRPr="00000000" w14:paraId="000009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32 </w:t>
      </w:r>
      <w:r w:rsidDel="00000000" w:rsidR="00000000" w:rsidRPr="00000000">
        <w:rPr>
          <w:rFonts w:ascii="Times New Roman" w:cs="Times New Roman" w:eastAsia="Times New Roman" w:hAnsi="Times New Roman"/>
          <w:rtl w:val="0"/>
        </w:rPr>
        <w:t xml:space="preserve">In der estnischen Armee wurde die Leistung (d. h. Reichweite) von Funkstationen nach der Einheit definiert, für die sie vorgesehen waren. Die fünf Kategorien waren: Station des Oberbefehlshabers, Divisionsstation, Brigade-Station, Regiment-/Bataillonsstation und Kompanie-Station. Siehe: Toe Nõmm, S. 45.</w:t>
      </w:r>
    </w:p>
    <w:p w:rsidR="00000000" w:rsidDel="00000000" w:rsidP="00000000" w:rsidRDefault="00000000" w:rsidRPr="00000000" w14:paraId="000009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33</w:t>
      </w:r>
      <w:r w:rsidDel="00000000" w:rsidR="00000000" w:rsidRPr="00000000">
        <w:rPr>
          <w:rFonts w:ascii="Times New Roman" w:cs="Times New Roman" w:eastAsia="Times New Roman" w:hAnsi="Times New Roman"/>
          <w:rtl w:val="0"/>
        </w:rPr>
        <w:t xml:space="preserve"> EE ERA, 498-14-486; 498-14-572.</w:t>
      </w:r>
    </w:p>
    <w:p w:rsidR="00000000" w:rsidDel="00000000" w:rsidP="00000000" w:rsidRDefault="00000000" w:rsidRPr="00000000" w14:paraId="000009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34</w:t>
      </w:r>
      <w:r w:rsidDel="00000000" w:rsidR="00000000" w:rsidRPr="00000000">
        <w:rPr>
          <w:rFonts w:ascii="Times New Roman" w:cs="Times New Roman" w:eastAsia="Times New Roman" w:hAnsi="Times New Roman"/>
          <w:rtl w:val="0"/>
        </w:rPr>
        <w:t xml:space="preserve"> Eine aktuelle Studie von Craig C. McKay und Bengt Beckman, Swedish Signal Intelligence (London: Frank Cass, 2003), unterstützt diese Möglichkeit. Siehe Craig C. McKay und Bengt Beckman, S. 84.</w:t>
      </w:r>
    </w:p>
    <w:p w:rsidR="00000000" w:rsidDel="00000000" w:rsidP="00000000" w:rsidRDefault="00000000" w:rsidRPr="00000000" w14:paraId="000009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35</w:t>
      </w:r>
      <w:r w:rsidDel="00000000" w:rsidR="00000000" w:rsidRPr="00000000">
        <w:rPr>
          <w:rFonts w:ascii="Times New Roman" w:cs="Times New Roman" w:eastAsia="Times New Roman" w:hAnsi="Times New Roman"/>
          <w:rtl w:val="0"/>
        </w:rPr>
        <w:t xml:space="preserve"> Tiit Noormets, S. 59.</w:t>
      </w:r>
    </w:p>
    <w:p w:rsidR="00000000" w:rsidDel="00000000" w:rsidP="00000000" w:rsidRDefault="00000000" w:rsidRPr="00000000" w14:paraId="000009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36 </w:t>
      </w:r>
      <w:r w:rsidDel="00000000" w:rsidR="00000000" w:rsidRPr="00000000">
        <w:rPr>
          <w:rFonts w:ascii="Times New Roman" w:cs="Times New Roman" w:eastAsia="Times New Roman" w:hAnsi="Times New Roman"/>
          <w:rtl w:val="0"/>
        </w:rPr>
        <w:t xml:space="preserve">EE ERA, 495-12-277 und die Personalakten der Soldaten.</w:t>
      </w:r>
    </w:p>
    <w:p w:rsidR="00000000" w:rsidDel="00000000" w:rsidP="00000000" w:rsidRDefault="00000000" w:rsidRPr="00000000" w14:paraId="000009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37</w:t>
      </w:r>
      <w:r w:rsidDel="00000000" w:rsidR="00000000" w:rsidRPr="00000000">
        <w:rPr>
          <w:rFonts w:ascii="Times New Roman" w:cs="Times New Roman" w:eastAsia="Times New Roman" w:hAnsi="Times New Roman"/>
          <w:rtl w:val="0"/>
        </w:rPr>
        <w:t xml:space="preserve"> EE ERA, 498-9-272, S. 57.</w:t>
      </w:r>
    </w:p>
    <w:p w:rsidR="00000000" w:rsidDel="00000000" w:rsidP="00000000" w:rsidRDefault="00000000" w:rsidRPr="00000000" w14:paraId="000009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38</w:t>
      </w:r>
      <w:r w:rsidDel="00000000" w:rsidR="00000000" w:rsidRPr="00000000">
        <w:rPr>
          <w:rFonts w:ascii="Times New Roman" w:cs="Times New Roman" w:eastAsia="Times New Roman" w:hAnsi="Times New Roman"/>
          <w:rtl w:val="0"/>
        </w:rPr>
        <w:t xml:space="preserve"> EE ERA, 495-3-16, S. 205.</w:t>
      </w:r>
    </w:p>
    <w:p w:rsidR="00000000" w:rsidDel="00000000" w:rsidP="00000000" w:rsidRDefault="00000000" w:rsidRPr="00000000" w14:paraId="000009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39 </w:t>
      </w:r>
      <w:r w:rsidDel="00000000" w:rsidR="00000000" w:rsidRPr="00000000">
        <w:rPr>
          <w:rFonts w:ascii="Times New Roman" w:cs="Times New Roman" w:eastAsia="Times New Roman" w:hAnsi="Times New Roman"/>
          <w:rtl w:val="0"/>
        </w:rPr>
        <w:t xml:space="preserve">EE ERA, 495-7-1553, S. 13 verso; 28-30; EE ERA, 495-7-6875.</w:t>
      </w:r>
    </w:p>
    <w:p w:rsidR="00000000" w:rsidDel="00000000" w:rsidP="00000000" w:rsidRDefault="00000000" w:rsidRPr="00000000" w14:paraId="000009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40</w:t>
      </w:r>
      <w:r w:rsidDel="00000000" w:rsidR="00000000" w:rsidRPr="00000000">
        <w:rPr>
          <w:rFonts w:ascii="Times New Roman" w:cs="Times New Roman" w:eastAsia="Times New Roman" w:hAnsi="Times New Roman"/>
          <w:rtl w:val="0"/>
        </w:rPr>
        <w:t xml:space="preserve"> Jari Leskinen, S. 303-305. Der deutsche Militärattaché in Tallinn, Oberst Horst Rössing, bewertete die estnische Funkaufklärung gegen die Sowjetunion als erfolgreicher als die finnische (Ebd., S. 50).</w:t>
      </w:r>
    </w:p>
    <w:p w:rsidR="00000000" w:rsidDel="00000000" w:rsidP="00000000" w:rsidRDefault="00000000" w:rsidRPr="00000000" w14:paraId="000009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41</w:t>
      </w:r>
      <w:r w:rsidDel="00000000" w:rsidR="00000000" w:rsidRPr="00000000">
        <w:rPr>
          <w:rFonts w:ascii="Times New Roman" w:cs="Times New Roman" w:eastAsia="Times New Roman" w:hAnsi="Times New Roman"/>
          <w:rtl w:val="0"/>
        </w:rPr>
        <w:t xml:space="preserve"> Tiit Noormets, S. 60.</w:t>
      </w:r>
    </w:p>
    <w:p w:rsidR="00000000" w:rsidDel="00000000" w:rsidP="00000000" w:rsidRDefault="00000000" w:rsidRPr="00000000" w14:paraId="000009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42</w:t>
      </w:r>
      <w:r w:rsidDel="00000000" w:rsidR="00000000" w:rsidRPr="00000000">
        <w:rPr>
          <w:rFonts w:ascii="Times New Roman" w:cs="Times New Roman" w:eastAsia="Times New Roman" w:hAnsi="Times New Roman"/>
          <w:rtl w:val="0"/>
        </w:rPr>
        <w:t xml:space="preserve"> ERA, 495-12-277, S. 9; 18.</w:t>
      </w:r>
    </w:p>
    <w:p w:rsidR="00000000" w:rsidDel="00000000" w:rsidP="00000000" w:rsidRDefault="00000000" w:rsidRPr="00000000" w14:paraId="000009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43</w:t>
      </w:r>
      <w:r w:rsidDel="00000000" w:rsidR="00000000" w:rsidRPr="00000000">
        <w:rPr>
          <w:rFonts w:ascii="Times New Roman" w:cs="Times New Roman" w:eastAsia="Times New Roman" w:hAnsi="Times New Roman"/>
          <w:rtl w:val="0"/>
        </w:rPr>
        <w:t xml:space="preserve"> Zum Beispiel Tiit Noormets, S. 59.</w:t>
      </w:r>
    </w:p>
    <w:p w:rsidR="00000000" w:rsidDel="00000000" w:rsidP="00000000" w:rsidRDefault="00000000" w:rsidRPr="00000000" w14:paraId="000009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44</w:t>
      </w:r>
      <w:r w:rsidDel="00000000" w:rsidR="00000000" w:rsidRPr="00000000">
        <w:rPr>
          <w:rFonts w:ascii="Times New Roman" w:cs="Times New Roman" w:eastAsia="Times New Roman" w:hAnsi="Times New Roman"/>
          <w:rtl w:val="0"/>
        </w:rPr>
        <w:t xml:space="preserve"> EE ERA, 495-12-277, S. 32-32 verso.</w:t>
      </w:r>
    </w:p>
    <w:p w:rsidR="00000000" w:rsidDel="00000000" w:rsidP="00000000" w:rsidRDefault="00000000" w:rsidRPr="00000000" w14:paraId="000009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45</w:t>
      </w:r>
      <w:r w:rsidDel="00000000" w:rsidR="00000000" w:rsidRPr="00000000">
        <w:rPr>
          <w:rFonts w:ascii="Times New Roman" w:cs="Times New Roman" w:eastAsia="Times New Roman" w:hAnsi="Times New Roman"/>
          <w:rtl w:val="0"/>
        </w:rPr>
        <w:t xml:space="preserve"> EE ERA, 495-7-6875, Seiten ohne Nummerierung.</w:t>
      </w:r>
    </w:p>
    <w:p w:rsidR="00000000" w:rsidDel="00000000" w:rsidP="00000000" w:rsidRDefault="00000000" w:rsidRPr="00000000" w14:paraId="000009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46</w:t>
      </w:r>
      <w:r w:rsidDel="00000000" w:rsidR="00000000" w:rsidRPr="00000000">
        <w:rPr>
          <w:rFonts w:ascii="Times New Roman" w:cs="Times New Roman" w:eastAsia="Times New Roman" w:hAnsi="Times New Roman"/>
          <w:rtl w:val="0"/>
        </w:rPr>
        <w:t xml:space="preserve"> EE ERA, 495-7-1553, S. 29.</w:t>
      </w:r>
    </w:p>
    <w:p w:rsidR="00000000" w:rsidDel="00000000" w:rsidP="00000000" w:rsidRDefault="00000000" w:rsidRPr="00000000" w14:paraId="000009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47</w:t>
      </w:r>
      <w:r w:rsidDel="00000000" w:rsidR="00000000" w:rsidRPr="00000000">
        <w:rPr>
          <w:rFonts w:ascii="Times New Roman" w:cs="Times New Roman" w:eastAsia="Times New Roman" w:hAnsi="Times New Roman"/>
          <w:rtl w:val="0"/>
        </w:rPr>
        <w:t xml:space="preserve"> EE ERA, 495-12-478, S. 253-254.</w:t>
      </w:r>
    </w:p>
    <w:p w:rsidR="00000000" w:rsidDel="00000000" w:rsidP="00000000" w:rsidRDefault="00000000" w:rsidRPr="00000000" w14:paraId="000009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48</w:t>
      </w:r>
      <w:r w:rsidDel="00000000" w:rsidR="00000000" w:rsidRPr="00000000">
        <w:rPr>
          <w:rFonts w:ascii="Times New Roman" w:cs="Times New Roman" w:eastAsia="Times New Roman" w:hAnsi="Times New Roman"/>
          <w:rtl w:val="0"/>
        </w:rPr>
        <w:t xml:space="preserve"> Diese Einheiten waren über ein großes Gebiet verteilt und nicht mit Estland vergleichbar. Es handelte sich um Corozal </w:t>
      </w:r>
    </w:p>
    <w:p w:rsidR="00000000" w:rsidDel="00000000" w:rsidP="00000000" w:rsidRDefault="00000000" w:rsidRPr="00000000" w14:paraId="000009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5">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Page 137</w:t>
      </w:r>
    </w:p>
    <w:p w:rsidR="00000000" w:rsidDel="00000000" w:rsidP="00000000" w:rsidRDefault="00000000" w:rsidRPr="00000000" w14:paraId="000009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(Panama-Kanalzone), Fort Hancock (N.J.), Fort Hunt (Va.), Fort McKinley (in der Nähe von Manila, Philippinen), Fort Sam Huston (Texas), Fort Scott (Presidio San Francisco, Calif.) und Fort Shafter (Hawaii). (Norman Polmar und Thomas B. Allen. Spy Book: The Encyclopedia of Espionage (New York: Random House, 1998), S. 514.)</w:t>
      </w:r>
    </w:p>
    <w:p w:rsidR="00000000" w:rsidDel="00000000" w:rsidP="00000000" w:rsidRDefault="00000000" w:rsidRPr="00000000" w14:paraId="000009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49</w:t>
      </w:r>
      <w:r w:rsidDel="00000000" w:rsidR="00000000" w:rsidRPr="00000000">
        <w:rPr>
          <w:rFonts w:ascii="Times New Roman" w:cs="Times New Roman" w:eastAsia="Times New Roman" w:hAnsi="Times New Roman"/>
          <w:rtl w:val="0"/>
        </w:rPr>
        <w:t xml:space="preserve"> Richard Tomback, "Sideüksuste motoriseerimine ja mehhaniseerimine" [Making the Communications Units Mobile and Mechanized]. Sõdur, Nr. 35-36, 1938, S. 865-869.</w:t>
      </w:r>
    </w:p>
    <w:p w:rsidR="00000000" w:rsidDel="00000000" w:rsidP="00000000" w:rsidRDefault="00000000" w:rsidRPr="00000000" w14:paraId="000009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50</w:t>
      </w:r>
      <w:r w:rsidDel="00000000" w:rsidR="00000000" w:rsidRPr="00000000">
        <w:rPr>
          <w:rFonts w:ascii="Times New Roman" w:cs="Times New Roman" w:eastAsia="Times New Roman" w:hAnsi="Times New Roman"/>
          <w:rtl w:val="0"/>
        </w:rPr>
        <w:t xml:space="preserve"> Toe Nõmm, S. 46.</w:t>
      </w:r>
    </w:p>
    <w:p w:rsidR="00000000" w:rsidDel="00000000" w:rsidP="00000000" w:rsidRDefault="00000000" w:rsidRPr="00000000" w14:paraId="000009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51</w:t>
      </w:r>
      <w:r w:rsidDel="00000000" w:rsidR="00000000" w:rsidRPr="00000000">
        <w:rPr>
          <w:rFonts w:ascii="Times New Roman" w:cs="Times New Roman" w:eastAsia="Times New Roman" w:hAnsi="Times New Roman"/>
          <w:rtl w:val="0"/>
        </w:rPr>
        <w:t xml:space="preserve"> EE ERA, 495-12-277, S. 10 verso.</w:t>
      </w:r>
    </w:p>
    <w:p w:rsidR="00000000" w:rsidDel="00000000" w:rsidP="00000000" w:rsidRDefault="00000000" w:rsidRPr="00000000" w14:paraId="000009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52</w:t>
      </w:r>
      <w:r w:rsidDel="00000000" w:rsidR="00000000" w:rsidRPr="00000000">
        <w:rPr>
          <w:rFonts w:ascii="Times New Roman" w:cs="Times New Roman" w:eastAsia="Times New Roman" w:hAnsi="Times New Roman"/>
          <w:rtl w:val="0"/>
        </w:rPr>
        <w:t xml:space="preserve"> Karl Laurits, Luureteenistus staapides [Intelligence Service in Staffs] (Tallinn: Kaitsevägede Staabi VI Osakonna Kirjastus, 1931), S. 19.</w:t>
      </w:r>
    </w:p>
    <w:p w:rsidR="00000000" w:rsidDel="00000000" w:rsidP="00000000" w:rsidRDefault="00000000" w:rsidRPr="00000000" w14:paraId="000009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53 </w:t>
      </w:r>
      <w:r w:rsidDel="00000000" w:rsidR="00000000" w:rsidRPr="00000000">
        <w:rPr>
          <w:rFonts w:ascii="Times New Roman" w:cs="Times New Roman" w:eastAsia="Times New Roman" w:hAnsi="Times New Roman"/>
          <w:rtl w:val="0"/>
        </w:rPr>
        <w:t xml:space="preserve">Aleksander Lipp, Miljon kilomeetrit õhus: Lenduri meenutusi [Million Kilometres in Air: Memoirs of a Pilot] (Tallinn: Eesti Raamat, 1982), S. 18-19.</w:t>
      </w:r>
    </w:p>
    <w:p w:rsidR="00000000" w:rsidDel="00000000" w:rsidP="00000000" w:rsidRDefault="00000000" w:rsidRPr="00000000" w14:paraId="000009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54</w:t>
      </w:r>
      <w:r w:rsidDel="00000000" w:rsidR="00000000" w:rsidRPr="00000000">
        <w:rPr>
          <w:rFonts w:ascii="Times New Roman" w:cs="Times New Roman" w:eastAsia="Times New Roman" w:hAnsi="Times New Roman"/>
          <w:rtl w:val="0"/>
        </w:rPr>
        <w:t xml:space="preserve"> Ivo Juurvee, "Wabariigi moodsad salakõrvad" [Modern Secret Ears of the Republic]. Tehnikamaailm, Nr. 2, 2003, S. 66.</w:t>
      </w:r>
    </w:p>
    <w:p w:rsidR="00000000" w:rsidDel="00000000" w:rsidP="00000000" w:rsidRDefault="00000000" w:rsidRPr="00000000" w14:paraId="000009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55</w:t>
      </w:r>
      <w:r w:rsidDel="00000000" w:rsidR="00000000" w:rsidRPr="00000000">
        <w:rPr>
          <w:rFonts w:ascii="Times New Roman" w:cs="Times New Roman" w:eastAsia="Times New Roman" w:hAnsi="Times New Roman"/>
          <w:rtl w:val="0"/>
        </w:rPr>
        <w:t xml:space="preserve"> Alex Roland, Science and War, OSIRIS, 2. Serie, Bd. 1, 1985, S. 262; A. Kalm, Raadioside jalaväerügemendis [Radio Communication in Infantry Regiment]. Sõdur, Nr. 17, 1939, S. 383-386; Sõdur, Nr. 18, 1939, S. 406-409.</w:t>
      </w:r>
    </w:p>
    <w:p w:rsidR="00000000" w:rsidDel="00000000" w:rsidP="00000000" w:rsidRDefault="00000000" w:rsidRPr="00000000" w14:paraId="000009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56</w:t>
      </w:r>
      <w:r w:rsidDel="00000000" w:rsidR="00000000" w:rsidRPr="00000000">
        <w:rPr>
          <w:rFonts w:ascii="Times New Roman" w:cs="Times New Roman" w:eastAsia="Times New Roman" w:hAnsi="Times New Roman"/>
          <w:rtl w:val="0"/>
        </w:rPr>
        <w:t xml:space="preserve"> Nikolai Liventhal, Krüptoloogia ja salaluure [Cryptology and the Secret Intelligence] (Tallinn: S.n., 1994), S. 99.</w:t>
      </w:r>
    </w:p>
    <w:p w:rsidR="00000000" w:rsidDel="00000000" w:rsidP="00000000" w:rsidRDefault="00000000" w:rsidRPr="00000000" w14:paraId="000009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57</w:t>
      </w:r>
      <w:r w:rsidDel="00000000" w:rsidR="00000000" w:rsidRPr="00000000">
        <w:rPr>
          <w:rFonts w:ascii="Times New Roman" w:cs="Times New Roman" w:eastAsia="Times New Roman" w:hAnsi="Times New Roman"/>
          <w:rtl w:val="0"/>
        </w:rPr>
        <w:t xml:space="preserve"> EE ERA, 495-12-277, S. 49-50. Es ist nicht klar, wofür diese drei Maschinen waren. In den Dokumenten der Roten Armee werden sie als "chasy dlya shifrovki" (Verschlüsselungsuhr) bezeichnet. Wahrscheinlich handelte es sich um Werkzeuge mit mehreren Rädern zur Verschlüsselung und Entschlüsselung von Nachrichten. Für eine Beschreibung solcher Maschinen siehe: Nikolai Liventhal, S. 29-30.</w:t>
      </w:r>
    </w:p>
    <w:p w:rsidR="00000000" w:rsidDel="00000000" w:rsidP="00000000" w:rsidRDefault="00000000" w:rsidRPr="00000000" w14:paraId="000009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Siehe Chiffrebücher des Zweiten Departments. EE ERA, 495-12-304; 495-12-902.</w:t>
      </w:r>
    </w:p>
    <w:p w:rsidR="00000000" w:rsidDel="00000000" w:rsidP="00000000" w:rsidRDefault="00000000" w:rsidRPr="00000000" w14:paraId="000009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59</w:t>
      </w:r>
      <w:r w:rsidDel="00000000" w:rsidR="00000000" w:rsidRPr="00000000">
        <w:rPr>
          <w:rFonts w:ascii="Times New Roman" w:cs="Times New Roman" w:eastAsia="Times New Roman" w:hAnsi="Times New Roman"/>
          <w:rtl w:val="0"/>
        </w:rPr>
        <w:t xml:space="preserve"> Craig G. McKay und Bengt Beckman, Swedish Signal Intelligence (London: Frank Cass, 2003), S. 85.</w:t>
      </w:r>
    </w:p>
    <w:p w:rsidR="00000000" w:rsidDel="00000000" w:rsidP="00000000" w:rsidRDefault="00000000" w:rsidRPr="00000000" w14:paraId="000009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60</w:t>
      </w:r>
      <w:r w:rsidDel="00000000" w:rsidR="00000000" w:rsidRPr="00000000">
        <w:rPr>
          <w:rFonts w:ascii="Times New Roman" w:cs="Times New Roman" w:eastAsia="Times New Roman" w:hAnsi="Times New Roman"/>
          <w:rtl w:val="0"/>
        </w:rPr>
        <w:t xml:space="preserve"> EE ERAF, 130-1-9861/3, S. 55. Beachten Sie, dass Maasing nur bis Januar 1939 Leiter des Zweiten Departments war.</w:t>
      </w:r>
    </w:p>
    <w:p w:rsidR="00000000" w:rsidDel="00000000" w:rsidP="00000000" w:rsidRDefault="00000000" w:rsidRPr="00000000" w14:paraId="000009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61</w:t>
      </w:r>
      <w:r w:rsidDel="00000000" w:rsidR="00000000" w:rsidRPr="00000000">
        <w:rPr>
          <w:rFonts w:ascii="Times New Roman" w:cs="Times New Roman" w:eastAsia="Times New Roman" w:hAnsi="Times New Roman"/>
          <w:rtl w:val="0"/>
        </w:rPr>
        <w:t xml:space="preserve"> Toe Nõmm, S. 46.</w:t>
      </w:r>
    </w:p>
    <w:p w:rsidR="00000000" w:rsidDel="00000000" w:rsidP="00000000" w:rsidRDefault="00000000" w:rsidRPr="00000000" w14:paraId="000009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62</w:t>
      </w:r>
      <w:r w:rsidDel="00000000" w:rsidR="00000000" w:rsidRPr="00000000">
        <w:rPr>
          <w:rFonts w:ascii="Times New Roman" w:cs="Times New Roman" w:eastAsia="Times New Roman" w:hAnsi="Times New Roman"/>
          <w:rtl w:val="0"/>
        </w:rPr>
        <w:t xml:space="preserve"> Mati Õun, Lahingud kaugetel meredel 2: Lahingud Atlandil ja polaarmeredel 1939-1945 [Battles on Distant Seas Vol. 2: Battles on the Atlantic Ocean and Northern Seas, 1939-1945] (Tallinn: Olion, 1996), S. 6-8; 164-169; Mati Õun, Võitlused Läänemerel: Suvi 1941 [Battles on the Baltic Sea: Summer 1941] (Tallinn: S.n., 1996), S. 15. Neben den genannten Schlachtschiffen hatte die Rote Ostseeflotte zwei brandneue Kreuzer, Kirov und Maxim Gorki, die im Konfliktfall für die deutsche Marine schwer zu handhaben wären. (Ibid.)</w:t>
      </w:r>
    </w:p>
    <w:p w:rsidR="00000000" w:rsidDel="00000000" w:rsidP="00000000" w:rsidRDefault="00000000" w:rsidRPr="00000000" w14:paraId="000009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63</w:t>
      </w:r>
      <w:r w:rsidDel="00000000" w:rsidR="00000000" w:rsidRPr="00000000">
        <w:rPr>
          <w:rFonts w:ascii="Times New Roman" w:cs="Times New Roman" w:eastAsia="Times New Roman" w:hAnsi="Times New Roman"/>
          <w:rtl w:val="0"/>
        </w:rPr>
        <w:t xml:space="preserve"> Siehe: Juergen Rohwer, The Wireless World at War, 1939-1945, "International History Review", Bd. 16, Nr. 3, 1994, S. 536-548; Codes and Ciphers: Radio Communication and Intelligence, in: To Die Gallantly: The Battle of Atlantic (Boulder: Westview Press, 1994), S. 38-54.</w:t>
      </w:r>
    </w:p>
    <w:p w:rsidR="00000000" w:rsidDel="00000000" w:rsidP="00000000" w:rsidRDefault="00000000" w:rsidRPr="00000000" w14:paraId="000009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64</w:t>
      </w:r>
      <w:r w:rsidDel="00000000" w:rsidR="00000000" w:rsidRPr="00000000">
        <w:rPr>
          <w:rFonts w:ascii="Times New Roman" w:cs="Times New Roman" w:eastAsia="Times New Roman" w:hAnsi="Times New Roman"/>
          <w:rtl w:val="0"/>
        </w:rPr>
        <w:t xml:space="preserve"> M. Boltunov, S. 30-35.</w:t>
      </w:r>
    </w:p>
    <w:p w:rsidR="00000000" w:rsidDel="00000000" w:rsidP="00000000" w:rsidRDefault="00000000" w:rsidRPr="00000000" w14:paraId="000009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F">
      <w:pPr>
        <w:jc w:val="both"/>
        <w:rPr>
          <w:rFonts w:ascii="Times New Roman" w:cs="Times New Roman" w:eastAsia="Times New Roman" w:hAnsi="Times New Roman"/>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