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A48" w:rsidRDefault="001B0803" w:rsidP="001B0803">
      <w:pPr>
        <w:spacing w:after="0" w:line="240" w:lineRule="auto"/>
        <w:jc w:val="center"/>
        <w:rPr>
          <w:rFonts w:ascii="Times New Roman" w:hAnsi="Times New Roman" w:cs="Times New Roman"/>
          <w:b/>
          <w:sz w:val="28"/>
          <w:lang w:val="uk-UA"/>
        </w:rPr>
      </w:pPr>
      <w:r w:rsidRPr="001B0803">
        <w:rPr>
          <w:rFonts w:ascii="Times New Roman" w:hAnsi="Times New Roman" w:cs="Times New Roman"/>
          <w:b/>
          <w:sz w:val="28"/>
          <w:lang w:val="uk-UA"/>
        </w:rPr>
        <w:t>УКРАЇНС</w:t>
      </w:r>
      <w:bookmarkStart w:id="0" w:name="_GoBack"/>
      <w:bookmarkEnd w:id="0"/>
      <w:r w:rsidRPr="001B0803">
        <w:rPr>
          <w:rFonts w:ascii="Times New Roman" w:hAnsi="Times New Roman" w:cs="Times New Roman"/>
          <w:b/>
          <w:sz w:val="28"/>
          <w:lang w:val="uk-UA"/>
        </w:rPr>
        <w:t>ЬКА НАРОДНА ІГРАШКА ТА МЕТОДИКА ЇЇ МОДЕЛЮВАННЯ У ФОРМУВАННІ ТВОРЧОЇ УЯВИ  ДОШКІЛЬНИКІВ</w:t>
      </w:r>
    </w:p>
    <w:p w:rsidR="001B0803" w:rsidRDefault="001B0803" w:rsidP="001B0803">
      <w:pPr>
        <w:spacing w:after="0" w:line="240" w:lineRule="auto"/>
        <w:jc w:val="center"/>
        <w:rPr>
          <w:rFonts w:ascii="Times New Roman" w:hAnsi="Times New Roman" w:cs="Times New Roman"/>
          <w:b/>
          <w:sz w:val="28"/>
          <w:lang w:val="uk-UA"/>
        </w:rPr>
      </w:pPr>
    </w:p>
    <w:p w:rsidR="001B0803" w:rsidRDefault="001B0803" w:rsidP="001B0803">
      <w:pPr>
        <w:spacing w:after="0" w:line="240" w:lineRule="auto"/>
        <w:jc w:val="center"/>
        <w:rPr>
          <w:rFonts w:ascii="Times New Roman" w:hAnsi="Times New Roman" w:cs="Times New Roman"/>
          <w:b/>
          <w:sz w:val="28"/>
          <w:lang w:val="uk-UA"/>
        </w:rPr>
      </w:pPr>
    </w:p>
    <w:p w:rsidR="001B0803" w:rsidRDefault="001B0803" w:rsidP="001B0803">
      <w:pPr>
        <w:spacing w:after="0" w:line="240" w:lineRule="auto"/>
        <w:rPr>
          <w:rFonts w:ascii="Times New Roman" w:hAnsi="Times New Roman" w:cs="Times New Roman"/>
          <w:sz w:val="28"/>
          <w:lang w:val="uk-UA"/>
        </w:rPr>
      </w:pPr>
      <w:r w:rsidRPr="001B0803">
        <w:rPr>
          <w:rFonts w:ascii="Times New Roman" w:hAnsi="Times New Roman" w:cs="Times New Roman"/>
          <w:sz w:val="28"/>
          <w:lang w:val="uk-UA"/>
        </w:rPr>
        <w:t>А.О. Поліщук</w:t>
      </w:r>
    </w:p>
    <w:p w:rsidR="001B0803" w:rsidRDefault="001B0803" w:rsidP="001B0803">
      <w:pPr>
        <w:spacing w:after="0" w:line="240" w:lineRule="auto"/>
        <w:rPr>
          <w:rFonts w:ascii="Times New Roman" w:hAnsi="Times New Roman" w:cs="Times New Roman"/>
          <w:sz w:val="28"/>
          <w:lang w:val="uk-UA"/>
        </w:rPr>
      </w:pPr>
      <w:r>
        <w:rPr>
          <w:rFonts w:ascii="Times New Roman" w:hAnsi="Times New Roman" w:cs="Times New Roman"/>
          <w:sz w:val="28"/>
          <w:lang w:val="uk-UA"/>
        </w:rPr>
        <w:t>Криворізький державний педагогічний університет</w:t>
      </w:r>
    </w:p>
    <w:p w:rsidR="001B0803" w:rsidRDefault="001B0803" w:rsidP="001B0803">
      <w:pPr>
        <w:spacing w:after="0" w:line="240" w:lineRule="auto"/>
        <w:rPr>
          <w:rFonts w:ascii="Times New Roman" w:hAnsi="Times New Roman" w:cs="Times New Roman"/>
          <w:sz w:val="28"/>
          <w:lang w:val="uk-UA"/>
        </w:rPr>
      </w:pPr>
      <w:r>
        <w:rPr>
          <w:rFonts w:ascii="Times New Roman" w:hAnsi="Times New Roman" w:cs="Times New Roman"/>
          <w:sz w:val="28"/>
          <w:lang w:val="uk-UA"/>
        </w:rPr>
        <w:t>м. Кривий Ріг</w:t>
      </w:r>
    </w:p>
    <w:p w:rsidR="001B0803" w:rsidRDefault="001B0803" w:rsidP="001B0803">
      <w:pPr>
        <w:spacing w:after="0" w:line="240" w:lineRule="auto"/>
        <w:rPr>
          <w:rFonts w:ascii="Times New Roman" w:hAnsi="Times New Roman" w:cs="Times New Roman"/>
          <w:sz w:val="28"/>
          <w:lang w:val="uk-UA"/>
        </w:rPr>
      </w:pPr>
    </w:p>
    <w:p w:rsidR="001B0803" w:rsidRPr="00610CB9" w:rsidRDefault="001B0803" w:rsidP="001B0803">
      <w:pPr>
        <w:spacing w:after="0" w:line="240" w:lineRule="auto"/>
        <w:rPr>
          <w:rFonts w:ascii="Times New Roman" w:hAnsi="Times New Roman" w:cs="Times New Roman"/>
          <w:i/>
          <w:sz w:val="28"/>
          <w:lang w:val="uk-UA"/>
        </w:rPr>
      </w:pPr>
    </w:p>
    <w:p w:rsidR="001B0803" w:rsidRPr="001B0803" w:rsidRDefault="001B0803" w:rsidP="00F823B6">
      <w:pPr>
        <w:suppressAutoHyphens/>
        <w:spacing w:after="0" w:line="240" w:lineRule="auto"/>
        <w:ind w:firstLine="709"/>
        <w:jc w:val="both"/>
        <w:rPr>
          <w:rFonts w:ascii="Times New Roman" w:eastAsia="Calibri" w:hAnsi="Times New Roman" w:cs="Times New Roman"/>
          <w:i/>
          <w:sz w:val="28"/>
          <w:szCs w:val="28"/>
          <w:lang w:val="uk-UA" w:eastAsia="zh-CN"/>
        </w:rPr>
      </w:pPr>
      <w:r w:rsidRPr="001B0803">
        <w:rPr>
          <w:rFonts w:ascii="Times New Roman" w:eastAsia="Calibri" w:hAnsi="Times New Roman" w:cs="Times New Roman"/>
          <w:i/>
          <w:sz w:val="28"/>
          <w:szCs w:val="28"/>
          <w:lang w:val="uk-UA" w:eastAsia="zh-CN"/>
        </w:rPr>
        <w:t xml:space="preserve">У статті висвітлено питання щодо </w:t>
      </w:r>
      <w:r w:rsidR="00F823B6" w:rsidRPr="00610CB9">
        <w:rPr>
          <w:rFonts w:ascii="Times New Roman" w:eastAsia="Calibri" w:hAnsi="Times New Roman" w:cs="Times New Roman"/>
          <w:i/>
          <w:sz w:val="28"/>
          <w:szCs w:val="28"/>
          <w:lang w:val="uk-UA" w:eastAsia="zh-CN"/>
        </w:rPr>
        <w:t xml:space="preserve">формування творчої уяви у дітей </w:t>
      </w:r>
      <w:r w:rsidRPr="001B0803">
        <w:rPr>
          <w:rFonts w:ascii="Times New Roman" w:eastAsia="Calibri" w:hAnsi="Times New Roman" w:cs="Times New Roman"/>
          <w:i/>
          <w:sz w:val="28"/>
          <w:szCs w:val="28"/>
          <w:lang w:val="uk-UA" w:eastAsia="zh-CN"/>
        </w:rPr>
        <w:t>дошкільного віку, що визначають</w:t>
      </w:r>
      <w:r w:rsidR="00F823B6" w:rsidRPr="00610CB9">
        <w:rPr>
          <w:rFonts w:ascii="Times New Roman" w:eastAsia="Calibri" w:hAnsi="Times New Roman" w:cs="Times New Roman"/>
          <w:i/>
          <w:sz w:val="28"/>
          <w:szCs w:val="28"/>
          <w:lang w:val="uk-UA" w:eastAsia="zh-CN"/>
        </w:rPr>
        <w:t xml:space="preserve"> емоційний, інтелектуальний, </w:t>
      </w:r>
      <w:r w:rsidRPr="001B0803">
        <w:rPr>
          <w:rFonts w:ascii="Times New Roman" w:eastAsia="Calibri" w:hAnsi="Times New Roman" w:cs="Times New Roman"/>
          <w:i/>
          <w:sz w:val="28"/>
          <w:szCs w:val="28"/>
          <w:lang w:val="uk-UA" w:eastAsia="zh-CN"/>
        </w:rPr>
        <w:t>пізнавальний та особистісний розвиток дитини. Основні засоби надбання національної культури взагалі та народних промислів зокрема.</w:t>
      </w:r>
    </w:p>
    <w:p w:rsidR="001B0803" w:rsidRPr="00610CB9" w:rsidRDefault="001B0803" w:rsidP="00F823B6">
      <w:pPr>
        <w:suppressAutoHyphens/>
        <w:spacing w:after="0" w:line="240" w:lineRule="auto"/>
        <w:ind w:firstLine="709"/>
        <w:jc w:val="both"/>
        <w:rPr>
          <w:rFonts w:ascii="Times New Roman" w:eastAsia="Calibri" w:hAnsi="Times New Roman" w:cs="Times New Roman"/>
          <w:i/>
          <w:sz w:val="28"/>
          <w:szCs w:val="28"/>
          <w:lang w:val="uk-UA" w:eastAsia="zh-CN"/>
        </w:rPr>
      </w:pPr>
      <w:r w:rsidRPr="001B0803">
        <w:rPr>
          <w:rFonts w:ascii="Times New Roman" w:eastAsia="Calibri" w:hAnsi="Times New Roman" w:cs="Times New Roman"/>
          <w:i/>
          <w:sz w:val="28"/>
          <w:szCs w:val="28"/>
          <w:lang w:val="uk-UA" w:eastAsia="zh-CN"/>
        </w:rPr>
        <w:t>Ключові слова: творча уява, народна іграшка, лялька-мотанка, декоративне мистецтво, народні промисли.</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 xml:space="preserve">Українська народна іграшка багата й розмаїта. Про її багатство свідчить діапазон змістовно-образних градацій: від «примітивних» пташок-свищиків, архаїчних вузлових ляльок, семантично реліктових тварин, птахів, фантастичних звірів, виготовлених із глини, дерева, соломи, сиру й тіста, функціонально реліктових хихичок, деркачів, калатал тощо – до авторської іграшки-скульптури (М. Тарасенко, І. Гончар, О. Ганжа, І. Приходько, М. Галушко), позначеної рисами атавістично-родового міфологізму. </w:t>
      </w:r>
    </w:p>
    <w:p w:rsidR="001B0803"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Розмаїття української традиційної іграшки насамперед пов’язане з її багатою сюжетною й тематичною номенклатурою, а також із широкою формально-образною варіативністю та численністю орнаментальних і колористичних градацій. Іграшки коленої місцевості (як і посуд, пищівка, вироби з дерева, витинанки, писанки, настінний розпис) позначені рисами певної своєрідності, яка залежить від ландшафтно-кліматичних, географічних умов (гори, рівнина, степ, полісся, край луків та озер тощо), роду занять більшості населення, історичних факторів та обрядових традицій</w:t>
      </w:r>
      <w:r>
        <w:rPr>
          <w:rFonts w:ascii="Times New Roman" w:eastAsia="Calibri" w:hAnsi="Times New Roman" w:cs="Times New Roman"/>
          <w:sz w:val="28"/>
          <w:szCs w:val="28"/>
          <w:lang w:val="uk-UA" w:eastAsia="zh-CN"/>
        </w:rPr>
        <w:t>.</w:t>
      </w:r>
    </w:p>
    <w:p w:rsid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 xml:space="preserve">Колорит іграшки Опішного (Полтавщина) здебільшого «теплий», близький до натуральних кольорів обпаленої глини; орнамент – закруглений, плавно вигинистий, позбавлений різких зламів і гострих кутів. Натомість орнамент косівських (Карпати) пікових виробів має різкі й гострі злами, натуральний колір глини закритий, захований білою, жовтуватою або темно-вишневою («вишнівка») поливою, основні кольори орнаменту брунатний, зелений, жовтий. Іграшка з Полтавщини (як і розписний посуд) містить і образ поля із плавними пагорбами-могилами та ланами стиглої пшениці, а також і хати-мазанки під золотою соломою із зеленим садком і полудневим городом з пахучою «гвоздикою», гарбузами </w:t>
      </w:r>
      <w:r w:rsidRPr="00F823B6">
        <w:rPr>
          <w:rFonts w:ascii="Times New Roman" w:eastAsia="Calibri" w:hAnsi="Times New Roman" w:cs="Times New Roman"/>
          <w:sz w:val="28"/>
          <w:szCs w:val="28"/>
          <w:lang w:val="uk-UA" w:eastAsia="zh-CN"/>
        </w:rPr>
        <w:lastRenderedPageBreak/>
        <w:t xml:space="preserve">й метеликами. Іграшка з Косова (так само, як і розписний посуд) несе в собі образні прикмети карпатського холодно-прозорого ранку із гостроверхими смереками на схилах, високими ожередами, вогкуватим туманцем у долинах, отарами овець на полонинах [36]. </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Узори косівських виробів асоціативно зближені з бадьоро-завзятим (з пронизливими акцентами) звучанням місцевих коломийок та тужливо-ритмічним дріботінням гуцульського танцю, між тим орнамент опішнянських посуду та іграшки містить у собі асоціативний образ ритмічно стриманої та мелодійно розлогої місцевої пісні, що плине у степову далечінь. Подібні образні ремінісценції можна віднайти у пластиці, декорі та орнаментації іграшок Харківщини і Львівщини, Поділля й Київщини, Волині й Півдня України. Традиційна іграшка, поряд з образною та символічно-смисловою інформацією, містить у собі ще й інформацію атавістичну, пластично-інтуїтивну, обрядову, духовну онтологічно-ціннісну. Щодо цього вона зазвичай є набагато інформативнішою, ніж будь-яка сучасна техніко-механічна іграшка або комп’ютерна гра [28].</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Отже, народна іграшка від часів, коли вона носила обрядове значення (приблизно 25 тисяч років назад), і до сьогодення пройшла тривалий шлях розвитку. Змінювалися матеріал, з якого виготовляли іграшку, її зміст, забарвлення, технології виготовлення, функції.</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Українська народна «іграшкова культура» складна й розмаїта. Для того щоб її вивчати, потрібно якимсь чином класифікувати, тобто розділити іграшки на групи, орієнтуючись на спорідненість певних істотних ознак. Найбільш простою та прямолінійною класифікацією О. Найден уважає поділ на дві групи:</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1. Іграшки, у яких основною рисою є пластичні, художньо-естетичні фактори: ляльки, коники, баранці, олені, цапки, вершники, птахи, «барині», «куми» тощо;</w:t>
      </w:r>
    </w:p>
    <w:p w:rsid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2. Іграшки, основною функцією яких є результат здійснення певної механічної дії: деркачі, фуркала, калатала, свистки, луки зі стрілами, брязкальця, хихички тощо [40].</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Більш структурованим О. Найден вважає поділ іграшок за матеріалом, з якого вони створені: іграшки з дерева, глини, тканини, соломи, трави, паперу, кори, кістки, плодів різних рослин, тіста, сиру тощо. Також науковець виділяє поділ за образно-ігровими та типажно-функціональними ознаками:</w:t>
      </w:r>
    </w:p>
    <w:p w:rsidR="00F823B6" w:rsidRPr="00F823B6" w:rsidRDefault="00F823B6" w:rsidP="00F823B6">
      <w:pPr>
        <w:numPr>
          <w:ilvl w:val="0"/>
          <w:numId w:val="1"/>
        </w:numPr>
        <w:tabs>
          <w:tab w:val="clear" w:pos="1440"/>
          <w:tab w:val="num" w:pos="0"/>
          <w:tab w:val="num" w:pos="1080"/>
        </w:tabs>
        <w:suppressAutoHyphens/>
        <w:spacing w:after="0" w:line="240" w:lineRule="auto"/>
        <w:ind w:left="0"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антропоморфні образи-ляльки (з глини, дерева, трави, тканини, соломи, рогозу, комбіновані з різних матеріалів);</w:t>
      </w:r>
    </w:p>
    <w:p w:rsidR="00F823B6" w:rsidRPr="00F823B6" w:rsidRDefault="00F823B6" w:rsidP="00F823B6">
      <w:pPr>
        <w:numPr>
          <w:ilvl w:val="0"/>
          <w:numId w:val="1"/>
        </w:numPr>
        <w:tabs>
          <w:tab w:val="clear" w:pos="1440"/>
          <w:tab w:val="num" w:pos="0"/>
          <w:tab w:val="num" w:pos="1080"/>
        </w:tabs>
        <w:suppressAutoHyphens/>
        <w:spacing w:after="0" w:line="240" w:lineRule="auto"/>
        <w:ind w:left="0"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зооморфні образи – свійські й дикі тварини: бички, цапки, свинки, баранці, козлики, корівки тощо (з глини, дерева, трави, тканини, соломи, рогозу, сиру);</w:t>
      </w:r>
    </w:p>
    <w:p w:rsidR="00F823B6" w:rsidRPr="00F823B6" w:rsidRDefault="00F823B6" w:rsidP="00F823B6">
      <w:pPr>
        <w:numPr>
          <w:ilvl w:val="0"/>
          <w:numId w:val="1"/>
        </w:numPr>
        <w:tabs>
          <w:tab w:val="clear" w:pos="1440"/>
          <w:tab w:val="num" w:pos="0"/>
          <w:tab w:val="num" w:pos="1080"/>
        </w:tabs>
        <w:suppressAutoHyphens/>
        <w:spacing w:after="0" w:line="240" w:lineRule="auto"/>
        <w:ind w:left="0"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lastRenderedPageBreak/>
        <w:t>іграшки, які імітують «дорослі» меблі, посуд інші предмети побуту, знаряддя праці (шафи, стільці, столи, лавки, миски, глечики, колиски, візки, граблі, сокири тощо).</w:t>
      </w:r>
    </w:p>
    <w:p w:rsid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О. Найден наголошує, що можна також вважати класифікаційною ознакою регіон або місцевість створення іграшок: іграшки Львівщини, Харківщини, Волині, Київщини, Полтавщини, Середньої Наддніпрянщини тощо [40].</w:t>
      </w:r>
    </w:p>
    <w:p w:rsidR="00F823B6" w:rsidRPr="00F823B6" w:rsidRDefault="00F823B6" w:rsidP="00F823B6">
      <w:pPr>
        <w:suppressAutoHyphens/>
        <w:spacing w:after="0" w:line="240" w:lineRule="auto"/>
        <w:ind w:firstLine="709"/>
        <w:jc w:val="both"/>
        <w:rPr>
          <w:rFonts w:ascii="Times New Roman" w:eastAsia="Calibri" w:hAnsi="Times New Roman" w:cs="Times New Roman"/>
          <w:sz w:val="28"/>
          <w:szCs w:val="28"/>
          <w:lang w:val="uk-UA" w:eastAsia="zh-CN"/>
        </w:rPr>
      </w:pPr>
      <w:r w:rsidRPr="00F823B6">
        <w:rPr>
          <w:rFonts w:ascii="Times New Roman" w:eastAsia="Calibri" w:hAnsi="Times New Roman" w:cs="Times New Roman"/>
          <w:sz w:val="28"/>
          <w:szCs w:val="28"/>
          <w:lang w:val="uk-UA" w:eastAsia="zh-CN"/>
        </w:rPr>
        <w:t xml:space="preserve">Отже, народна іграшка дає дитині те, чого не може дати сучасна іграшка. Існуючи поряд, вони доповнюють одна одну. Іграшка – це не лише предмет гри, вона дуже багато може розповісти про історію своєї країни, про звичаї і традиції народу, про традиційний одяг наших предків та їх спосіб життя, тобто є багатим джерелом у вихованні національної самосвідомості дітей. З іграшкою пов’язано багато легенд і казок, вона вчить дитину, як правильно поводити себе, і навпаки - як не варто себе вести. Використання народної іграшки, зокрема ляльки, в процесі виховання допомагає дитині виявити себе у творчій справі та підштовхує її до активного і самостійного пошуку, допомагає зберегти національні українські традиції, а за допомогою її моделювання навчити цьому і дитину. </w:t>
      </w:r>
    </w:p>
    <w:p w:rsidR="00610CB9" w:rsidRPr="00610CB9" w:rsidRDefault="00610CB9" w:rsidP="00610CB9">
      <w:pPr>
        <w:suppressAutoHyphens/>
        <w:spacing w:after="0" w:line="240" w:lineRule="auto"/>
        <w:ind w:firstLine="709"/>
        <w:jc w:val="both"/>
        <w:rPr>
          <w:rFonts w:ascii="Times New Roman" w:eastAsia="Calibri" w:hAnsi="Times New Roman" w:cs="Times New Roman"/>
          <w:sz w:val="28"/>
          <w:szCs w:val="28"/>
          <w:lang w:val="uk-UA" w:eastAsia="zh-CN"/>
        </w:rPr>
      </w:pPr>
      <w:r w:rsidRPr="00610CB9">
        <w:rPr>
          <w:rFonts w:ascii="Times New Roman" w:eastAsia="Calibri" w:hAnsi="Times New Roman" w:cs="Times New Roman"/>
          <w:sz w:val="28"/>
          <w:szCs w:val="28"/>
          <w:lang w:val="uk-UA" w:eastAsia="zh-CN"/>
        </w:rPr>
        <w:t xml:space="preserve">Теоретичне вивчення проблеми дозволило констатувати, що у дошкільників у різні вікові періоди поступово формується уява, творча уява, фантазія, творче мислення та творчі здібності. У дослідженні творчу уяву визначаємо як процес і результат накопичення дитиною нових образів, уявлень, передбачень, припущень, включених в активну пізнавальну та творчу діяльність де створюються оригінальні продукти. Творча уява допомагає дитині знаходити шляхи вирішення проблемних завдань та ситуацій. </w:t>
      </w:r>
    </w:p>
    <w:p w:rsidR="00610CB9" w:rsidRPr="00610CB9" w:rsidRDefault="00610CB9" w:rsidP="00610CB9">
      <w:pPr>
        <w:suppressAutoHyphens/>
        <w:spacing w:after="0" w:line="240" w:lineRule="auto"/>
        <w:ind w:firstLine="709"/>
        <w:jc w:val="both"/>
        <w:rPr>
          <w:rFonts w:ascii="Times New Roman" w:eastAsia="Calibri" w:hAnsi="Times New Roman" w:cs="Times New Roman"/>
          <w:sz w:val="28"/>
          <w:szCs w:val="28"/>
          <w:lang w:val="uk-UA" w:eastAsia="zh-CN"/>
        </w:rPr>
      </w:pPr>
      <w:r w:rsidRPr="00610CB9">
        <w:rPr>
          <w:rFonts w:ascii="Times New Roman" w:eastAsia="Calibri" w:hAnsi="Times New Roman" w:cs="Times New Roman"/>
          <w:sz w:val="28"/>
          <w:szCs w:val="28"/>
          <w:lang w:val="uk-UA" w:eastAsia="zh-CN"/>
        </w:rPr>
        <w:t>Основою для формування творчої уяви у старших дошкільників уважаємо декоративну діяльність, яка сприяє активному засвоєнню художнього досвіду та самостійному застосуванню його у творчих ситуаціях. При цьому пріоритетним визнаєм декоративну діяльність при ознайомленні та створенні об’єктів народних промислів.</w:t>
      </w:r>
    </w:p>
    <w:p w:rsidR="00610CB9" w:rsidRDefault="00610CB9" w:rsidP="00610CB9">
      <w:pPr>
        <w:suppressAutoHyphens/>
        <w:spacing w:after="0" w:line="240" w:lineRule="auto"/>
        <w:jc w:val="both"/>
        <w:rPr>
          <w:rFonts w:ascii="Times New Roman" w:eastAsia="Calibri" w:hAnsi="Times New Roman" w:cs="Times New Roman"/>
          <w:sz w:val="28"/>
          <w:szCs w:val="28"/>
          <w:lang w:val="uk-UA" w:eastAsia="zh-CN"/>
        </w:rPr>
      </w:pPr>
    </w:p>
    <w:p w:rsidR="00610CB9" w:rsidRDefault="00610CB9" w:rsidP="00610CB9">
      <w:pPr>
        <w:suppressAutoHyphens/>
        <w:spacing w:after="0" w:line="240" w:lineRule="auto"/>
        <w:jc w:val="both"/>
        <w:rPr>
          <w:rFonts w:ascii="Times New Roman" w:eastAsia="Calibri" w:hAnsi="Times New Roman" w:cs="Times New Roman"/>
          <w:sz w:val="28"/>
          <w:szCs w:val="28"/>
          <w:lang w:val="uk-UA" w:eastAsia="zh-CN"/>
        </w:rPr>
      </w:pPr>
    </w:p>
    <w:p w:rsidR="00610CB9" w:rsidRDefault="00610CB9" w:rsidP="00610CB9">
      <w:pPr>
        <w:suppressAutoHyphens/>
        <w:spacing w:after="0" w:line="240" w:lineRule="auto"/>
        <w:ind w:firstLine="709"/>
        <w:jc w:val="center"/>
        <w:rPr>
          <w:rFonts w:ascii="Times New Roman" w:eastAsia="Calibri" w:hAnsi="Times New Roman" w:cs="Times New Roman"/>
          <w:sz w:val="28"/>
          <w:szCs w:val="28"/>
          <w:lang w:val="uk-UA" w:eastAsia="zh-CN"/>
        </w:rPr>
      </w:pPr>
      <w:r>
        <w:rPr>
          <w:rFonts w:ascii="Times New Roman" w:eastAsia="Calibri" w:hAnsi="Times New Roman" w:cs="Times New Roman"/>
          <w:sz w:val="28"/>
          <w:szCs w:val="28"/>
          <w:lang w:val="uk-UA" w:eastAsia="zh-CN"/>
        </w:rPr>
        <w:t>ЛІТЕРАТУРА</w:t>
      </w:r>
    </w:p>
    <w:p w:rsidR="00610CB9" w:rsidRDefault="00610CB9" w:rsidP="00610CB9">
      <w:pPr>
        <w:suppressAutoHyphens/>
        <w:spacing w:after="0" w:line="240" w:lineRule="auto"/>
        <w:ind w:firstLine="709"/>
        <w:jc w:val="center"/>
        <w:rPr>
          <w:rFonts w:ascii="Times New Roman" w:eastAsia="Calibri" w:hAnsi="Times New Roman" w:cs="Times New Roman"/>
          <w:sz w:val="28"/>
          <w:szCs w:val="28"/>
          <w:lang w:val="uk-UA" w:eastAsia="zh-CN"/>
        </w:rPr>
      </w:pPr>
    </w:p>
    <w:p w:rsidR="00610CB9" w:rsidRPr="00610CB9" w:rsidRDefault="00610CB9" w:rsidP="00610CB9">
      <w:pPr>
        <w:pStyle w:val="a3"/>
        <w:numPr>
          <w:ilvl w:val="0"/>
          <w:numId w:val="2"/>
        </w:numPr>
        <w:ind w:left="0" w:firstLine="709"/>
        <w:jc w:val="both"/>
        <w:rPr>
          <w:rFonts w:ascii="Times New Roman" w:eastAsia="Calibri" w:hAnsi="Times New Roman" w:cs="Times New Roman"/>
          <w:sz w:val="28"/>
          <w:szCs w:val="28"/>
          <w:lang w:val="uk-UA" w:eastAsia="zh-CN"/>
        </w:rPr>
      </w:pPr>
      <w:r w:rsidRPr="00610CB9">
        <w:rPr>
          <w:rFonts w:ascii="Times New Roman" w:eastAsia="Calibri" w:hAnsi="Times New Roman" w:cs="Times New Roman"/>
          <w:sz w:val="28"/>
          <w:szCs w:val="28"/>
          <w:lang w:val="uk-UA" w:eastAsia="zh-CN"/>
        </w:rPr>
        <w:t>Михайлик О. Традиційна українська лялька – педагогічно та екологічно. Дзеркало тижня. 2004. № 2. С. 22–25.</w:t>
      </w:r>
    </w:p>
    <w:p w:rsidR="00610CB9" w:rsidRPr="00610CB9" w:rsidRDefault="00610CB9" w:rsidP="00610CB9">
      <w:pPr>
        <w:pStyle w:val="a3"/>
        <w:numPr>
          <w:ilvl w:val="0"/>
          <w:numId w:val="2"/>
        </w:numPr>
        <w:ind w:left="0" w:firstLine="709"/>
        <w:jc w:val="both"/>
        <w:rPr>
          <w:rFonts w:ascii="Times New Roman" w:eastAsia="Calibri" w:hAnsi="Times New Roman" w:cs="Times New Roman"/>
          <w:sz w:val="28"/>
          <w:szCs w:val="28"/>
          <w:lang w:val="uk-UA" w:eastAsia="zh-CN"/>
        </w:rPr>
      </w:pPr>
      <w:r w:rsidRPr="00610CB9">
        <w:rPr>
          <w:rFonts w:ascii="Times New Roman" w:eastAsia="Calibri" w:hAnsi="Times New Roman" w:cs="Times New Roman"/>
          <w:sz w:val="28"/>
          <w:szCs w:val="28"/>
          <w:lang w:val="uk-UA" w:eastAsia="zh-CN"/>
        </w:rPr>
        <w:t>Найден О. Українська народна лялька.  Київ : ВД «Стилос», 2007.  240 с.</w:t>
      </w:r>
    </w:p>
    <w:p w:rsidR="001B0803" w:rsidRPr="00610CB9" w:rsidRDefault="00610CB9" w:rsidP="00610CB9">
      <w:pPr>
        <w:pStyle w:val="a3"/>
        <w:numPr>
          <w:ilvl w:val="0"/>
          <w:numId w:val="2"/>
        </w:numPr>
        <w:ind w:left="0" w:firstLine="709"/>
        <w:jc w:val="both"/>
        <w:rPr>
          <w:rFonts w:ascii="Times New Roman" w:eastAsia="Calibri" w:hAnsi="Times New Roman" w:cs="Times New Roman"/>
          <w:sz w:val="28"/>
          <w:szCs w:val="28"/>
          <w:lang w:val="uk-UA" w:eastAsia="zh-CN"/>
        </w:rPr>
      </w:pPr>
      <w:r w:rsidRPr="00610CB9">
        <w:rPr>
          <w:rFonts w:ascii="Times New Roman" w:eastAsia="Calibri" w:hAnsi="Times New Roman" w:cs="Times New Roman"/>
          <w:sz w:val="28"/>
          <w:szCs w:val="28"/>
          <w:lang w:val="uk-UA" w:eastAsia="zh-CN"/>
        </w:rPr>
        <w:t>Кільова Г. Народна іграшка як засіб виховання дітей. Рідна школа. 2018. №6. С. 59–63.</w:t>
      </w:r>
    </w:p>
    <w:sectPr w:rsidR="001B0803" w:rsidRPr="00610CB9" w:rsidSect="001B0803">
      <w:pgSz w:w="11906" w:h="16838"/>
      <w:pgMar w:top="1418" w:right="1418" w:bottom="141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587B69"/>
    <w:multiLevelType w:val="hybridMultilevel"/>
    <w:tmpl w:val="D8140212"/>
    <w:lvl w:ilvl="0" w:tplc="00005BF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6A2972F4"/>
    <w:multiLevelType w:val="hybridMultilevel"/>
    <w:tmpl w:val="951274E4"/>
    <w:lvl w:ilvl="0" w:tplc="C360BE78">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0803"/>
    <w:rsid w:val="00016711"/>
    <w:rsid w:val="00125A48"/>
    <w:rsid w:val="001B0803"/>
    <w:rsid w:val="00610CB9"/>
    <w:rsid w:val="00F823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7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CB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6711"/>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C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5911</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Олеговна</dc:creator>
  <cp:lastModifiedBy>Анна Олеговна</cp:lastModifiedBy>
  <cp:revision>1</cp:revision>
  <dcterms:created xsi:type="dcterms:W3CDTF">2021-12-08T14:59:00Z</dcterms:created>
  <dcterms:modified xsi:type="dcterms:W3CDTF">2021-12-08T15:26:00Z</dcterms:modified>
</cp:coreProperties>
</file>