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FB" w:rsidRPr="00F036FB" w:rsidRDefault="00F036FB" w:rsidP="000742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036F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Conférence des Nations Unies sur le commerce </w:t>
      </w:r>
      <w:proofErr w:type="gramStart"/>
      <w:r w:rsidRPr="00F036FB">
        <w:rPr>
          <w:rFonts w:ascii="Times New Roman" w:hAnsi="Times New Roman" w:cs="Times New Roman"/>
          <w:b/>
          <w:i/>
          <w:sz w:val="24"/>
          <w:szCs w:val="24"/>
          <w:lang w:val="en-US"/>
        </w:rPr>
        <w:t>et</w:t>
      </w:r>
      <w:proofErr w:type="gramEnd"/>
      <w:r w:rsidRPr="00F036F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le développement</w:t>
      </w:r>
    </w:p>
    <w:p w:rsidR="00F036FB" w:rsidRDefault="00074277" w:rsidP="000742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074277">
        <w:rPr>
          <w:rFonts w:ascii="Times New Roman" w:hAnsi="Times New Roman" w:cs="Times New Roman"/>
          <w:b/>
          <w:sz w:val="32"/>
          <w:szCs w:val="32"/>
          <w:lang w:val="en-US"/>
        </w:rPr>
        <w:t xml:space="preserve">Rapport sur l’investissement dans le monde </w:t>
      </w:r>
      <w:proofErr w:type="gramStart"/>
      <w:r w:rsidRPr="00074277">
        <w:rPr>
          <w:rFonts w:ascii="Times New Roman" w:hAnsi="Times New Roman" w:cs="Times New Roman"/>
          <w:b/>
          <w:sz w:val="32"/>
          <w:szCs w:val="32"/>
          <w:lang w:val="en-US"/>
        </w:rPr>
        <w:t xml:space="preserve">2010 </w:t>
      </w:r>
      <w:r w:rsidR="00F036FB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proofErr w:type="gramEnd"/>
    </w:p>
    <w:bookmarkEnd w:id="0"/>
    <w:p w:rsidR="00C437D6" w:rsidRPr="00074277" w:rsidRDefault="00F036FB" w:rsidP="00F036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</w:t>
      </w:r>
      <w:r w:rsidR="00074277" w:rsidRPr="00074277">
        <w:rPr>
          <w:rFonts w:ascii="Times New Roman" w:hAnsi="Times New Roman" w:cs="Times New Roman"/>
          <w:b/>
          <w:sz w:val="32"/>
          <w:szCs w:val="32"/>
          <w:lang w:val="en-US"/>
        </w:rPr>
        <w:t>Vue d’ensemble</w:t>
      </w:r>
      <w:r w:rsidR="00074277" w:rsidRPr="00074277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="00C437D6" w:rsidRPr="00074277">
        <w:rPr>
          <w:rFonts w:ascii="Times New Roman" w:hAnsi="Times New Roman" w:cs="Times New Roman"/>
          <w:b/>
          <w:sz w:val="32"/>
          <w:szCs w:val="32"/>
          <w:lang w:val="en-US"/>
        </w:rPr>
        <w:t>Repères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L’IED: tendances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perspectives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Les flux mondiaux d’investissement étranger direct (IED) se sont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peu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redressés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, mais inégalement, dans la première moitié de 2010, ce qui permet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optimisme prudent concernant les perspectives de l’IED dans le court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terme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et plus marqué pour les années ultérieures. Selon la CNUCED, les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apports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mondiaux d’IED devraient dépasser 1 200 milliards de dollars en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2010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atteindre entre 1 300 et 1 500 milliards de dollars en 2011, puis 1 600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à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2 000 milliards de dollars en 2010. Mais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pèse sur ces perspectives des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risques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et des incertitudes, notamment du fait de la fragilité de la reprise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économique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mondiale.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Les pays en développement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les pays en transition attiraient la moitié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entrées mondiales d’IED, et représentaient le quart des sorties mondiales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d’IED.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Ces pays tirent le redressement de l’IED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ils resteront des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destinations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de choix pour les investissements étrangers.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la plupart des régions, les flux d’IED devraient rebondir en 2010.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Mais la nature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le rôle de l’IED évoluent selon les régions. En Afrique, on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voit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se développer de nouvelles sources d’IED. En Asie, la modernisation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industrielle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grâce à l’IED s’étend à de nouveaux pays et à de nouvelles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industries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. En Amérique latine, les sociétés transnationales (STN) deviennent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acteurs mondiaux.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dans l’Europe du Sud-Est, les banques étrangères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jouent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un rôle stabilisateur, mais leur forte présence suscite aussi des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préoccupations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potentielles. Le chômage élevé dans les pays développés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faisait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craindre l’effet des investissements à l’étranger sur l’emploi dans les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pays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d’origine.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Pour les petits pays économiquement faibles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vulnérables, surmonter les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lastRenderedPageBreak/>
        <w:t>obstacles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pour attirer l’IED reste un défi majeur. L’aide publique au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développement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(APD) peut servir de catalyseur pour dynamiser le rôle de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l’IED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dans les pays les moins avancés (PMA). Les pays en développement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sans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littoral qui veulent attirer l’IED doivent réorienter leurs stratégies en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fonction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de l’éloignement des marchés plutôt que de l’éloignement des ports.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les petits États insulaires en développement doivent se concentrer sur des</w:t>
      </w:r>
    </w:p>
    <w:p w:rsidR="00BE5C9E" w:rsidRPr="00C437D6" w:rsidRDefault="00C437D6" w:rsidP="000742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secteurs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de niche clefs pour parvenir à attirer l’IED.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b/>
          <w:bCs/>
          <w:sz w:val="28"/>
          <w:szCs w:val="28"/>
          <w:lang w:val="en-US"/>
        </w:rPr>
        <w:t>Évolution des politiques d’investissement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>Les tendances des politiques d’investissement font apparaître une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dichotomie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, caractérisée par des initiatives simultanées pour libéraliser et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promouvoir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davantage l’investissement, d’une part, et pour le réglementer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davantage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au nom d’objectifs de politique publique, d’autre part.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Les plans de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relance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économique et les aides publiques ont eu des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conséquences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sur l’investissement étranger, mais sans que l’on observe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jusqu’à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présent de réel protectionnisme en matière d’investissement.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>L’univers des accords internationaux d’investissement (AII) s’étend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rapidement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, avec plus de 5 900 accords aujourd’hui (et la signature de quatre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accords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en moyenne par semaine en 2009). Le système des AII évolue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rapidement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aussi car les pays révisent et actualisent activement leurs régimes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d’investissement, conscients de la nécessité fondamentale d’une cohérence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d’une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interaction avec d’autres domaines (par exemple sur le plan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économique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, social et environnemental).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>Certaines initiatives mondiales, notamment pour les investissements dans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l’agriculture, la réforme des systèmes financiers au niveau mondial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l’atténuation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des changements climatiques, influencent de plus en plus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directement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les politiques d’investissement.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bCs/>
          <w:i/>
          <w:sz w:val="28"/>
          <w:szCs w:val="28"/>
          <w:lang w:val="en-US"/>
        </w:rPr>
        <w:t>Investir dans une économie à faible intensité de carbone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Les STN sont d’importants émetteurs de carbone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d’importants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investisseurs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dans des activités à faible intensité de carbone. Elles font donc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lastRenderedPageBreak/>
        <w:t>partie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à la fois du problème et de la solution en matière de changements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climatiques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>Les STN peuvent contribuer aux efforts mondiaux pour combattre les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changements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climatiques en améliorant leurs procédés de production dans le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pays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d’origine et à l’étranger, en fournissant des biens et des services plus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propres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et en apportant les capitaux et les technologies de pointe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indispensables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>Selon les estimations de la CNUCED, en 2009 les flux d’IED dans trois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secteurs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clefs à faible intensité de carbone (énergies renouvelables, recyclage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fabrication de produits de technologie à faible intensité de carbone) ont</w:t>
      </w:r>
      <w:r w:rsidRPr="00C43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7D6">
        <w:rPr>
          <w:rFonts w:ascii="Times New Roman" w:hAnsi="Times New Roman" w:cs="Times New Roman"/>
          <w:sz w:val="28"/>
          <w:szCs w:val="28"/>
          <w:lang w:val="en-US"/>
        </w:rPr>
        <w:t>représenté à eux seuls 90 milliards de dollars. Mais le montant total de ces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investissements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est bien plus considérable encore lorsqu’on prend en compte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les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investissements à faible intensité de carbone incorporés dans d’autres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activités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industrielles et les formes d’activité des STN sans participation au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capital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. Les possibilités d’investissements transfrontières à faible intensité de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carbone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, déjà importantes, deviendront énormes au fur et à mesure que la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passera à une économie à faible intensité de carbone.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>Pour les pays en développement, les investissements à l’étranger des STN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des activités à faible intensité de carbone peuvent faciliter le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renforcement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et l’amélioration de leurs capacités de production et leur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compétitivité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à l’exportation, tout en les aidant à passer à une économie à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faible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intensité de carbone. Mais ces investissements comportent aussi des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risques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sur le plan économique et social.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>Le phénomène des «fuites de carbone» a des conséquences à la fois pour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les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efforts de réduction des émissions au niveau mondial et pour le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développement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économique. Mais l’ampleur du phénomène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ses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conséquences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sont difficiles à mesurer. Plutôt que de lutter contre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gramEnd"/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problème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aux frontières (comme examiné dans le présent rapport), il vaudrait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mieux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le prévenir à sa source en passant par les mécanismes de gouvernance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entreprises, par exemple en améliorant la notification des informations et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lastRenderedPageBreak/>
        <w:t>la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surveillance en matière d’environnement.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faut chercher dans le cadre des politiques à maximiser les avantages et à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minimiser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les risques des investissements à faible intensité de carbone, en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tenant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compte des spécificités de chaque pays sur le plan social, économique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réglementaire. Pour appuyer les efforts mondiaux de lutte contre les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changements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climatiques, la CNUCED suggère un partenariat mondial pour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créer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des effets de synergie entre la promotion des investissements et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l’atténuation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des changements climatiques et pour dynamiser les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investissements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à faible intensité de carbone, au profit de la croissance et du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développement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durables. Ce partenariat reposerait sur les éléments suivants: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Élaborer des stratégies de promotion des investissements propres</w:t>
      </w:r>
      <w:r w:rsidRPr="00C437D6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faut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7D6">
        <w:rPr>
          <w:rFonts w:ascii="Times New Roman" w:hAnsi="Times New Roman" w:cs="Times New Roman"/>
          <w:sz w:val="28"/>
          <w:szCs w:val="28"/>
          <w:lang w:val="en-US"/>
        </w:rPr>
        <w:t>pour cela un cadre de politique générale propice dans les pays d’accueil (y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compris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des mécanismes de création de marchés) et des programmes de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promotion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efficaces (avec comme fonctions clefs le ciblage des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investisseurs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, la promotion de liens interentreprises et le suivi des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investissements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). Les institutions financières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internationales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et les pays</w:t>
      </w:r>
      <w:r w:rsidRPr="00C43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7D6">
        <w:rPr>
          <w:rFonts w:ascii="Times New Roman" w:hAnsi="Times New Roman" w:cs="Times New Roman"/>
          <w:sz w:val="28"/>
          <w:szCs w:val="28"/>
          <w:lang w:val="en-US"/>
        </w:rPr>
        <w:t>d’origine doivent appuyer les stratégies de promotion des investissements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à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faible intensité de carbone, en particulier par la promotion des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investissements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à l’étranger et par des garanties d’investissement et des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garanties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du risque de crédit.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• </w:t>
      </w:r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Promouvoir la diffusion de technologies propres</w:t>
      </w:r>
      <w:r w:rsidRPr="00C437D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s’agit de mettre en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place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un cadre qui facilite les flux de technologie transfrontières, de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promouvoir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les liens entre les STN et les entreprises locales pour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maximiser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les effets d’entraînement, de renforcer la capacité des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entreprises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locales de s’insérer dans les chaînes mondiales de valeur, de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renforcer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la capacité d’absorption de technologies propres des pays en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développement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, et d’encourager les programmes de partenariat pour la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mise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au point et la diffusion de technologies entre les pays.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Faire en sorte que les AII contribuent à l’atténuation des changements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climatiques</w:t>
      </w:r>
      <w:proofErr w:type="gramEnd"/>
      <w:r w:rsidRPr="00C437D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C437D6">
        <w:rPr>
          <w:rFonts w:ascii="Times New Roman" w:hAnsi="Times New Roman" w:cs="Times New Roman"/>
          <w:sz w:val="28"/>
          <w:szCs w:val="28"/>
          <w:lang w:val="en-US"/>
        </w:rPr>
        <w:t>Ceci suppose l’introduction de dispositions pour ne pas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lastRenderedPageBreak/>
        <w:t>porter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atteinte au climat (par exemple promotion des investissements à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faible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intensité de carbone, exceptions environnementales) dans les futurs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AII,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un accord multilatéral pour assurer la cohérence des AII existants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avec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les nouvelles politiques aux niveaux national et mondial concernant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les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changements climatiques.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Harmoniser la notification des émissions de GES par les entreprises</w:t>
      </w:r>
      <w:r w:rsidRPr="00C437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>Ceci implique d’établir une norme mondiale unique pour la notification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par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les entreprises des émissions de gaz à effet de serre (GES), y compris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notification des opérations et des activités à l’étranger dans le cadre des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chaînes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de valeur, et d’intégrer les meilleures pratiques pour la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notification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des émissions par le biais des mécanismes de réglementation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existants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pour la gouvernance des entreprises (par exemple les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prescriptions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relatives aux cotations en bourse).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Établir </w:t>
      </w:r>
      <w:proofErr w:type="gramStart"/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un</w:t>
      </w:r>
      <w:proofErr w:type="gramEnd"/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centre international d’assistance technique pour une faible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intensité</w:t>
      </w:r>
      <w:proofErr w:type="gramEnd"/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de carbone (L-TAC)</w:t>
      </w:r>
      <w:r w:rsidRPr="00C437D6">
        <w:rPr>
          <w:rFonts w:ascii="Times New Roman" w:hAnsi="Times New Roman" w:cs="Times New Roman"/>
          <w:sz w:val="28"/>
          <w:szCs w:val="28"/>
          <w:lang w:val="en-US"/>
        </w:rPr>
        <w:t>. Ce centre pourrait aider les pays en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développement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, particulièrement les PMA, à formuler et à appliquer des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stratégies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et des plans d’action nationaux pour l’atténuation des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changements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climatiques, et contribuer aussi au renforcement des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capacités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et des institutions. Le centre aiderait les bénéficiaires à trouver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réponses à leurs défis et à leurs aspirations en matière de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développement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, y compris par l’apport d’investissements étrangers à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faible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intensité de carbone et des technologies correspondantes. Le centre</w:t>
      </w:r>
      <w:r w:rsidRPr="00C43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7D6">
        <w:rPr>
          <w:rFonts w:ascii="Times New Roman" w:hAnsi="Times New Roman" w:cs="Times New Roman"/>
          <w:sz w:val="28"/>
          <w:szCs w:val="28"/>
          <w:lang w:val="en-US"/>
        </w:rPr>
        <w:t>mécanismes existants ou nouveaux, y compris auprès des agences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multilatérales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L’investissement </w:t>
      </w:r>
      <w:proofErr w:type="gramStart"/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pour</w:t>
      </w:r>
      <w:proofErr w:type="gramEnd"/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C437D6">
        <w:rPr>
          <w:rFonts w:ascii="Times New Roman" w:hAnsi="Times New Roman" w:cs="Times New Roman"/>
          <w:bCs/>
          <w:sz w:val="28"/>
          <w:szCs w:val="28"/>
          <w:lang w:val="en-US"/>
        </w:rPr>
        <w:t>le développement: les défis de l’avenir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L’évolution de l’univers des STN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le nouveau cadre qui se dessine pour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les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politiques d’investissement impliquent trois grands défis pour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l’investissement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D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pour </w:t>
      </w:r>
      <w:r w:rsidRPr="00C437D6">
        <w:rPr>
          <w:rFonts w:ascii="Times New Roman" w:hAnsi="Times New Roman" w:cs="Times New Roman"/>
          <w:sz w:val="28"/>
          <w:szCs w:val="28"/>
          <w:lang w:val="en-US"/>
        </w:rPr>
        <w:t>le développement: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>• Trouver le juste équilibre dans les politiques (libéralisation ou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réglementation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; droits et obligations de l’État et des investisseurs);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• Promouvoir les interfaces critiques entre l’investissement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le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développement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, par exemple entre investissements étrangers et pauvreté,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les objectifs nationaux de développement;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>• Assurer la cohérence entre les politiques d’investissement aux niveaux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national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et international, et entre les politiques d’investissement et les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autres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politiques publiques.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Tout cela nécessite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nouveau paradigme pour l’investissement et le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développement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et un solide régime pour les investissements internationaux</w:t>
      </w:r>
    </w:p>
    <w:p w:rsidR="00C437D6" w:rsidRPr="00C437D6" w:rsidRDefault="00C437D6" w:rsidP="000742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afin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de promouvoir efficacement le développement durable pour tous.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bCs/>
          <w:i/>
          <w:sz w:val="28"/>
          <w:szCs w:val="28"/>
          <w:lang w:val="en-US"/>
        </w:rPr>
        <w:t>Vue d’ensemble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Tendances </w:t>
      </w:r>
      <w:proofErr w:type="gramStart"/>
      <w:r w:rsidRPr="00C437D6">
        <w:rPr>
          <w:rFonts w:ascii="Times New Roman" w:hAnsi="Times New Roman" w:cs="Times New Roman"/>
          <w:bCs/>
          <w:i/>
          <w:sz w:val="28"/>
          <w:szCs w:val="28"/>
          <w:lang w:val="en-US"/>
        </w:rPr>
        <w:t>et</w:t>
      </w:r>
      <w:proofErr w:type="gramEnd"/>
      <w:r w:rsidRPr="00C437D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perspectives de l’IED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>Les flux mondiaux d’investissement étranger direct (IED) ont commencé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à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se redresser dans la seconde moitié de 2009.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il y a eu au cours de la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première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moitié de 2010 une légère hausse qui a fait naître un optimisme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modeste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pour les perspectives de l’IED dans le court terme (fig. 1). À plus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long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terme, le redressement des flux d’IED devrait s’accélérer (fig. 2). Les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apports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d’IED au niveau mondial devraient dépasser 1 200 milliards de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dollars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en 2010, et atteindre entre 1 300 et 1 500 milliards de dollars en 2011,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puis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1 600 à 2 000 milliards de dollars en 2012. Mais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pèse sur ces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perspectives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des risques et des incertitudes, notamment du fait de la fragilité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la reprise économique mondiale.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L’actuel redressement de l’IED intervient après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repli spectaculaire des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flux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d’IED dans le monde en 2009. Après une contraction de 16 % en 2008,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les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entrées mondiales d’IED ont encore chuté de 37 %, à 1 114 milliards de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dollars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, tandis que les sorties diminuaient de 43 %, à 1 101 milliards de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dollars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>Des modifications importantes ont affecté les caractéristiques de l’IED au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niveau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mondial qui ont précédé la crise mondiale et qui devraient, selon toute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probabilité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, se confirmer à court et à moyen terme. Premièrement, le poids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lastRenderedPageBreak/>
        <w:t>relatif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des pays en développement et des pays en transition en tant que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destinataires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et sources à la fois des flux mondiaux d’IED devrait continuer à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croître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. Ces pays, qui ont absorbé près de la moitié des investissements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étrangers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en 2009, tirent le redressement de l’IED. Deuxièmement, la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poursuite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récemment de la contraction de l’IED dans le secteur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manufacturier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, par rapport à l’IED dans le secteur des services et dans le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secteur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primaire, ne s’inversera probablement pas. Troisièmement, malgré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son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réel impact sur l’IED, la crise n’a pas mis fin à la mondialisation</w:t>
      </w:r>
    </w:p>
    <w:p w:rsidR="00C437D6" w:rsidRPr="00C437D6" w:rsidRDefault="00C437D6" w:rsidP="000742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74277">
        <w:rPr>
          <w:rFonts w:ascii="Times New Roman" w:hAnsi="Times New Roman" w:cs="Times New Roman"/>
          <w:sz w:val="28"/>
          <w:szCs w:val="28"/>
          <w:lang w:val="en-US"/>
        </w:rPr>
        <w:t>croissante</w:t>
      </w:r>
      <w:proofErr w:type="gramEnd"/>
      <w:r w:rsidRPr="00074277">
        <w:rPr>
          <w:rFonts w:ascii="Times New Roman" w:hAnsi="Times New Roman" w:cs="Times New Roman"/>
          <w:sz w:val="28"/>
          <w:szCs w:val="28"/>
          <w:lang w:val="en-US"/>
        </w:rPr>
        <w:t xml:space="preserve"> de la production.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L’IED: vers </w:t>
      </w:r>
      <w:proofErr w:type="gramStart"/>
      <w:r w:rsidRPr="00C437D6">
        <w:rPr>
          <w:rFonts w:ascii="Times New Roman" w:hAnsi="Times New Roman" w:cs="Times New Roman"/>
          <w:bCs/>
          <w:i/>
          <w:sz w:val="28"/>
          <w:szCs w:val="28"/>
          <w:lang w:val="en-US"/>
        </w:rPr>
        <w:t>un</w:t>
      </w:r>
      <w:proofErr w:type="gramEnd"/>
      <w:r w:rsidRPr="00C437D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redressement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Toutes les </w:t>
      </w:r>
      <w:r w:rsidRPr="00C437D6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composantes des flux d’IED</w:t>
      </w:r>
      <w:r w:rsidRPr="00C437D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C437D6">
        <w:rPr>
          <w:rFonts w:ascii="Times New Roman" w:hAnsi="Times New Roman" w:cs="Times New Roman"/>
          <w:sz w:val="28"/>
          <w:szCs w:val="28"/>
          <w:lang w:val="en-US"/>
        </w:rPr>
        <w:t>− investissements en actions,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prêts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intragroupe et réinvestissement des bénéfices − se sont repliées en 2009.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La diminution des opérations de fusions-acquisitions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internationales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et le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recul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des bénéfices des filiales étrangères ont fortement pesé sur les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investissements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en actions et sur le réinvestissement des bénéfices. Mais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grâce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à l’amélioration des profits des entreprises, il y a eu un modeste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redressement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du réinvestissement des bénéfices dans la seconde moitié de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2009. Au premier trimestre de 2010, l’IED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été plus dynamique. Les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fusions-acquisitions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internationales − qui ne représentaient pas plus de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>250 milliards de dollars en 2009 − ont bondi de 36 % au cours des cinq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premiers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mois de 2010 par rapport à la même période de l’année précédente.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Le repli des </w:t>
      </w:r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fusions-acquisitions </w:t>
      </w:r>
      <w:proofErr w:type="gramStart"/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internationales</w:t>
      </w:r>
      <w:proofErr w:type="gramEnd"/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C437D6">
        <w:rPr>
          <w:rFonts w:ascii="Times New Roman" w:hAnsi="Times New Roman" w:cs="Times New Roman"/>
          <w:sz w:val="28"/>
          <w:szCs w:val="28"/>
          <w:lang w:val="en-US"/>
        </w:rPr>
        <w:t>a été la principale raison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du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recul de l’IED en 2009. Les acquisitions à l’étranger ont diminué de 34 %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(65 % en valeur), alors que le nombre des </w:t>
      </w:r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projets d’IED pour la création de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capacités</w:t>
      </w:r>
      <w:proofErr w:type="gramEnd"/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C437D6">
        <w:rPr>
          <w:rFonts w:ascii="Times New Roman" w:hAnsi="Times New Roman" w:cs="Times New Roman"/>
          <w:sz w:val="28"/>
          <w:szCs w:val="28"/>
          <w:lang w:val="en-US"/>
        </w:rPr>
        <w:t>n’a diminué que de 15 %. Les fusions-acquisitions sont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généralement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plus sensibles à la conjoncture financière que les projets de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création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de capacités, parce que les turbulences des marchés boursiers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empêchent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de voir les signaux donnés par les prix sur lesquels reposent ces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opérations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et parce que les cycles d’investissement pour les fusionsacquisitions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lastRenderedPageBreak/>
        <w:t>internationales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sont généralement plus courts que ceux des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investissements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de création de capacités. La crise mondiale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asséché le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financement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disponible pour l’IED et réduit le nombre des acquisitions. Mais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la baisse des cours des actions a pesé sur la valeur des transactions, elle a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aussi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créé, avec la restructuration mondiale, des opportunités pour les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sociétés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transnationales ayant encore accès à des moyens de financement. Si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les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flux d’IED par ces deux modes montrent des signes de redressement en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2010, les opérations de fusions-acquisitions rebondissent plus rapidement.</w:t>
      </w:r>
      <w:proofErr w:type="gramEnd"/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L’IED a reculé dans les trois secteurs − </w:t>
      </w:r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secteur primaire, secteur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manufacturier</w:t>
      </w:r>
      <w:proofErr w:type="gramEnd"/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et secteur des services</w:t>
      </w:r>
      <w:r w:rsidRPr="00C437D6">
        <w:rPr>
          <w:rFonts w:ascii="Times New Roman" w:hAnsi="Times New Roman" w:cs="Times New Roman"/>
          <w:sz w:val="28"/>
          <w:szCs w:val="28"/>
          <w:lang w:val="en-US"/>
        </w:rPr>
        <w:t>. Les industries cycliques comme la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construction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automobile et les industries chimiques n’ont pas été les seules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victimes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. L’IED dans les branches de production ayant initialement résisté à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crise − y compris les produits pharmaceutiques et l’industrie alimentaire −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aussi souffert en 2009. De rares secteurs industriels ont plus reçu d’IED en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2009 qu’en 2008: distribution d’électricité, de gaz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d’eau, matériel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électronique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>, construction et télécommunications. Globalement, c’est l’IED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le secteur manufacturier qui a été le plus touché, avec un effondrement</w:t>
      </w:r>
      <w:r w:rsidRPr="00C43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7D6">
        <w:rPr>
          <w:rFonts w:ascii="Times New Roman" w:hAnsi="Times New Roman" w:cs="Times New Roman"/>
          <w:sz w:val="28"/>
          <w:szCs w:val="28"/>
          <w:lang w:val="en-US"/>
        </w:rPr>
        <w:t>de 77 % des fusions-acquisitions internationales comparé à 2008. Le repli de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opérations dans le secteur primaire et dans le secteur des services a été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moins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marqué − -47 % et -57 %, respectivement. Le poids relatif de ces deux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secteurs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dans les fusions-acquisitions internationales au niveau mondial a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donc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continué à croître, aux dépens du secteur manufacturier. Mais certaines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activités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dans ces secteurs ont elles aussi été très touchées: ainsi, la valeur des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opérations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de fusions-acquisitions internationales dans les services financiers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s’est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effondrée de 87 %.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L’IED des </w:t>
      </w:r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fonds privés de capital-investissement </w:t>
      </w:r>
      <w:r w:rsidRPr="00C437D6">
        <w:rPr>
          <w:rFonts w:ascii="Times New Roman" w:hAnsi="Times New Roman" w:cs="Times New Roman"/>
          <w:sz w:val="28"/>
          <w:szCs w:val="28"/>
          <w:lang w:val="en-US"/>
        </w:rPr>
        <w:t>a diminué de 65 % en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valeur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, alors que celui des </w:t>
      </w:r>
      <w:r w:rsidRPr="00C437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fonds souverains </w:t>
      </w:r>
      <w:r w:rsidRPr="00C437D6">
        <w:rPr>
          <w:rFonts w:ascii="Times New Roman" w:hAnsi="Times New Roman" w:cs="Times New Roman"/>
          <w:sz w:val="28"/>
          <w:szCs w:val="28"/>
          <w:lang w:val="en-US"/>
        </w:rPr>
        <w:t>a progressé de 15 % en 2009.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>Ces fonds représentaient ensemble plus du dixième des flux mondiaux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D6">
        <w:rPr>
          <w:rFonts w:ascii="Times New Roman" w:hAnsi="Times New Roman" w:cs="Times New Roman"/>
          <w:sz w:val="28"/>
          <w:szCs w:val="28"/>
          <w:lang w:val="en-US"/>
        </w:rPr>
        <w:t>d’IED, contre seulement 7 % en 2000 − mais moins qu’en 2007, lorsqu’ils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avaient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culminé à 22 %. L’IED des fonds privés de capital-investissement a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lastRenderedPageBreak/>
        <w:t>souffert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à la fois d’une moindre collecte de fonds et de l’effondrement du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marché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des rachats de sociétés par effet de levier. La valeur des fusionsacquisitions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internationales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effectuées par des fonds privés de capitalinvestissement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tombée en 2009 à 106 milliards de dollars, soit moins du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quart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de leur valeur record de 2007. Les opérations d’ampleur plus modeste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ont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néanmoins bien résisté, et le nombre des acquisitions impliquant des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fonds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privés de capital-investissement a augmenté. L’activité de capitalinvestissement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montre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des signes de redressement en 2010, mais les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réglementations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envisagées dans l’Union européenne (UE) pourraient bien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peser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sur les opérations futures. Le financement des fonds souverains a lui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aussi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reculé en 2009, à cause de la baisse des prix des produits de base et des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excédents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commerciaux. Mais l’IED venant de ces fonds n’a pas diminué,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grâce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à la croissance relativement robuste des pays émergents qui détiennent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fonds. Les nouveaux investissements sont allés au secteur primaire </w:t>
      </w: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aux</w:t>
      </w:r>
    </w:p>
    <w:p w:rsidR="00C437D6" w:rsidRPr="00C437D6" w:rsidRDefault="00C437D6" w:rsidP="0007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37D6">
        <w:rPr>
          <w:rFonts w:ascii="Times New Roman" w:hAnsi="Times New Roman" w:cs="Times New Roman"/>
          <w:sz w:val="28"/>
          <w:szCs w:val="28"/>
          <w:lang w:val="en-US"/>
        </w:rPr>
        <w:t>industries</w:t>
      </w:r>
      <w:proofErr w:type="gramEnd"/>
      <w:r w:rsidRPr="00C437D6">
        <w:rPr>
          <w:rFonts w:ascii="Times New Roman" w:hAnsi="Times New Roman" w:cs="Times New Roman"/>
          <w:sz w:val="28"/>
          <w:szCs w:val="28"/>
          <w:lang w:val="en-US"/>
        </w:rPr>
        <w:t xml:space="preserve"> moins vulnérables à la conjoncture financière, ainsi qu’aux régions</w:t>
      </w:r>
    </w:p>
    <w:p w:rsidR="00C437D6" w:rsidRPr="00C437D6" w:rsidRDefault="00C437D6" w:rsidP="000742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7D6">
        <w:rPr>
          <w:rFonts w:ascii="Times New Roman" w:hAnsi="Times New Roman" w:cs="Times New Roman"/>
          <w:sz w:val="28"/>
          <w:szCs w:val="28"/>
        </w:rPr>
        <w:t>en développement.</w:t>
      </w:r>
    </w:p>
    <w:sectPr w:rsidR="00C437D6" w:rsidRPr="00C437D6" w:rsidSect="00BE5C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7A" w:rsidRDefault="00DD2F7A" w:rsidP="00074277">
      <w:pPr>
        <w:spacing w:after="0" w:line="240" w:lineRule="auto"/>
      </w:pPr>
      <w:r>
        <w:separator/>
      </w:r>
    </w:p>
  </w:endnote>
  <w:endnote w:type="continuationSeparator" w:id="0">
    <w:p w:rsidR="00DD2F7A" w:rsidRDefault="00DD2F7A" w:rsidP="0007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925119"/>
      <w:docPartObj>
        <w:docPartGallery w:val="Page Numbers (Bottom of Page)"/>
        <w:docPartUnique/>
      </w:docPartObj>
    </w:sdtPr>
    <w:sdtContent>
      <w:p w:rsidR="00074277" w:rsidRDefault="000742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6FB">
          <w:rPr>
            <w:noProof/>
          </w:rPr>
          <w:t>1</w:t>
        </w:r>
        <w:r>
          <w:fldChar w:fldCharType="end"/>
        </w:r>
      </w:p>
    </w:sdtContent>
  </w:sdt>
  <w:p w:rsidR="00074277" w:rsidRDefault="000742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7A" w:rsidRDefault="00DD2F7A" w:rsidP="00074277">
      <w:pPr>
        <w:spacing w:after="0" w:line="240" w:lineRule="auto"/>
      </w:pPr>
      <w:r>
        <w:separator/>
      </w:r>
    </w:p>
  </w:footnote>
  <w:footnote w:type="continuationSeparator" w:id="0">
    <w:p w:rsidR="00DD2F7A" w:rsidRDefault="00DD2F7A" w:rsidP="00074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7D6"/>
    <w:rsid w:val="00074277"/>
    <w:rsid w:val="00BE5C9E"/>
    <w:rsid w:val="00C437D6"/>
    <w:rsid w:val="00DD2F7A"/>
    <w:rsid w:val="00E6372E"/>
    <w:rsid w:val="00F0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77"/>
  </w:style>
  <w:style w:type="paragraph" w:styleId="a5">
    <w:name w:val="footer"/>
    <w:basedOn w:val="a"/>
    <w:link w:val="a6"/>
    <w:uiPriority w:val="99"/>
    <w:unhideWhenUsed/>
    <w:rsid w:val="0007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2559</Words>
  <Characters>14588</Characters>
  <Application>Microsoft Office Word</Application>
  <DocSecurity>0</DocSecurity>
  <Lines>121</Lines>
  <Paragraphs>34</Paragraphs>
  <ScaleCrop>false</ScaleCrop>
  <Company/>
  <LinksUpToDate>false</LinksUpToDate>
  <CharactersWithSpaces>17113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dcterms:created xsi:type="dcterms:W3CDTF">2012-04-14T17:42:00Z</dcterms:created>
  <dcterms:modified xsi:type="dcterms:W3CDTF">2015-12-08T14:40:00Z</dcterms:modified>
</cp:coreProperties>
</file>