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right"/>
        <w:spacing w:lineRule="auto" w:line="240" w:after="0"/>
        <w:rPr>
          <w:color w:val="333333"/>
          <w:sz w:val="24"/>
          <w:szCs w:val="24"/>
          <w:rFonts w:ascii="Verdana" w:eastAsia="Verdana" w:hAnsi="Verdana" w:cs="Verdana"/>
        </w:rPr>
      </w:pPr>
      <w:r>
        <w:fldChar w:fldCharType="begin"/>
      </w:r>
      <w:r>
        <w:instrText xml:space="preserve">HYPERLINK "https://www.law.cornell.edu/cfr/text/19/part-127/subpart-D"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v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| next </w:t>
      </w: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 xml:space="preserve">§ 128.0 Scope.</w:t>
      </w:r>
    </w:p>
    <w:p>
      <w:pPr>
        <w:spacing w:lineRule="auto" w:line="24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This part sets forth requirements and procedures for the clearance of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imported merchandise carried by express consignment operators and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carriers, including couriers, under special procedures. </w:t>
      </w:r>
    </w:p>
    <w:p>
      <w:pPr>
        <w:jc w:val="right"/>
        <w:spacing w:lineRule="auto" w:line="240" w:after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prev next </w:t>
      </w: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 xml:space="preserve">§ 128.1 Definitions.</w:t>
      </w:r>
    </w:p>
    <w:p>
      <w:pPr>
        <w:spacing w:lineRule="auto" w:line="24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For the purpose of this part the following definitions shall apply: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(a)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Express consignment operator or carrier.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An “express consignment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operator or carrier” is an entity operating in any mode or intermodally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moving </w:t>
      </w:r>
      <w:r>
        <w:fldChar w:fldCharType="begin"/>
      </w:r>
      <w:r>
        <w:instrText xml:space="preserve">HYPERLINK "https://www.law.cornell.edu/definitions/index.php?width=840&amp;height=800&amp;iframe=true&amp;def_id=e14b653d0ced8c75d84a89e2f36c4da1&amp;term_occur=999&amp;term_src=Title:19:Chapter:I:Part:128:Subpart:A:128.1"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by special express commercial service under </w:t>
      </w:r>
      <w:r>
        <w:fldChar w:fldCharType="begin"/>
      </w:r>
      <w:r>
        <w:instrText xml:space="preserve">HYPERLINK "https://www.law.cornell.edu/definitions/index.php?width=840&amp;height=800&amp;iframe=true&amp;def_id=e589ed6d213130f347f91124a0737301&amp;term_occur=999&amp;term_src=Title:19:Chapter:I:Part:128:Subpart:A:128.1"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l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l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y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d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d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v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l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. Its services are offered to the public under advertised,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reliable timely delivery on a door-to-door basis. An express consignment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operator assumes liability to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for the articles in the same manner as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if it is the sole carrier.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(b)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>Cargo.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“Cargo” means any and all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imported into the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territory of the United States by an </w:t>
      </w:r>
      <w:r>
        <w:fldChar w:fldCharType="begin"/>
      </w:r>
      <w:r>
        <w:instrText xml:space="preserve">HYPERLINK "https://www.law.cornell.edu/definitions/index.php?width=840&amp;height=800&amp;iframe=true&amp;def_id=1051bebb84a76e3e20d6bdca3c39378f&amp;term_occur=999&amp;term_src=Title:19:Chapter:I:Part:128:Subpart:A:128.1"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x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whether manifested, accompanied, or unaccompanied.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(c)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Courier shipment.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 “courier shipment” is an accompanied express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consignment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(d)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>Hub.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 “hub” is a separate, unique, single purpose facility normally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operating outside of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operating hours approved by the </w:t>
      </w:r>
      <w:r>
        <w:fldChar w:fldCharType="begin"/>
      </w:r>
      <w:r>
        <w:instrText xml:space="preserve">HYPERLINK "https://www.law.cornell.edu/definitions/index.php?width=840&amp;height=800&amp;iframe=true&amp;def_id=7c601b527c4442fdda941ef606ab2fe6&amp;term_occur=999&amp;term_src=Title:19:Chapter:I:Part:128:Subpart:A:128.1"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d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for entry filing, examination, and release of express consignment shipments.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(e)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Express consignment carrier facility.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An “express consignment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carrier facility” is a separate or shared specialized facility approved by the </w:t>
      </w:r>
      <w:r>
        <w:fldChar w:fldCharType="begin"/>
      </w:r>
      <w:r>
        <w:instrText xml:space="preserve">HYPERLINK "https://www.law.cornell.edu/definitions/index.php?width=840&amp;height=800&amp;iframe=true&amp;def_id=7c601b527c4442fdda941ef606ab2fe6&amp;term_occur=999&amp;term_src=Title:19:Chapter:I:Part:128:Subpart:A:128.1"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d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solely for the examination and release of express consignment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shipments.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(f)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Closely integrated administrative control.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The term “closely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integrated administrative control” means operations must be sufficiently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integrated at both ends of the service (i.e., pick-up and delivery) so that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express consignment company can exercise a high degree of control over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the shipments, particularly in regard to the reliability of information supplied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for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purposes. Such control would be indicated by substantial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common ownership between the local company and the foreign affiliate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and/or by a very close contractual relationship between the local company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and its foreign affiliate(s) (</w:t>
      </w:r>
      <w:r>
        <w:rPr>
          <w:rtl w:val="0"/>
          <w:i w:val="1"/>
          <w:color w:val="333333"/>
          <w:sz w:val="24"/>
          <w:szCs w:val="24"/>
          <w:rFonts w:ascii="Verdana" w:eastAsia="Verdana" w:hAnsi="Verdana" w:cs="Verdana"/>
        </w:rPr>
        <w:t>e.g.,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 franchise arrangement).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(g)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>Reimbursable.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“Reimbursable” means all normal costs incurred at an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express consignment operator's </w:t>
      </w:r>
      <w:r>
        <w:fldChar w:fldCharType="begin"/>
      </w:r>
      <w:r>
        <w:instrText xml:space="preserve">HYPERLINK "https://www.law.cornell.edu/definitions/index.php?width=840&amp;height=800&amp;iframe=true&amp;def_id=f11e0ba92ef6d67b516dfcdabb183532&amp;term_occur=999&amp;term_src=Title:19:Chapter:I:Part:128:Subpart:A:128.1"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b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or an </w:t>
      </w:r>
      <w:r>
        <w:fldChar w:fldCharType="begin"/>
      </w:r>
      <w:r>
        <w:instrText xml:space="preserve">HYPERLINK "https://www.law.cornell.edu/definitions/index.php?width=840&amp;height=800&amp;iframe=true&amp;def_id=9fa6acc67beeca1a7b7ea5b2b8c4098b&amp;term_occur=999&amp;term_src=Title:19:Chapter:I:Part:128:Subpart:A:128.1"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x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l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y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that are required to be reimbursed to the Government. </w:t>
      </w:r>
    </w:p>
    <w:p>
      <w:pPr>
        <w:jc w:val="right"/>
        <w:spacing w:lineRule="auto" w:line="240" w:after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prev | </w:t>
      </w:r>
      <w:r>
        <w:fldChar w:fldCharType="begin"/>
      </w:r>
      <w:r>
        <w:instrText xml:space="preserve">HYPERLINK "https://www.law.cornell.edu/cfr/text/19/128.12"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x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</w:p>
    <w:p>
      <w:pPr>
        <w:spacing w:lineRule="auto" w:line="240" w:after="0"/>
        <w:rPr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0"/>
        <w:rPr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0"/>
        <w:rPr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0"/>
        <w:rPr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 xml:space="preserve">§ 128.11 Express consignment carrier application </w:t>
      </w: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>process.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(a)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Facility application.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Requests for approval of an express consignment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carrier or </w:t>
      </w:r>
      <w:r>
        <w:fldChar w:fldCharType="begin"/>
      </w:r>
      <w:r>
        <w:instrText xml:space="preserve">HYPERLINK "https://www.law.cornell.edu/definitions/index.php?width=840&amp;height=800&amp;iframe=true&amp;def_id=f11e0ba92ef6d67b516dfcdabb183532&amp;term_occur=999&amp;term_src=Title:19:Chapter:I:Part:128:Subpart:B:128.11"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b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facility must be in writing to the </w:t>
      </w:r>
      <w:r>
        <w:fldChar w:fldCharType="begin"/>
      </w:r>
      <w:r>
        <w:instrText xml:space="preserve">HYPERLINK "https://www.law.cornell.edu/definitions/index.php?width=840&amp;height=800&amp;iframe=true&amp;def_id=7c601b527c4442fdda941ef606ab2fe6&amp;term_occur=999&amp;term_src=Title:19:Chapter:I:Part:128:Subpart:B:128.11"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d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(b)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Application contents.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The application for approval of an express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consignment carrier or </w:t>
      </w:r>
      <w:r>
        <w:fldChar w:fldCharType="begin"/>
      </w:r>
      <w:r>
        <w:instrText xml:space="preserve">HYPERLINK "https://www.law.cornell.edu/definitions/index.php?width=840&amp;height=800&amp;iframe=true&amp;def_id=f11e0ba92ef6d67b516dfcdabb183532&amp;term_occur=999&amp;term_src=Title:19:Chapter:I:Part:128:Subpart:B:128.11"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b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facility must include the following: </w:t>
      </w:r>
    </w:p>
    <w:p>
      <w:pPr>
        <w:spacing w:lineRule="auto" w:line="240" w:after="150"/>
        <w:ind w:left="24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(1)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 full description of the international </w:t>
      </w:r>
      <w:r>
        <w:fldChar w:fldCharType="begin"/>
      </w:r>
      <w:r>
        <w:instrText xml:space="preserve">HYPERLINK "https://www.law.cornell.edu/definitions/index.php?width=840&amp;height=800&amp;iframe=true&amp;def_id=e14b653d0ced8c75d84a89e2f36c4da1&amp;term_occur=999&amp;term_src=Title:19:Chapter:I:Part:128:Subpart:B:128.11"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facilities, including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blueprints, floor plans and facility location(s). </w:t>
      </w:r>
    </w:p>
    <w:p>
      <w:pPr>
        <w:spacing w:lineRule="auto" w:line="240" w:after="150"/>
        <w:ind w:left="24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(2)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 statement of the general character of the express consignment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operations that includes, in the case of an </w:t>
      </w:r>
      <w:r>
        <w:fldChar w:fldCharType="begin"/>
      </w:r>
      <w:r>
        <w:instrText xml:space="preserve">HYPERLINK "https://www.law.cornell.edu/definitions/index.php?width=840&amp;height=800&amp;iframe=true&amp;def_id=9fa6acc67beeca1a7b7ea5b2b8c4098b&amp;term_occur=999&amp;term_src=Title:19:Chapter:I:Part:128:Subpart:B:128.11"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x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l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y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a list of all carriers or operators that intend to use the facility. </w:t>
      </w:r>
    </w:p>
    <w:p>
      <w:pPr>
        <w:spacing w:lineRule="auto" w:line="240" w:after="150"/>
        <w:ind w:left="24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(3)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An estimate of volume of transactions by: </w:t>
      </w:r>
    </w:p>
    <w:p>
      <w:pPr>
        <w:spacing w:lineRule="auto" w:line="240" w:after="150"/>
        <w:ind w:left="48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(i)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Formal entries. </w:t>
      </w:r>
    </w:p>
    <w:p>
      <w:pPr>
        <w:spacing w:lineRule="auto" w:line="240" w:after="150"/>
        <w:ind w:left="48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(ii)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Informal entries. </w:t>
      </w:r>
    </w:p>
    <w:p>
      <w:pPr>
        <w:spacing w:lineRule="auto" w:line="240" w:after="150"/>
        <w:ind w:left="48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(iii)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not requiring entry (see </w:t>
      </w:r>
      <w:r>
        <w:fldChar w:fldCharType="begin"/>
      </w:r>
      <w:r>
        <w:instrText xml:space="preserve">HYPERLINK "https://www.law.cornell.edu/cfr/text/19/128.23"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§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this part). </w:t>
      </w:r>
    </w:p>
    <w:p>
      <w:pPr>
        <w:spacing w:lineRule="auto" w:line="240" w:after="150"/>
        <w:ind w:left="24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(4)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An application processing fee, as set forth in </w:t>
      </w:r>
      <w:r>
        <w:fldChar w:fldCharType="begin"/>
      </w:r>
      <w:r>
        <w:instrText xml:space="preserve">HYPERLINK "https://www.law.cornell.edu/cfr/text/19/128.13"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§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. </w:t>
      </w:r>
    </w:p>
    <w:p>
      <w:pPr>
        <w:spacing w:lineRule="auto" w:line="240" w:after="150"/>
        <w:ind w:left="24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(5)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 list of principal company officials or officers. </w:t>
      </w:r>
    </w:p>
    <w:p>
      <w:pPr>
        <w:spacing w:lineRule="auto" w:line="240" w:after="150"/>
        <w:ind w:left="24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(6)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 projected start-up date, and days and hours of operation. </w:t>
      </w:r>
    </w:p>
    <w:p>
      <w:pPr>
        <w:spacing w:lineRule="auto" w:line="240" w:after="150"/>
        <w:ind w:left="24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(7)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An agreement that the express consignment entity will: </w:t>
      </w:r>
    </w:p>
    <w:p>
      <w:pPr>
        <w:spacing w:lineRule="auto" w:line="240" w:after="150"/>
        <w:ind w:left="48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(i)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Ensure that all </w:t>
      </w:r>
      <w:r>
        <w:fldChar w:fldCharType="begin"/>
      </w:r>
      <w:r>
        <w:instrText xml:space="preserve">HYPERLINK "https://www.law.cornell.edu/definitions/index.php?width=840&amp;height=800&amp;iframe=true&amp;def_id=e14b653d0ced8c75d84a89e2f36c4da1&amp;term_occur=999&amp;term_src=Title:19:Chapter:I:Part:128:Subpart:B:128.11"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will be processed in the CBP Automated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Commercial Environment (ACE) or any other CBP-authorized electronic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data interchange system, and associated applications including, but not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limited to, Automated Broker Interface (ABI), Automated Manifest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System (AMS), </w:t>
      </w:r>
      <w:r>
        <w:fldChar w:fldCharType="begin"/>
      </w:r>
      <w:r>
        <w:instrText xml:space="preserve">HYPERLINK "https://www.law.cornell.edu/definitions/index.php?width=840&amp;height=800&amp;iframe=true&amp;def_id=e14b653d0ced8c75d84a89e2f36c4da1&amp;term_occur=999&amp;term_src=Title:19:Chapter:I:Part:128:Subpart:B:128.11"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Selectivity, and Statement Processing. </w:t>
      </w:r>
    </w:p>
    <w:p>
      <w:pPr>
        <w:spacing w:lineRule="auto" w:line="240" w:after="150"/>
        <w:ind w:left="48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(ii)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Sign and implement a narcotics enforcement agreement with U.S.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Immigration and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Enforcement (ICE). </w:t>
      </w:r>
    </w:p>
    <w:p>
      <w:pPr>
        <w:spacing w:lineRule="auto" w:line="240" w:after="150"/>
        <w:ind w:left="48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(iii)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Provide, without cost to the Government, adequate office space,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equipment, furnishings, supplies and security as per CBP's specifications. </w:t>
      </w:r>
    </w:p>
    <w:p>
      <w:pPr>
        <w:spacing w:lineRule="auto" w:line="240" w:after="150"/>
        <w:ind w:left="48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(iv)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If the entity is an </w:t>
      </w:r>
      <w:r>
        <w:fldChar w:fldCharType="begin"/>
      </w:r>
      <w:r>
        <w:instrText xml:space="preserve">HYPERLINK "https://www.law.cornell.edu/definitions/index.php?width=840&amp;height=800&amp;iframe=true&amp;def_id=9fa6acc67beeca1a7b7ea5b2b8c4098b&amp;term_occur=999&amp;term_src=Title:19:Chapter:I:Part:128:Subpart:B:128.11"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x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l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y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provide to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and Border Protection, Revenue Division/Attention: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Reimbursables, 6650 Telecom Drive, Suite 100, Indianapolis, Indiana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46278, at the beginning of each calendar quarter, a list of all carriers or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operators currently using the facility and notify that office whenever a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new carrier or operator begins to use the facility or whenever a carrier or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operator ceases to use the facility. </w:t>
      </w:r>
    </w:p>
    <w:p>
      <w:pPr>
        <w:spacing w:lineRule="auto" w:line="240" w:after="150"/>
        <w:ind w:left="48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(v)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If the entity is a </w:t>
      </w:r>
      <w:r>
        <w:fldChar w:fldCharType="begin"/>
      </w:r>
      <w:r>
        <w:instrText xml:space="preserve">HYPERLINK "https://www.law.cornell.edu/definitions/index.php?width=840&amp;height=800&amp;iframe=true&amp;def_id=f11e0ba92ef6d67b516dfcdabb183532&amp;term_occur=999&amp;term_src=Title:19:Chapter:I:Part:128:Subpart:B:128.11"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b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facility or an express consignment carrier,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timely pay all applicable processing fees prescribed in </w:t>
      </w:r>
      <w:r>
        <w:fldChar w:fldCharType="begin"/>
      </w:r>
      <w:r>
        <w:instrText xml:space="preserve">HYPERLINK "https://www.law.cornell.edu/cfr/text/19/24.23"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§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this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chapter.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(c)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Changes or alterations to facility.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All proposed changes or alterations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to an existing approved international </w:t>
      </w:r>
      <w:r>
        <w:fldChar w:fldCharType="begin"/>
      </w:r>
      <w:r>
        <w:instrText xml:space="preserve">HYPERLINK "https://www.law.cornell.edu/definitions/index.php?width=840&amp;height=800&amp;iframe=true&amp;def_id=e14b653d0ced8c75d84a89e2f36c4da1&amp;term_occur=999&amp;term_src=Title:19:Chapter:I:Part:128:Subpart:B:128.11"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processing facility must be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submitted in writing to the </w:t>
      </w:r>
      <w:r>
        <w:fldChar w:fldCharType="begin"/>
      </w:r>
      <w:r>
        <w:instrText xml:space="preserve">HYPERLINK "https://www.law.cornell.edu/definitions/index.php?width=840&amp;height=800&amp;iframe=true&amp;def_id=7c601b527c4442fdda941ef606ab2fe6&amp;term_occur=999&amp;term_src=Title:19:Chapter:I:Part:128:Subpart:B:128.11"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d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for approval prior to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implementation thereof and must contain the information specified in </w:t>
      </w:r>
      <w:r>
        <w:fldChar w:fldCharType="begin"/>
      </w:r>
      <w:r>
        <w:instrText xml:space="preserve">HYPERLINK "https://www.law.cornell.edu/cfr/text/19/128.11#b"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(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b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)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this section. Failure to obtain CBP approval by an </w:t>
      </w:r>
      <w:r>
        <w:fldChar w:fldCharType="begin"/>
      </w:r>
      <w:r>
        <w:instrText xml:space="preserve">HYPERLINK "https://www.law.cornell.edu/definitions/index.php?width=840&amp;height=800&amp;iframe=true&amp;def_id=1051bebb84a76e3e20d6bdca3c39378f&amp;term_occur=999&amp;term_src=Title:19:Chapter:I:Part:128:Subpart:B:128.11"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x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for any modifications to the international </w:t>
      </w:r>
      <w:r>
        <w:fldChar w:fldCharType="begin"/>
      </w:r>
      <w:r>
        <w:instrText xml:space="preserve">HYPERLINK "https://www.law.cornell.edu/definitions/index.php?width=840&amp;height=800&amp;iframe=true&amp;def_id=e14b653d0ced8c75d84a89e2f36c4da1&amp;term_occur=999&amp;term_src=Title:19:Chapter:I:Part:128:Subpart:B:128.11"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processing area may result in the suspension of approval as an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express consignment facility or </w:t>
      </w:r>
      <w:r>
        <w:fldChar w:fldCharType="begin"/>
      </w:r>
      <w:r>
        <w:instrText xml:space="preserve">HYPERLINK "https://www.law.cornell.edu/definitions/index.php?width=840&amp;height=800&amp;iframe=true&amp;def_id=f11e0ba92ef6d67b516dfcdabb183532&amp;term_occur=999&amp;term_src=Title:19:Chapter:I:Part:128:Subpart:B:128.11"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b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and the procedures for processing </w:t>
      </w:r>
      <w:r>
        <w:fldChar w:fldCharType="begin"/>
      </w:r>
      <w:r>
        <w:instrText xml:space="preserve">HYPERLINK "https://www.law.cornell.edu/definitions/index.php?width=840&amp;height=800&amp;iframe=true&amp;def_id=e14b653d0ced8c75d84a89e2f36c4da1&amp;term_occur=999&amp;term_src=Title:19:Chapter:I:Part:128:Subpart:B:128.11"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contained in this part. </w:t>
      </w:r>
    </w:p>
    <w:p>
      <w:pPr>
        <w:spacing w:lineRule="auto" w:line="240" w:after="6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[T.D. 89-53, </w:t>
      </w:r>
      <w:r>
        <w:fldChar w:fldCharType="begin"/>
      </w:r>
      <w:r>
        <w:instrText xml:space="preserve">HYPERLINK "https://www.law.cornell.edu/rio/citation/54_FR_19566"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May 8, 1989, as amended by T.D. 93-66, </w:t>
      </w:r>
      <w:r>
        <w:fldChar w:fldCharType="begin"/>
      </w:r>
      <w:r>
        <w:instrText xml:space="preserve">HYPERLINK "https://www.law.cornell.edu/rio/citation/58_FR_44130"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0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Aug. 19, 1993; CBP Dec. 07-29, </w:t>
      </w:r>
      <w:r>
        <w:fldChar w:fldCharType="begin"/>
      </w:r>
      <w:r>
        <w:instrText xml:space="preserve">HYPERLINK "https://www.law.cornell.edu/rio/citation/72_FR_31725"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7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7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June 8, 2007; CBP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Dec. 15-14, </w:t>
      </w:r>
      <w:r>
        <w:fldChar w:fldCharType="begin"/>
      </w:r>
      <w:r>
        <w:instrText xml:space="preserve">HYPERLINK "https://www.law.cornell.edu/rio/citation/80_FR_61287"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0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7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Oct. 13, 2015] </w:t>
      </w:r>
    </w:p>
    <w:p>
      <w:pPr>
        <w:jc w:val="right"/>
        <w:shd w:val="clear" w:fill="FFFFFF"/>
        <w:spacing w:lineRule="auto" w:line="240" w:after="0"/>
        <w:rPr>
          <w:color w:val="333333"/>
          <w:sz w:val="24"/>
          <w:szCs w:val="24"/>
          <w:rFonts w:ascii="Verdana" w:eastAsia="Verdana" w:hAnsi="Verdana" w:cs="Verdana"/>
        </w:rPr>
      </w:pPr>
      <w:r>
        <w:fldChar w:fldCharType="begin"/>
      </w:r>
      <w:r>
        <w:instrText xml:space="preserve">HYPERLINK "https://www.law.cornell.edu/cfr/text/19/128.11"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v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| </w:t>
      </w:r>
      <w:r>
        <w:fldChar w:fldCharType="begin"/>
      </w:r>
      <w:r>
        <w:instrText xml:space="preserve">HYPERLINK "https://www.law.cornell.edu/cfr/text/19/128.13"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x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</w:p>
    <w:p>
      <w:pPr>
        <w:shd w:val="clear" w:fill="FFFFFF"/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 xml:space="preserve">§ 128.12 Application approval/denial and suspension of </w:t>
      </w: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 xml:space="preserve">operating privileges.</w:t>
      </w:r>
    </w:p>
    <w:p>
      <w:pPr>
        <w:shd w:val="clear" w:fill="FFFFFF"/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(a)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>Notice.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</w:p>
    <w:p>
      <w:pPr>
        <w:shd w:val="clear" w:fill="FFFFFF"/>
        <w:spacing w:lineRule="auto" w:line="240" w:after="150"/>
        <w:ind w:left="15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(1)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The </w:t>
      </w:r>
      <w:r>
        <w:fldChar w:fldCharType="begin"/>
      </w:r>
      <w:r>
        <w:instrText xml:space="preserve">HYPERLINK "https://www.law.cornell.edu/definitions/index.php?width=840&amp;height=800&amp;iframe=true&amp;def_id=7c601b527c4442fdda941ef606ab2fe6&amp;term_occur=999&amp;term_src=Title:19:Chapter:I:Part:128:Subpart:B:128.12"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d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shall promptly notify the applicant in writing of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decision to approve or deny the application to establish an express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consignment carrier or </w:t>
      </w:r>
      <w:r>
        <w:fldChar w:fldCharType="begin"/>
      </w:r>
      <w:r>
        <w:instrText xml:space="preserve">HYPERLINK "https://www.law.cornell.edu/definitions/index.php?width=840&amp;height=800&amp;iframe=true&amp;def_id=f11e0ba92ef6d67b516dfcdabb183532&amp;term_occur=999&amp;term_src=Title:19:Chapter:I:Part:128:Subpart:B:128.12"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b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facility or to suspend or revoke operating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privileges at an existing facility. </w:t>
      </w:r>
    </w:p>
    <w:p>
      <w:pPr>
        <w:shd w:val="clear" w:fill="FFFFFF"/>
        <w:spacing w:lineRule="auto" w:line="240" w:after="150"/>
        <w:ind w:left="15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(2)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The notice shall specifically state the grounds for denial or for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proposed suspension or revocation. </w:t>
      </w:r>
    </w:p>
    <w:p>
      <w:pPr>
        <w:shd w:val="clear" w:fill="FFFFFF"/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(b)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>Appeal.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The express consignment entity may file a written notice of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appeal seeking review of the denial or proposed suspension or revocation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within 30 days after notification. </w:t>
      </w:r>
    </w:p>
    <w:p>
      <w:pPr>
        <w:shd w:val="clear" w:fill="FFFFFF"/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(c)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>Recommendation.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The </w:t>
      </w:r>
      <w:r>
        <w:fldChar w:fldCharType="begin"/>
      </w:r>
      <w:r>
        <w:instrText xml:space="preserve">HYPERLINK "https://www.law.cornell.edu/definitions/index.php?width=840&amp;height=800&amp;iframe=true&amp;def_id=7c601b527c4442fdda941ef606ab2fe6&amp;term_occur=999&amp;term_src=Title:19:Chapter:I:Part:128:Subpart:B:128.12"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d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shall consider the allegations and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responses in the appeal unless, in the case of a suspension or revocation,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the express consignment entity requests a hearing. The appeal along with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the </w:t>
      </w:r>
      <w:r>
        <w:fldChar w:fldCharType="begin"/>
      </w:r>
      <w:r>
        <w:instrText xml:space="preserve">HYPERLINK "https://www.law.cornell.edu/definitions/index.php?width=840&amp;height=800&amp;iframe=true&amp;def_id=7c601b527c4442fdda941ef606ab2fe6&amp;term_occur=999&amp;term_src=Title:19:Chapter:I:Part:128:Subpart:B:128.12"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d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's recommendation shall be forwarded to the </w:t>
      </w:r>
      <w:r>
        <w:fldChar w:fldCharType="begin"/>
      </w:r>
      <w:r>
        <w:instrText xml:space="preserve">HYPERLINK "https://www.law.cornell.edu/definitions/index.php?width=840&amp;height=800&amp;iframe=true&amp;def_id=733481af64619e9bdf92d17d6463be2d&amp;term_occur=999&amp;term_src=Title:19:Chapter:I:Part:128:Subpart:B:128.12"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of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"https://www.law.cornell.edu/definitions/index.php?width=840&amp;height=800&amp;iframe=true&amp;def_id=e8b157555d1819602a1d0cbc89e839c2&amp;term_occur=999&amp;term_src=Title:19:Chapter:I:Part:128:Subpart:B:128.12"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or his designee for a final administrative decision. </w:t>
      </w:r>
    </w:p>
    <w:p>
      <w:pPr>
        <w:shd w:val="clear" w:fill="FFFFFF"/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(d)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>Hearing.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In the case of a proposed suspension or revocation, a hearing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may be requested within 30 days after notification. If a hearing is requested,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it shall be held before a hearing officer appointed by the </w:t>
      </w:r>
      <w:r>
        <w:fldChar w:fldCharType="begin"/>
      </w:r>
      <w:r>
        <w:instrText xml:space="preserve">HYPERLINK "https://www.law.cornell.edu/definitions/index.php?width=840&amp;height=800&amp;iframe=true&amp;def_id=733481af64619e9bdf92d17d6463be2d&amp;term_occur=999&amp;term_src=Title:19:Chapter:I:Part:128:Subpart:B:128.12"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"https://www.law.cornell.edu/definitions/index.php?width=840&amp;height=800&amp;iframe=true&amp;def_id=e8b157555d1819602a1d0cbc89e839c2&amp;term_occur=999&amp;term_src=Title:19:Chapter:I:Part:128:Subpart:B:128.12"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or his designee within 30 days following the express consignment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entity's request. The entity shall be notified of the time and place of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hearing at least 5 days prior thereto. The express consignment entity may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be represented by counsel at such hearing, and all evidence and testimony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of witnesses in such proceedings, including substantiation of the allegations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and the responses thereto shall be presented, with the right of cross-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examination to both parties. A stenographic record of any such proceeding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shall be made and a copy thereof shall be delivered to the express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consignment entity. At the conclusion of the hearing, all papers and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stenographic record of the hearing shall promptly be transmitted to the </w:t>
      </w:r>
      <w:r>
        <w:fldChar w:fldCharType="begin"/>
      </w:r>
      <w:r>
        <w:instrText xml:space="preserve">HYPERLINK "https://www.law.cornell.edu/definitions/index.php?width=840&amp;height=800&amp;iframe=true&amp;def_id=733481af64619e9bdf92d17d6463be2d&amp;term_occur=999&amp;term_src=Title:19:Chapter:I:Part:128:Subpart:B:128.12"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"https://www.law.cornell.edu/definitions/index.php?width=840&amp;height=800&amp;iframe=true&amp;def_id=e8b157555d1819602a1d0cbc89e839c2&amp;term_occur=999&amp;term_src=Title:19:Chapter:I:Part:128:Subpart:B:128.12"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or his designee together with a recommendation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for final action. The express consignment entity may submit in writing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additional views or arguments to the </w:t>
      </w:r>
      <w:r>
        <w:fldChar w:fldCharType="begin"/>
      </w:r>
      <w:r>
        <w:instrText xml:space="preserve">HYPERLINK "https://www.law.cornell.edu/definitions/index.php?width=840&amp;height=800&amp;iframe=true&amp;def_id=733481af64619e9bdf92d17d6463be2d&amp;term_occur=999&amp;term_src=Title:19:Chapter:I:Part:128:Subpart:B:128.12"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or his designee following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 hearing on the basis of the stenographic record, within 10 days after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delivery to it of a copy of such record. The </w:t>
      </w:r>
      <w:r>
        <w:fldChar w:fldCharType="begin"/>
      </w:r>
      <w:r>
        <w:instrText xml:space="preserve">HYPERLINK "https://www.law.cornell.edu/definitions/index.php?width=840&amp;height=800&amp;iframe=true&amp;def_id=733481af64619e9bdf92d17d6463be2d&amp;term_occur=999&amp;term_src=Title:19:Chapter:I:Part:128:Subpart:B:128.12"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or his designee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shall thereafter render the decision in writing, stating the reasons therefor.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Such decision shall be served on the express consignment entity, and shall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be considered the final administrative action. </w:t>
      </w:r>
    </w:p>
    <w:p>
      <w:pPr>
        <w:jc w:val="right"/>
        <w:shd w:val="clear" w:fill="FFFFFF"/>
        <w:spacing w:lineRule="auto" w:line="240" w:after="0"/>
        <w:rPr>
          <w:color w:val="333333"/>
          <w:sz w:val="24"/>
          <w:szCs w:val="24"/>
          <w:rFonts w:ascii="Verdana" w:eastAsia="Verdana" w:hAnsi="Verdana" w:cs="Verdana"/>
        </w:rPr>
      </w:pPr>
      <w:r>
        <w:fldChar w:fldCharType="begin"/>
      </w:r>
      <w:r>
        <w:instrText xml:space="preserve">HYPERLINK "https://www.law.cornell.edu/cfr/text/19/128.12"</w:instrText>
      </w:r>
      <w:r>
        <w:fldChar w:fldCharType="separate"/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v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next </w:t>
      </w:r>
    </w:p>
    <w:p>
      <w:pPr>
        <w:shd w:val="clear" w:fill="FFFFFF"/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 xml:space="preserve">§ 128.13 Application processing fee.</w:t>
      </w:r>
    </w:p>
    <w:p>
      <w:pPr>
        <w:shd w:val="clear" w:fill="FFFFFF"/>
        <w:spacing w:lineRule="auto" w:line="24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Each operator of an express consignment </w:t>
      </w:r>
      <w:r>
        <w:fldChar w:fldCharType="begin"/>
      </w:r>
      <w:r>
        <w:instrText xml:space="preserve">HYPERLINK "https://www.law.cornell.edu/definitions/index.php?width=840&amp;height=800&amp;iframe=true&amp;def_id=f11e0ba92ef6d67b516dfcdabb183532&amp;term_occur=999&amp;term_src=Title:19:Chapter:I:Part:128:Subpart:B:128.13"</w:instrText>
      </w:r>
      <w:r>
        <w:fldChar w:fldCharType="separate"/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b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or carrier facility will be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charged a fee to establish, alter, or relocate such facility which shall be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determined under the provisions of </w:t>
      </w:r>
      <w:r>
        <w:fldChar w:fldCharType="begin"/>
      </w:r>
      <w:r>
        <w:instrText xml:space="preserve">HYPERLINK "https://www.law.cornell.edu/uscode/text/31/9701"</w:instrText>
      </w:r>
      <w:r>
        <w:fldChar w:fldCharType="separate"/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7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0</w:t>
      </w:r>
      <w:r>
        <w:rPr>
          <w:rtl w:val="0"/>
          <w:color w:val="0068AC"/>
          <w:sz w:val="24"/>
          <w:szCs w:val="24"/>
          <w:u w:val="single"/>
          <w:rFonts w:ascii="Verdana" w:eastAsia="Verdana" w:hAnsi="Verdana" w:cs="Verdana"/>
        </w:rPr>
        <w:t>1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. The fee will be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periodically reviewed and revised to reflect changes in processing expenses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and any changes thereto will be published in the </w:t>
      </w:r>
      <w:r>
        <w:rPr>
          <w:rtl w:val="0"/>
          <w:color w:val="333333"/>
          <w:sz w:val="24"/>
          <w:szCs w:val="24"/>
          <w:smallCaps w:val="1"/>
          <w:rFonts w:ascii="Verdana" w:eastAsia="Verdana" w:hAnsi="Verdana" w:cs="Verdana"/>
        </w:rPr>
        <w:t xml:space="preserve">Federal Register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and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“Customs Bulletin”. </w:t>
      </w:r>
    </w:p>
    <w:p>
      <w:pPr>
        <w:shd w:val="clear" w:fill="F0F0F0"/>
        <w:spacing w:lineRule="auto" w:line="240" w:before="300" w:after="300"/>
        <w:rPr>
          <w:sz w:val="24"/>
          <w:szCs w:val="24"/>
          <w:rFonts w:ascii="Times New Roman" w:eastAsia="Times New Roman" w:hAnsi="Times New Roman" w:cs="Times New Roman"/>
        </w:rPr>
      </w:pPr>
    </w:p>
    <w:p>
      <w:pPr>
        <w:shd w:val="clear" w:fill="FFFFFF"/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 xml:space="preserve">§ 128.21 Manifest requirements.</w:t>
      </w:r>
    </w:p>
    <w:p>
      <w:pPr>
        <w:shd w:val="clear" w:fill="FFFFFF"/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(a)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Additional information.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Express consignment operators and carriers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shall provide the following manifest information in advance of the arrival of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all </w:t>
      </w:r>
      <w:r>
        <w:fldChar w:fldCharType="begin"/>
      </w:r>
      <w:r>
        <w:instrText xml:space="preserve">HYPERLINK "https://www.law.cornell.edu/definitions/index.php?width=840&amp;height=800&amp;iframe=true&amp;def_id=e14b653d0ced8c75d84a89e2f36c4da1&amp;term_occur=999&amp;term_src=Title:19:Chapter:I:Part:128:Subpart:C:128.21"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including all articles for which an entry is not required as noted in </w:t>
      </w:r>
      <w:r>
        <w:fldChar w:fldCharType="begin"/>
      </w:r>
      <w:r>
        <w:instrText xml:space="preserve">HYPERLINK "https://www.law.cornell.edu/cfr/text/19/128.23"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§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(which shall be listed separately and their entry status noted), in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addition to the information and documents otherwise required by this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chapter: </w:t>
      </w:r>
    </w:p>
    <w:p>
      <w:pPr>
        <w:shd w:val="clear" w:fill="FFFFFF"/>
        <w:spacing w:lineRule="auto" w:line="240" w:after="150"/>
        <w:ind w:left="15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(1)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Country of origin of the merchandise. </w:t>
      </w:r>
    </w:p>
    <w:p>
      <w:pPr>
        <w:shd w:val="clear" w:fill="FFFFFF"/>
        <w:spacing w:lineRule="auto" w:line="240" w:after="150"/>
        <w:ind w:left="15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(2)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Shipper name, address and country. </w:t>
      </w:r>
    </w:p>
    <w:p>
      <w:pPr>
        <w:shd w:val="clear" w:fill="FFFFFF"/>
        <w:spacing w:lineRule="auto" w:line="240" w:after="150"/>
        <w:ind w:left="15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(3)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Ultimate consignee name and address. </w:t>
      </w:r>
    </w:p>
    <w:p>
      <w:pPr>
        <w:shd w:val="clear" w:fill="FFFFFF"/>
        <w:spacing w:lineRule="auto" w:line="240" w:after="150"/>
        <w:ind w:left="15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(4)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Specific description of the merchandise, and under the following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conditions, the Harmonized Tariff Schedule of the United States (HTSUS)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subheading number: </w:t>
      </w:r>
    </w:p>
    <w:p>
      <w:pPr>
        <w:shd w:val="clear" w:fill="FFFFFF"/>
        <w:spacing w:lineRule="auto" w:line="240" w:after="150"/>
        <w:ind w:left="255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(i)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If the merchandise is required to be formally entered as provided in </w:t>
      </w:r>
      <w:r>
        <w:fldChar w:fldCharType="begin"/>
      </w:r>
      <w:r>
        <w:instrText xml:space="preserve">HYPERLINK "https://www.law.cornell.edu/cfr/text/19/128.25"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§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; or </w:t>
      </w:r>
    </w:p>
    <w:p>
      <w:pPr>
        <w:shd w:val="clear" w:fill="FFFFFF"/>
        <w:spacing w:lineRule="auto" w:line="240" w:after="150"/>
        <w:ind w:left="255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(ii)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If the merchandise is eligible for, and is entered under, the informal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entry procedures as provided in </w:t>
      </w:r>
      <w:r>
        <w:fldChar w:fldCharType="begin"/>
      </w:r>
      <w:r>
        <w:instrText xml:space="preserve">HYPERLINK "https://www.law.cornell.edu/cfr/text/19/128.24"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§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but may not be passed free of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duty and tax as consisting of a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merchandise imported by one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person on one day having a fair retail value in the country of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not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exceeding $800, as provided in </w:t>
      </w:r>
      <w:r>
        <w:fldChar w:fldCharType="begin"/>
      </w:r>
      <w:r>
        <w:instrText xml:space="preserve">HYPERLINK "https://www.law.cornell.edu/cfr/text/19/128.24#e"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§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(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)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. </w:t>
      </w:r>
    </w:p>
    <w:p>
      <w:pPr>
        <w:shd w:val="clear" w:fill="FFFFFF"/>
        <w:spacing w:lineRule="auto" w:line="240" w:after="150"/>
        <w:ind w:left="15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(5)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Quantity. </w:t>
      </w:r>
    </w:p>
    <w:p>
      <w:pPr>
        <w:shd w:val="clear" w:fill="FFFFFF"/>
        <w:spacing w:lineRule="auto" w:line="240" w:after="150"/>
        <w:ind w:left="15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(6)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Shipping weight. </w:t>
      </w:r>
    </w:p>
    <w:p>
      <w:pPr>
        <w:shd w:val="clear" w:fill="FFFFFF"/>
        <w:spacing w:lineRule="auto" w:line="240" w:after="150"/>
        <w:ind w:left="15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(7)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Value. </w:t>
      </w:r>
    </w:p>
    <w:p>
      <w:pPr>
        <w:shd w:val="clear" w:fill="FFFFFF"/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(b)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Sorting of cargo.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If the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are physically sorted by country of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origin of the merchandise when they arrive at the </w:t>
      </w:r>
      <w:r>
        <w:fldChar w:fldCharType="begin"/>
      </w:r>
      <w:r>
        <w:instrText xml:space="preserve">HYPERLINK "https://www.law.cornell.edu/definitions/index.php?width=840&amp;height=800&amp;iframe=true&amp;def_id=f11e0ba92ef6d67b516dfcdabb183532&amp;term_occur=999&amp;term_src=Title:19:Chapter:I:Part:128:Subpart:C:128.21"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b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or express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consignment facility and are presented to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"https://www.law.cornell.edu/definitions/index.php?width=840&amp;height=800&amp;iframe=true&amp;def_id=e8b157555d1819602a1d0cbc89e839c2&amp;term_occur=999&amp;term_src=Title:19:Chapter:I:Part:128:Subpart:C:128.21"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in this manner,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advance manifest information shall also be provided with the merchandise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segregated by country of origin. </w:t>
      </w:r>
    </w:p>
    <w:p>
      <w:pPr>
        <w:shd w:val="clear" w:fill="FFFFFF"/>
        <w:spacing w:lineRule="auto" w:line="240" w:after="6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[T.D. 89-53, </w:t>
      </w:r>
      <w:r>
        <w:fldChar w:fldCharType="begin"/>
      </w:r>
      <w:r>
        <w:instrText xml:space="preserve">HYPERLINK "https://www.law.cornell.edu/rio/citation/54_FR_19566"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May 8, 1989, as amended by T.D. 94-51, </w:t>
      </w:r>
      <w:r>
        <w:fldChar w:fldCharType="begin"/>
      </w:r>
      <w:r>
        <w:instrText xml:space="preserve">HYPERLINK "https://www.law.cornell.edu/rio/citation/59_FR_30294"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0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June 13, 1994; CBP Dec. No. 16-13, </w:t>
      </w:r>
      <w:r>
        <w:fldChar w:fldCharType="begin"/>
      </w:r>
      <w:r>
        <w:instrText xml:space="preserve">HYPERLINK "https://www.law.cornell.edu/rio/citation/81_FR_58833"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Aug. 26, 2016] </w:t>
      </w: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 xml:space="preserve">§ 128.22 Bonds.</w:t>
      </w:r>
    </w:p>
    <w:p>
      <w:pPr>
        <w:spacing w:lineRule="auto" w:line="24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Each </w:t>
      </w:r>
      <w:r>
        <w:fldChar w:fldCharType="begin"/>
      </w:r>
      <w:r>
        <w:instrText xml:space="preserve">HYPERLINK "https://www.law.cornell.edu/definitions/index.php?width=840&amp;height=800&amp;iframe=true&amp;def_id=1051bebb84a76e3e20d6bdca3c39378f&amp;term_occur=999&amp;term_src=Title:19:Chapter:I:Part:128:Subpart:C:128.22"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x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must be recognized by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"https://www.law.cornell.edu/definitions/index.php?width=840&amp;height=800&amp;iframe=true&amp;def_id=e8b157555d1819602a1d0cbc89e839c2&amp;term_occur=999&amp;term_src=Title:19:Chapter:I:Part:128:Subpart:C:128.22"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as an international carrier and approved as a carrier of bonded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merchandise, and shall file bonds on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"https://www.law.cornell.edu/definitions/index.php?width=840&amp;height=800&amp;iframe=true&amp;def_id=e8b157555d1819602a1d0cbc89e839c2&amp;term_occur=999&amp;term_src=Title:19:Chapter:I:Part:128:Subpart:C:128.22"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Form 301, containing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bond conditions set forth in §§ </w:t>
      </w:r>
      <w:r>
        <w:fldChar w:fldCharType="begin"/>
      </w:r>
      <w:r>
        <w:instrText xml:space="preserve">HYPERLINK "https://www.law.cornell.edu/cfr/text/19/113.62"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</w:t>
      </w:r>
      <w:r>
        <w:fldChar w:fldCharType="begin"/>
      </w:r>
      <w:r>
        <w:instrText xml:space="preserve">HYPERLINK "https://www.law.cornell.edu/cfr/text/19/113.63"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</w:t>
      </w:r>
      <w:r>
        <w:fldChar w:fldCharType="begin"/>
      </w:r>
      <w:r>
        <w:instrText xml:space="preserve">HYPERLINK "https://www.law.cornell.edu/cfr/text/19/113.64"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and </w:t>
      </w:r>
      <w:r>
        <w:fldChar w:fldCharType="begin"/>
      </w:r>
      <w:r>
        <w:instrText xml:space="preserve">HYPERLINK "https://www.law.cornell.edu/cfr/text/19/113.66"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this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chapter, to insure compliance with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"https://www.law.cornell.edu/definitions/index.php?width=840&amp;height=800&amp;iframe=true&amp;def_id=e8b157555d1819602a1d0cbc89e839c2&amp;term_occur=999&amp;term_src=Title:19:Chapter:I:Part:128:Subpart:C:128.22"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requirements relating to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importation and entry of merchandise as well as the carriage and custody of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merchandise under </w:t>
      </w:r>
      <w:r>
        <w:fldChar w:fldCharType="begin"/>
      </w:r>
      <w:r>
        <w:instrText xml:space="preserve">HYPERLINK "https://www.law.cornell.edu/definitions/index.php?width=840&amp;height=800&amp;iframe=true&amp;def_id=e8b157555d1819602a1d0cbc89e839c2&amp;term_occur=999&amp;term_src=Title:19:Chapter:I:Part:128:Subpart:C:128.22"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control. </w:t>
      </w:r>
    </w:p>
    <w:p>
      <w:pPr>
        <w:jc w:val="right"/>
        <w:spacing w:lineRule="auto" w:line="240" w:after="0"/>
        <w:rPr>
          <w:color w:val="333333"/>
          <w:sz w:val="24"/>
          <w:szCs w:val="24"/>
          <w:rFonts w:ascii="Verdana" w:eastAsia="Verdana" w:hAnsi="Verdana" w:cs="Verdana"/>
        </w:rPr>
      </w:pPr>
      <w:r>
        <w:fldChar w:fldCharType="begin"/>
      </w:r>
      <w:r>
        <w:instrText xml:space="preserve">HYPERLINK "https://www.law.cornell.edu/cfr/text/19/128.22"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v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| </w:t>
      </w:r>
      <w:r>
        <w:fldChar w:fldCharType="begin"/>
      </w:r>
      <w:r>
        <w:instrText xml:space="preserve">HYPERLINK "https://www.law.cornell.edu/cfr/text/19/128.24"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x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 xml:space="preserve">§ 128.23 Entry requirements.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(a)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General rule.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Except as provided in </w:t>
      </w:r>
      <w:r>
        <w:fldChar w:fldCharType="begin"/>
      </w:r>
      <w:r>
        <w:instrText xml:space="preserve">HYPERLINK "https://www.law.cornell.edu/cfr/text/19/128.23#c"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(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)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this section, all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articles carried by an express consignment entity shall be entered by a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person with the right to file entry.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(b)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>Procedures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- </w:t>
      </w:r>
    </w:p>
    <w:p>
      <w:pPr>
        <w:spacing w:lineRule="auto" w:line="240" w:after="150"/>
        <w:ind w:left="24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(1)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>General.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All express consignment entities utilizing the procedures in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this part must comply with the requirements of the CBP Automated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Commercial Environment (ACE) or any other CBP-authorized electronic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data interchange system. These requirements include those under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Automated Manifest System (AMS), </w:t>
      </w:r>
      <w:r>
        <w:fldChar w:fldCharType="begin"/>
      </w:r>
      <w:r>
        <w:instrText xml:space="preserve">HYPERLINK "https://www.law.cornell.edu/definitions/index.php?width=840&amp;height=800&amp;iframe=true&amp;def_id=e14b653d0ced8c75d84a89e2f36c4da1&amp;term_occur=999&amp;term_src=Title:19:Chapter:I:Part:128:Subpart:C:128.23"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Selectivity, Statement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Processing, the Automated Broker Interface System (ABI), and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enhancements of ACE or any other CBP-authorized electronic data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interchange system. </w:t>
      </w:r>
    </w:p>
    <w:p>
      <w:pPr>
        <w:spacing w:lineRule="auto" w:line="240" w:after="150"/>
        <w:ind w:left="24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(2)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Entry number.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All entry numbers must be furnished to CBP in a CBP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approved bar coded readable format in order to assist in the processing of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express consignment </w:t>
      </w:r>
      <w:r>
        <w:fldChar w:fldCharType="begin"/>
      </w:r>
      <w:r>
        <w:instrText xml:space="preserve">HYPERLINK "https://www.law.cornell.edu/definitions/index.php?width=840&amp;height=800&amp;iframe=true&amp;def_id=e14b653d0ced8c75d84a89e2f36c4da1&amp;term_occur=999&amp;term_src=Title:19:Chapter:I:Part:128:Subpart:C:128.23"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under the CBP Automated Commercial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Environment (ACE) or any other CBP-authorized electronic data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interchange system.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(c)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>Exception.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Articles specifically exempt from entry by </w:t>
      </w:r>
      <w:r>
        <w:fldChar w:fldCharType="begin"/>
      </w:r>
      <w:r>
        <w:instrText xml:space="preserve">HYPERLINK "https://www.law.cornell.edu/cfr/text/19/141.4#b"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§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(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b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)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this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chapter need not satisfy the general rule as set forth in paragraph (a) of this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section. </w:t>
      </w:r>
    </w:p>
    <w:p>
      <w:pPr>
        <w:spacing w:lineRule="auto" w:line="240" w:after="6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[T.D. 94-51, </w:t>
      </w:r>
      <w:r>
        <w:fldChar w:fldCharType="begin"/>
      </w:r>
      <w:r>
        <w:instrText xml:space="preserve">HYPERLINK "https://www.law.cornell.edu/rio/citation/59_FR_30294"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0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June 13, 1994, as amended by CBP Dec. 15-14, </w:t>
      </w:r>
      <w:r>
        <w:fldChar w:fldCharType="begin"/>
      </w:r>
      <w:r>
        <w:instrText xml:space="preserve">HYPERLINK "https://www.law.cornell.edu/rio/citation/80_FR_61287"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0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7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Oct. 13, 2015] </w:t>
      </w:r>
    </w:p>
    <w:p>
      <w:pPr>
        <w:jc w:val="right"/>
        <w:spacing w:lineRule="auto" w:line="240" w:after="0"/>
        <w:rPr>
          <w:color w:val="333333"/>
          <w:sz w:val="24"/>
          <w:szCs w:val="24"/>
          <w:rFonts w:ascii="Verdana" w:eastAsia="Verdana" w:hAnsi="Verdana" w:cs="Verdana"/>
        </w:rPr>
      </w:pPr>
      <w:r>
        <w:fldChar w:fldCharType="begin"/>
      </w:r>
      <w:r>
        <w:instrText xml:space="preserve">HYPERLINK "https://www.law.cornell.edu/cfr/text/19/128.23"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v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| </w:t>
      </w:r>
      <w:r>
        <w:fldChar w:fldCharType="begin"/>
      </w:r>
      <w:r>
        <w:instrText xml:space="preserve">HYPERLINK "https://www.law.cornell.edu/cfr/text/19/128.25"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x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 xml:space="preserve">§ 128.24 Informal entry procedures.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(a)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>Eligibility.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Informal entry procedures may generally be used for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not exceeding $2,500 in value which are imported by express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consignment operators and carriers. Individual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valued at $2,500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or less may be consolidated on one entry. Such procedures, however, may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not be used for prohibited or restricted merchandise, merchandise which is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subject to a quota or other quantitative restraints, or for any articles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precluded from informal entry procedures by virtue of section 498, </w:t>
      </w:r>
      <w:r>
        <w:fldChar w:fldCharType="begin"/>
      </w:r>
      <w:r>
        <w:instrText xml:space="preserve">HYPERLINK "https://www.law.cornell.edu/topn/hawley-smoot_tariff_act"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0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as amended, (</w:t>
      </w:r>
      <w:r>
        <w:fldChar w:fldCharType="begin"/>
      </w:r>
      <w:r>
        <w:instrText xml:space="preserve">HYPERLINK "https://www.law.cornell.edu/uscode/text/19/1498"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).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(b)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>Procedures.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CBP Form 3461, or its electronic equivalent, appropriately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modified to cover all importations under the special procedures contained in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this part, must be submitted prior to the commencement of </w:t>
      </w:r>
      <w:r>
        <w:fldChar w:fldCharType="begin"/>
      </w:r>
      <w:r>
        <w:instrText xml:space="preserve">HYPERLINK "https://www.law.cornell.edu/definitions/index.php?width=840&amp;height=800&amp;iframe=true&amp;def_id=f11e0ba92ef6d67b516dfcdabb183532&amp;term_occur=999&amp;term_src=Title:19:Chapter:I:Part:128:Subpart:C:128.24"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b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or </w:t>
      </w:r>
      <w:r>
        <w:fldChar w:fldCharType="begin"/>
      </w:r>
      <w:r>
        <w:instrText xml:space="preserve">HYPERLINK "https://www.law.cornell.edu/definitions/index.php?width=840&amp;height=800&amp;iframe=true&amp;def_id=9fa6acc67beeca1a7b7ea5b2b8c4098b&amp;term_occur=999&amp;term_src=Title:19:Chapter:I:Part:128:Subpart:C:128.24"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x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l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y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operations. The party who may make entry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under </w:t>
      </w:r>
      <w:r>
        <w:fldChar w:fldCharType="begin"/>
      </w:r>
      <w:r>
        <w:instrText xml:space="preserve">HYPERLINK "https://www.law.cornell.edu/cfr/text/19/143.26"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§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this chapter may submit a copy of the invoice or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advance manifest as described in § 128.21 in lieu of other control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documents.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(c)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Alternative procedure.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The party who may make entry under </w:t>
      </w:r>
      <w:r>
        <w:fldChar w:fldCharType="begin"/>
      </w:r>
      <w:r>
        <w:instrText xml:space="preserve">HYPERLINK "https://www.law.cornell.edu/cfr/text/19/143.26"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§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this chapter may be required to submit an individual CBP Form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3461, or its electronic equivalent, covering the eligible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on a daily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basis or by flight basis. Commercial invoices or advance manifests must be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attached to the CBP Form 3461, or its electronic equivalent, which will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contain the entry number and such other information deemed necessary by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the </w:t>
      </w:r>
      <w:r>
        <w:fldChar w:fldCharType="begin"/>
      </w:r>
      <w:r>
        <w:instrText xml:space="preserve">HYPERLINK "https://www.law.cornell.edu/definitions/index.php?width=840&amp;height=800&amp;iframe=true&amp;def_id=7c601b527c4442fdda941ef606ab2fe6&amp;term_occur=999&amp;term_src=Title:19:Chapter:I:Part:128:Subpart:C:128.24"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d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o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. A notation must be placed on the CBP Form 3461 that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entry covers multiple shipments.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(d)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Entry summary.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An entry summary (CBP Form 7501, or its electronic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equivalent) must be presented in proper form, and estimated </w:t>
      </w:r>
      <w:r>
        <w:fldChar w:fldCharType="begin"/>
      </w:r>
      <w:r>
        <w:instrText xml:space="preserve">HYPERLINK "https://www.law.cornell.edu/definitions/index.php?width=840&amp;height=800&amp;iframe=true&amp;def_id=c15f0974727c7c81c232b7e9e99353ae&amp;term_occur=999&amp;term_src=Title:19:Chapter:I:Part:128:Subpart:C:128.24"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d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deposited within 10 days of the release of the merchandise under either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regular or alternative procedure described in this section. However, see </w:t>
      </w:r>
      <w:r>
        <w:fldChar w:fldCharType="begin"/>
      </w:r>
      <w:r>
        <w:instrText xml:space="preserve">HYPERLINK "https://www.law.cornell.edu/cfr/text/19/128.24#e"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(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)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this section if the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is valued at $800 or less. </w:t>
      </w: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(e)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color w:val="333333"/>
          <w:sz w:val="24"/>
          <w:szCs w:val="24"/>
          <w:rFonts w:ascii="Verdana" w:eastAsia="Verdana" w:hAnsi="Verdana" w:cs="Verdana"/>
        </w:rPr>
        <w:t xml:space="preserve">Shipments valued at $800 or less.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valued at $800 or less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meeting the requirements of </w:t>
      </w:r>
      <w:r>
        <w:fldChar w:fldCharType="begin"/>
      </w:r>
      <w:r>
        <w:instrText xml:space="preserve">HYPERLINK "https://www.law.cornell.edu/cfr/text/19/10.151"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§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0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this chapter will be passed free of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duty and tax. Such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must be segregated on the manifest from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valued at more than $800 if an advance manifest is used as the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entry document, as provided for in § 128.21. If such an advance manifest is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used as the entry document, the following are not required to be provided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for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qualifying under this paragraph: </w:t>
      </w:r>
    </w:p>
    <w:p>
      <w:pPr>
        <w:spacing w:lineRule="auto" w:line="240" w:after="150"/>
        <w:ind w:left="24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(1)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The Harmonized Tariff Schedule of the United States (HTSUS)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subheading number (see </w:t>
      </w:r>
      <w:r>
        <w:fldChar w:fldCharType="begin"/>
      </w:r>
      <w:r>
        <w:instrText xml:space="preserve">HYPERLINK "https://www.law.cornell.edu/cfr/text/19/128.21#a_4"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§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(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)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(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)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); and </w:t>
      </w:r>
    </w:p>
    <w:p>
      <w:pPr>
        <w:spacing w:lineRule="auto" w:line="240" w:after="150"/>
        <w:ind w:left="240" w:firstLine="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>(2)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An entry summary (see </w:t>
      </w:r>
      <w:r>
        <w:fldChar w:fldCharType="begin"/>
      </w:r>
      <w:r>
        <w:instrText xml:space="preserve">HYPERLINK "https://www.law.cornell.edu/cfr/text/19/128.24#d"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g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a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(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d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)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of this section). </w:t>
      </w:r>
    </w:p>
    <w:p>
      <w:pPr>
        <w:spacing w:lineRule="auto" w:line="240" w:after="6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[T.D. 89-53, </w:t>
      </w:r>
      <w:r>
        <w:fldChar w:fldCharType="begin"/>
      </w:r>
      <w:r>
        <w:instrText xml:space="preserve">HYPERLINK "https://www.law.cornell.edu/rio/citation/54_FR_19566"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May 8, 1989, as amended by T.D. 94-51, </w:t>
      </w:r>
      <w:r>
        <w:fldChar w:fldCharType="begin"/>
      </w:r>
      <w:r>
        <w:instrText xml:space="preserve">HYPERLINK "https://www.law.cornell.edu/rio/citation/59_FR_30294"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0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June 13, 1994; T.D. 95-31, </w:t>
      </w:r>
      <w:r>
        <w:fldChar w:fldCharType="begin"/>
      </w:r>
      <w:r>
        <w:instrText xml:space="preserve">HYPERLINK "https://www.law.cornell.edu/rio/citation/60_FR_18991"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0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Apr. 14, 1995; T.D. 98-28, </w:t>
      </w:r>
      <w:r>
        <w:fldChar w:fldCharType="begin"/>
      </w:r>
      <w:r>
        <w:instrText xml:space="preserve">HYPERLINK "https://www.law.cornell.edu/rio/citation/63_FR_16417"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7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Apr. 3, 1998; </w:t>
      </w:r>
      <w:r>
        <w:fldChar w:fldCharType="begin"/>
      </w:r>
      <w:r>
        <w:instrText xml:space="preserve">HYPERLINK "https://www.law.cornell.edu/rio/citation/77_FR_72720"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7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7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7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7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0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Dec. 6, 2012; CBP Dec. 15-14, </w:t>
      </w:r>
      <w:r>
        <w:fldChar w:fldCharType="begin"/>
      </w:r>
      <w:r>
        <w:instrText xml:space="preserve">HYPERLINK "https://www.law.cornell.edu/rio/citation/80_FR_61287"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0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6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2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7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Oct. 13, 2015; CBP Dec. No. 16-13, </w:t>
      </w:r>
      <w:r>
        <w:fldChar w:fldCharType="begin"/>
      </w:r>
      <w:r>
        <w:instrText xml:space="preserve">HYPERLINK "https://www.law.cornell.edu/rio/citation/81_FR_58833"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F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5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3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, Aug. 26, 2016] </w:t>
      </w:r>
    </w:p>
    <w:p>
      <w:pPr>
        <w:jc w:val="right"/>
        <w:spacing w:lineRule="auto" w:line="240" w:after="0"/>
        <w:rPr>
          <w:color w:val="333333"/>
          <w:sz w:val="24"/>
          <w:szCs w:val="24"/>
          <w:rFonts w:ascii="Verdana" w:eastAsia="Verdana" w:hAnsi="Verdana" w:cs="Verdana"/>
        </w:rPr>
      </w:pPr>
      <w:r>
        <w:fldChar w:fldCharType="begin"/>
      </w:r>
      <w:r>
        <w:instrText xml:space="preserve">HYPERLINK "https://www.law.cornell.edu/cfr/text/19/128.24"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r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v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next </w:t>
      </w: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 xml:space="preserve">§ 128.25 Formal entry procedures.</w:t>
      </w:r>
    </w:p>
    <w:p>
      <w:pPr>
        <w:spacing w:lineRule="auto" w:line="240" w:after="150"/>
        <w:rPr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Formal entry, as provided for under </w:t>
      </w:r>
      <w:r>
        <w:fldChar w:fldCharType="begin"/>
      </w:r>
      <w:r>
        <w:instrText xml:space="preserve">HYPERLINK "https://www.law.cornell.edu/uscode/text/19/1484"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9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U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C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.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1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8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4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in parts 141, 142, and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143 (except for subpart C), of this chapter, is required for all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"https://www.law.cornell.edu/definitions/index.php?width=840&amp;height=800&amp;iframe=true&amp;def_id=fee47f6b7fa5984ecff4b37038b9c01d&amp;term_occur=999&amp;term_src=Title:19:Chapter:I:Part:128:Subpart:C:128.25"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exceeding the monetary limitation for informal entry (see § 128.24) and any </w:t>
      </w:r>
      <w:r>
        <w:fldChar w:fldCharType="begin"/>
      </w:r>
      <w:r>
        <w:instrText xml:space="preserve">HYPERLINK "https://www.law.cornell.edu/definitions/index.php?width=840&amp;height=800&amp;iframe=true&amp;def_id=fee47f6b7fa5984ecff4b37038b9c01d&amp;term_occur=999&amp;term_src=Title:19:Chapter:I:Part:128:Subpart:C:128.25"</w:instrText>
      </w:r>
      <w:r>
        <w:fldChar w:fldCharType="separate"/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s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h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i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p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m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e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n</w:t>
      </w:r>
      <w:r>
        <w:rPr>
          <w:rtl w:val="0"/>
          <w:color w:val="0068AC"/>
          <w:sz w:val="24"/>
          <w:szCs w:val="24"/>
          <w:rFonts w:ascii="Verdana" w:eastAsia="Verdana" w:hAnsi="Verdana" w:cs="Verdana"/>
        </w:rPr>
        <w:t>t</w:t>
      </w:r>
      <w:r>
        <w:rPr>
          <w:color w:val="333333"/>
          <w:sz w:val="24"/>
          <w:szCs w:val="24"/>
          <w:rFonts w:ascii="Verdana" w:eastAsia="Verdana" w:hAnsi="Verdana" w:cs="Verdana"/>
        </w:rPr>
        <w:fldChar w:fldCharType="end"/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for which the informal entry procedures may not be used (see § </w:t>
      </w: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128.24). </w:t>
      </w:r>
    </w:p>
    <w:p>
      <w:pPr>
        <w:spacing w:lineRule="auto" w:line="240" w:after="60"/>
        <w:rPr/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>[T</w:t>
      </w:r>
    </w:p>
    <w:p>
      <w:pPr>
        <w:rPr/>
      </w:pPr>
      <w:bookmarkStart w:id="1" w:name="_gjdgxs"/>
      <w:bookmarkEnd w:id="1"/>
    </w:p>
    <w:p>
      <w:pPr>
        <w:rPr/>
      </w:pPr>
      <w:bookmarkStart w:id="2" w:name="_30j0zll"/>
      <w:bookmarkEnd w:id="2"/>
    </w:p>
    <w:p>
      <w:pPr>
        <w:rPr/>
      </w:pPr>
      <w:bookmarkStart w:id="3" w:name="_1fob9te"/>
      <w:bookmarkEnd w:id="3"/>
    </w:p>
    <w:p>
      <w:pPr>
        <w:rPr/>
      </w:pPr>
      <w:bookmarkStart w:id="4" w:name="_3znysh7"/>
      <w:bookmarkEnd w:id="4"/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§ 128.0 Сфера діяльності.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У цій частині викладаються вимоги і процедури,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що стосуються прозорості імпортованих товарів, якi перевозяться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операторами і перевізниками експрес-перевезень, включаючи кур'єрів, в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рамках спеціальних процедур.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§ 128.1 Визначення.</w:t>
      </w:r>
    </w:p>
    <w:p>
      <w:pPr>
        <w:spacing w:lineRule="auto" w:line="240" w:after="0"/>
        <w:ind w:firstLine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З метою розуміння цієї частини застосовуються наступні </w:t>
      </w:r>
      <w:r>
        <w:rPr>
          <w:rtl w:val="0"/>
          <w:b w:val="1"/>
          <w:sz w:val="24"/>
          <w:szCs w:val="24"/>
          <w:rFonts w:ascii="Verdana" w:eastAsia="Verdana" w:hAnsi="Verdana" w:cs="Verdana"/>
        </w:rPr>
        <w:t>визначення: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(a)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Оператор експрес-доставки або перевізник.</w:t>
      </w:r>
      <w:r>
        <w:rPr>
          <w:rtl w:val="0"/>
          <w:b w:val="1"/>
          <w:sz w:val="24"/>
          <w:szCs w:val="24"/>
          <w:rFonts w:ascii="Verdana" w:eastAsia="Verdana" w:hAnsi="Verdana" w:cs="Verdana"/>
        </w:rPr>
        <w:t>"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Оператор або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перевізник експрес-перевезень" -це організація, яка працює в будь-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якому режимі або переміщує вантажі різними способами за допомогою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спеціальної експрес-комерційної служби в тісному взаємозв'язку з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адміністративним контролем.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Послуги цього оператора надаються населенню відповідно до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рекламованої надійної і своєчасної доставки  "від дверей до дверей".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Оператор експрес-доставки приймає на себе відповідальність перед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митницею за товари в такій мірі,  якби він був єдиним перевізником. </w:t>
      </w: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9"/>
          <w:szCs w:val="29"/>
          <w:rFonts w:ascii="Verdana" w:eastAsia="Verdana" w:hAnsi="Verdana" w:cs="Verdana"/>
        </w:rPr>
        <w:t>(b)</w:t>
      </w:r>
      <w:r>
        <w:rPr>
          <w:rtl w:val="0"/>
          <w:i w:val="1"/>
          <w:b w:val="1"/>
          <w:sz w:val="28"/>
          <w:szCs w:val="28"/>
          <w:rFonts w:ascii="Verdana" w:eastAsia="Verdana" w:hAnsi="Verdana" w:cs="Verdana"/>
        </w:rPr>
        <w:t xml:space="preserve"> </w:t>
      </w:r>
      <w:r>
        <w:rPr>
          <w:rtl w:val="0"/>
          <w:i w:val="1"/>
          <w:sz w:val="28"/>
          <w:szCs w:val="28"/>
          <w:rFonts w:ascii="Verdana" w:eastAsia="Verdana" w:hAnsi="Verdana" w:cs="Verdana"/>
        </w:rPr>
        <w:t>Вантаж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.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Визначення "Вантаж" означає будь-які або всі види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вантажів, що ввозяться на митну територію Сполучених Штатів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оператором експрес-доставки або перевізником, незалежно від того, чи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були вони задекларовані, супроводжувальні або несупроводжувальні.</w:t>
      </w: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sz w:val="29"/>
          <w:szCs w:val="29"/>
          <w:rFonts w:ascii="Verdana" w:eastAsia="Verdana" w:hAnsi="Verdana" w:cs="Verdana"/>
        </w:rPr>
        <w:t>(c)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 </w:t>
      </w:r>
      <w:r>
        <w:rPr>
          <w:rtl w:val="0"/>
          <w:i w:val="1"/>
          <w:sz w:val="28"/>
          <w:szCs w:val="28"/>
          <w:rFonts w:ascii="Verdana" w:eastAsia="Verdana" w:hAnsi="Verdana" w:cs="Verdana"/>
        </w:rPr>
        <w:t xml:space="preserve">Кур’єрський вантаж</w:t>
      </w:r>
      <w:r>
        <w:rPr>
          <w:rtl w:val="0"/>
          <w:sz w:val="29"/>
          <w:szCs w:val="29"/>
          <w:rFonts w:ascii="Verdana" w:eastAsia="Verdana" w:hAnsi="Verdana" w:cs="Verdana"/>
        </w:rPr>
        <w:t>.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” </w:t>
      </w: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Кур'єрський вантаж “ - це </w:t>
      </w: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супроводжувальний процес експрес-відправки вантажу.</w:t>
      </w: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  <w:r>
        <w:rPr>
          <w:rtl w:val="0"/>
          <w:sz w:val="29"/>
          <w:szCs w:val="29"/>
          <w:rFonts w:ascii="Verdana" w:eastAsia="Verdana" w:hAnsi="Verdana" w:cs="Verdana"/>
        </w:rPr>
        <w:t>(d)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 “</w:t>
      </w:r>
      <w:r>
        <w:rPr>
          <w:rtl w:val="0"/>
          <w:i w:val="1"/>
          <w:b w:val="1"/>
          <w:sz w:val="28"/>
          <w:szCs w:val="28"/>
          <w:rFonts w:ascii="Verdana" w:eastAsia="Verdana" w:hAnsi="Verdana" w:cs="Verdana"/>
        </w:rPr>
        <w:t xml:space="preserve"> </w:t>
      </w:r>
      <w:r>
        <w:rPr>
          <w:rtl w:val="0"/>
          <w:i w:val="1"/>
          <w:sz w:val="28"/>
          <w:szCs w:val="28"/>
          <w:rFonts w:ascii="Verdana" w:eastAsia="Verdana" w:hAnsi="Verdana" w:cs="Verdana"/>
        </w:rPr>
        <w:t xml:space="preserve">Вузол обслуговування вантажів.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>”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   </w:t>
      </w:r>
      <w:r>
        <w:rPr>
          <w:rtl w:val="0"/>
          <w:b w:val="1"/>
          <w:sz w:val="24"/>
          <w:szCs w:val="24"/>
          <w:rFonts w:ascii="Verdana" w:eastAsia="Verdana" w:hAnsi="Verdana" w:cs="Verdana"/>
        </w:rPr>
        <w:t>“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Вузол обслуговування вантажів”  - це окремий, унікальний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спеціалізований об'єкт, який зазвичай працює  цілодобово  ,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затверджений директором порту для реєстрації , огляду вантажу, а також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процедури видачі експрес-партій вантажу.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9"/>
          <w:szCs w:val="29"/>
          <w:rFonts w:ascii="Verdana" w:eastAsia="Verdana" w:hAnsi="Verdana" w:cs="Verdana"/>
        </w:rPr>
        <w:t xml:space="preserve">(e) </w:t>
      </w:r>
      <w:r>
        <w:rPr>
          <w:rtl w:val="0"/>
          <w:i w:val="1"/>
          <w:sz w:val="28"/>
          <w:szCs w:val="28"/>
          <w:rFonts w:ascii="Verdana" w:eastAsia="Verdana" w:hAnsi="Verdana" w:cs="Verdana"/>
        </w:rPr>
        <w:t xml:space="preserve">Пункт експрес-перевізників.</w:t>
      </w:r>
      <w:r>
        <w:rPr>
          <w:rtl w:val="0"/>
          <w:i w:val="1"/>
          <w:b w:val="1"/>
          <w:sz w:val="28"/>
          <w:szCs w:val="28"/>
          <w:rFonts w:ascii="Verdana" w:eastAsia="Verdana" w:hAnsi="Verdana" w:cs="Verdana"/>
        </w:rPr>
        <w:t xml:space="preserve"> 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"Пункт експрес-перевізників " - це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окремий або вузькоспеціалізований об'єкт, затверджений директором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порту виключно для процесу огляду та видачі вантажу.</w:t>
      </w:r>
    </w:p>
    <w:p>
      <w:pPr>
        <w:spacing w:lineRule="auto" w:line="240" w:after="0"/>
        <w:rPr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(f)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>"</w:t>
      </w:r>
      <w:r>
        <w:rPr>
          <w:rtl w:val="0"/>
          <w:i w:val="1"/>
          <w:sz w:val="29"/>
          <w:szCs w:val="29"/>
          <w:rFonts w:ascii="Verdana" w:eastAsia="Verdana" w:hAnsi="Verdana" w:cs="Verdana"/>
        </w:rPr>
        <w:t xml:space="preserve">У тісному взаємозв'язку з адміністративним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 </w:t>
      </w:r>
      <w:r>
        <w:rPr>
          <w:rtl w:val="0"/>
          <w:i w:val="1"/>
          <w:sz w:val="29"/>
          <w:szCs w:val="29"/>
          <w:rFonts w:ascii="Verdana" w:eastAsia="Verdana" w:hAnsi="Verdana" w:cs="Verdana"/>
        </w:rPr>
        <w:t>контролем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>".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Термін "в тісному взаємозв'язку з адміністративним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контролем" означає, що дії повинні бути продуктивно взаємопов'язані в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усіх напрямках служби (тобто з моменту завантаження і до моменту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доставки вантажу "), з тим ,щоб експрес-консигнаційна компанія могла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здійснювати високий контроль за поставками; зокрема щодо надійності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інформації, яка подається для митних цілей.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Такий контроль буде визначатися головним чином наявністю загальних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прав власності місцевої компанії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та її іноземної філії та / або дуже тісними договірними відносинами між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місцевою компанією та її іноземною філією (філіями) (наприклад, угода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про франшизу).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0"/>
        <w:rPr>
          <w:i w:val="1"/>
          <w:sz w:val="28"/>
          <w:szCs w:val="28"/>
          <w:rFonts w:ascii="Verdana" w:eastAsia="Verdana" w:hAnsi="Verdana" w:cs="Verdana"/>
        </w:rPr>
      </w:pPr>
      <w:r>
        <w:rPr>
          <w:rtl w:val="0"/>
          <w:sz w:val="29"/>
          <w:szCs w:val="29"/>
          <w:rFonts w:ascii="Verdana" w:eastAsia="Verdana" w:hAnsi="Verdana" w:cs="Verdana"/>
        </w:rPr>
        <w:t>(g)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 “</w:t>
      </w:r>
      <w:r>
        <w:rPr>
          <w:rtl w:val="0"/>
          <w:i w:val="1"/>
          <w:sz w:val="29"/>
          <w:szCs w:val="29"/>
          <w:rFonts w:ascii="Verdana" w:eastAsia="Verdana" w:hAnsi="Verdana" w:cs="Verdana"/>
        </w:rPr>
        <w:t xml:space="preserve"> </w:t>
      </w:r>
      <w:r>
        <w:rPr>
          <w:rtl w:val="0"/>
          <w:i w:val="1"/>
          <w:sz w:val="28"/>
          <w:szCs w:val="28"/>
          <w:rFonts w:ascii="Verdana" w:eastAsia="Verdana" w:hAnsi="Verdana" w:cs="Verdana"/>
        </w:rPr>
        <w:t xml:space="preserve">Витрати, що підлягають відшкодуванню.”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"Витрати, що підлягають відшкодуванню" означає, 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що всі звичайні витрати, понесені на об'єкті "вузла обслуговування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вантажів" або на пункті доставки експрес-вантажів повинні бути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обов'язково відшкодовані Державі.</w:t>
      </w: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§ 128.11 Процес подання заявки перевізником  на     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оформлення експрес-перевезення.</w:t>
      </w:r>
    </w:p>
    <w:p>
      <w:pPr>
        <w:spacing w:lineRule="auto" w:line="240" w:after="0"/>
        <w:ind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9"/>
          <w:szCs w:val="29"/>
          <w:rFonts w:ascii="Verdana" w:eastAsia="Verdana" w:hAnsi="Verdana" w:cs="Verdana"/>
        </w:rPr>
        <w:t>(a)</w:t>
      </w:r>
      <w:r>
        <w:rPr>
          <w:rtl w:val="0"/>
          <w:i w:val="1"/>
          <w:sz w:val="29"/>
          <w:szCs w:val="29"/>
          <w:rFonts w:ascii="Verdana" w:eastAsia="Verdana" w:hAnsi="Verdana" w:cs="Verdana"/>
        </w:rPr>
        <w:t xml:space="preserve"> Процес подання заявки на фірму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>.</w:t>
      </w:r>
      <w:r>
        <w:rPr>
          <w:rtl w:val="0"/>
          <w:sz w:val="29"/>
          <w:szCs w:val="29"/>
          <w:rFonts w:ascii="Verdana" w:eastAsia="Verdana" w:hAnsi="Verdana" w:cs="Verdana"/>
        </w:rPr>
        <w:t xml:space="preserve">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Прохання про затвердження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заявки на оформлення експрес-перевезення або у вузол обслуговування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вантажів повинні бути обов'язково оформлені в письмовому вигляді на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ім'я директора порту.</w:t>
      </w:r>
    </w:p>
    <w:p>
      <w:pPr>
        <w:spacing w:lineRule="auto" w:line="240" w:after="0"/>
        <w:ind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(b)</w:t>
      </w:r>
      <w:r>
        <w:rPr>
          <w:rtl w:val="0"/>
          <w:i w:val="1"/>
          <w:b w:val="1"/>
          <w:sz w:val="29"/>
          <w:szCs w:val="29"/>
          <w:rFonts w:ascii="Verdana" w:eastAsia="Verdana" w:hAnsi="Verdana" w:cs="Verdana"/>
        </w:rPr>
        <w:t xml:space="preserve"> </w:t>
      </w:r>
      <w:r>
        <w:rPr>
          <w:rtl w:val="0"/>
          <w:i w:val="1"/>
          <w:sz w:val="29"/>
          <w:szCs w:val="29"/>
          <w:rFonts w:ascii="Verdana" w:eastAsia="Verdana" w:hAnsi="Verdana" w:cs="Verdana"/>
        </w:rPr>
        <w:t xml:space="preserve">Зміст заявки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.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Цей документ про офіційне затвердження</w:t>
      </w:r>
    </w:p>
    <w:p>
      <w:pPr>
        <w:spacing w:lineRule="auto" w:line="240" w:after="0"/>
        <w:ind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 на оформлення експрес-перевезення або  у "вузол обслуговування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вантажів"  містить  наступне:</w:t>
      </w:r>
    </w:p>
    <w:p>
      <w:pPr>
        <w:spacing w:lineRule="auto" w:line="240" w:after="0"/>
        <w:ind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9"/>
          <w:szCs w:val="29"/>
          <w:rFonts w:ascii="Verdana" w:eastAsia="Verdana" w:hAnsi="Verdana" w:cs="Verdana"/>
        </w:rPr>
        <w:t xml:space="preserve">  (1)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Повний опис міжнародних вантажоперевезень,</w:t>
      </w:r>
    </w:p>
    <w:p>
      <w:pPr>
        <w:spacing w:lineRule="auto" w:line="240" w:after="0"/>
        <w:ind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включаючи креслення, плани поверхів, а також плану розміщення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об'єкта (ів).</w:t>
      </w:r>
    </w:p>
    <w:p>
      <w:pPr>
        <w:spacing w:lineRule="auto" w:line="240" w:after="0"/>
        <w:ind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9"/>
          <w:szCs w:val="29"/>
          <w:rFonts w:ascii="Verdana" w:eastAsia="Verdana" w:hAnsi="Verdana" w:cs="Verdana"/>
        </w:rPr>
        <w:t xml:space="preserve">  (2)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Процес подання  заявки загального характеру, що включає в себе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інформацію про операції з відправлення експрес-вантажів, а у випадку,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якщо мова йде про пункт експрес-перевізника, списку всіх перевізників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або операторів, які мають намір скористатися послугами цієї фірми.</w:t>
      </w:r>
    </w:p>
    <w:p>
      <w:pPr>
        <w:spacing w:lineRule="auto" w:line="240" w:after="0"/>
        <w:ind w:firstLine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sz w:val="29"/>
          <w:szCs w:val="29"/>
          <w:rFonts w:ascii="Verdana" w:eastAsia="Verdana" w:hAnsi="Verdana" w:cs="Verdana"/>
        </w:rPr>
        <w:t xml:space="preserve">  (3)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 </w:t>
      </w: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Орієнтовна оцінка проведених операцій.</w:t>
      </w:r>
    </w:p>
    <w:p>
      <w:pPr>
        <w:spacing w:lineRule="auto" w:line="240" w:after="0"/>
        <w:ind w:firstLine="0"/>
        <w:rPr>
          <w:b w:val="1"/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after="150"/>
        <w:ind w:firstLine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    (i) Офіційні декларації ; </w:t>
      </w:r>
    </w:p>
    <w:p>
      <w:pPr>
        <w:shd w:val="clear" w:fill="FFFFFF"/>
        <w:spacing w:lineRule="auto" w:line="240" w:after="150"/>
        <w:ind w:firstLine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    (ii) Неофіційні декларації ;</w:t>
      </w:r>
    </w:p>
    <w:p>
      <w:pPr>
        <w:spacing w:lineRule="auto" w:line="240" w:after="150"/>
        <w:ind w:firstLine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    (iii) Вантажі, які не потребують реєстрації (Див. § 128.23 цієї </w:t>
      </w:r>
      <w:r>
        <w:rPr>
          <w:rtl w:val="0"/>
          <w:b w:val="1"/>
          <w:sz w:val="24"/>
          <w:szCs w:val="24"/>
          <w:rFonts w:ascii="Verdana" w:eastAsia="Verdana" w:hAnsi="Verdana" w:cs="Verdana"/>
        </w:rPr>
        <w:t>частини).</w:t>
      </w:r>
    </w:p>
    <w:p>
      <w:pPr>
        <w:spacing w:lineRule="auto" w:line="240" w:after="150"/>
        <w:ind w:firstLine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 (4) Процедура подання  заяви на виплату комісійного  збору за </w:t>
      </w: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обробку вантажу(як зазначено в § 128.13).</w:t>
      </w:r>
    </w:p>
    <w:p>
      <w:pPr>
        <w:spacing w:lineRule="auto" w:line="240" w:after="150"/>
        <w:ind w:firstLine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  (5) Список головних керівників підприємства або посадових </w:t>
      </w:r>
      <w:r>
        <w:rPr>
          <w:rtl w:val="0"/>
          <w:b w:val="1"/>
          <w:sz w:val="24"/>
          <w:szCs w:val="24"/>
          <w:rFonts w:ascii="Verdana" w:eastAsia="Verdana" w:hAnsi="Verdana" w:cs="Verdana"/>
        </w:rPr>
        <w:t>осіб.</w:t>
      </w:r>
    </w:p>
    <w:p>
      <w:pPr>
        <w:spacing w:lineRule="auto" w:line="240" w:after="150"/>
        <w:ind w:firstLine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  (6) Передбачувана дата початку, дні та години операції.</w:t>
      </w:r>
    </w:p>
    <w:p>
      <w:pPr>
        <w:spacing w:lineRule="auto" w:line="240" w:after="150"/>
        <w:ind w:firstLine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   (7) Угода про те, що організація по експрес -перевезенню </w:t>
      </w: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вантажів зобов'язується: </w:t>
      </w:r>
    </w:p>
    <w:p>
      <w:pPr>
        <w:spacing w:lineRule="auto" w:line="240" w:after="150"/>
        <w:ind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Забезпечити обробку всіх вантажів в автоматизованому комерційному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середовищі УТПО- (АПК) або у будь-який інший уповноваженій  УТПО -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системі електронного обміну даними, а також пов'язаних з нею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прикладних програм, включаючи, крім усього іншого Автоматизований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Інтерфейс Брокера (ABI), автоматизовану систему Маніфесту (AMS),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процедуру виявлення підозрілого вантажу, обробку вхідних  заяв.</w:t>
      </w:r>
    </w:p>
    <w:p>
      <w:pPr>
        <w:spacing w:lineRule="auto" w:line="240" w:after="150"/>
        <w:ind w:left="480"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(ii)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Підписання та виконання угоди про забезпечення дотримання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законів в боротьбі з наркотиками разом з Імміграційно-митним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управлінням Сполучених Штатів Америки).</w:t>
      </w:r>
    </w:p>
    <w:p>
      <w:pPr>
        <w:spacing w:lineRule="auto" w:line="240" w:after="150"/>
        <w:ind w:left="480"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(iii)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Забезпечення без будь-яких витрат  Держави належними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службовими приміщеннями, обладнанням, меблями,постачання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продуктів та безпеки у відповідності зі специфікаціями системи УТПО.</w:t>
      </w:r>
    </w:p>
    <w:p>
      <w:pPr>
        <w:spacing w:lineRule="auto" w:line="240" w:after="150"/>
        <w:ind w:left="480"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(iv)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Якщо підприємство є організацією  експрес-перевізником,то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забезпечити митну і прикордонну охорону, Податкове Управління /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Увага :  Відшкодування, 6650 Телеком Драйв, </w:t>
      </w:r>
    </w:p>
    <w:p>
      <w:pPr>
        <w:spacing w:lineRule="auto" w:line="240" w:after="150"/>
        <w:ind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      Suite 100, Індіанаполіс, Індіана 46278, на початку кожного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календарного кварталу, скласти список всіх перевізників або операторів,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які в даний час використовують пункт , і повідомляє це відділення про те,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коли новий перевізник або оператор починає використовувати пункт  або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коли перевізник або оператор припиняє використовувати пункт.</w:t>
      </w:r>
    </w:p>
    <w:p>
      <w:pPr>
        <w:spacing w:lineRule="auto" w:line="240" w:after="150"/>
        <w:ind w:left="480"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(v)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Якщо суб'єкт є вузловим пунктом або експрес-перевізником, то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своєчасно оплачувати всі відповідні збори за обробку, передбачені в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пунктах § 24.23 цієї глави. </w:t>
      </w:r>
    </w:p>
    <w:p>
      <w:pPr>
        <w:spacing w:lineRule="auto" w:line="240" w:after="150"/>
        <w:ind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(c)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Зміни або модифікації в роботі складу.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 Усі запропоновані зміни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або модифікації існуючих затверджених об'єктів по обробці міжнародних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вантажів повинні представлятися в письмовому вигляді на ім’я директора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порту на затвердження  до  їх здійснення і повинні містити інформацію,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зазначену в пункті (b) цього розділу.Ненадання оператором або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перевізником експрес-перевезень дозволу УТПО на внесення будь-яких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змін в міжнародну зону обробки вантажу може призвести до припинення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затвердження в якості пункту або вузла експрес-доставки і процедур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обробки вантажу, і процедури обробки вантажу, що містяться в цій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частині. </w:t>
      </w:r>
    </w:p>
    <w:p>
      <w:pPr>
        <w:spacing w:lineRule="auto" w:line="240" w:after="150"/>
        <w:ind w:left="480"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[Т.Д. 89-53, 54 FR 19566, 8 травня 1989 р. Із змінами, внесеними Т. Д.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93-66, 58 FR 44130, 19 серпня 1993 р .; CBP 07-29 грудня, 72 FR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31725, 8 червня 2007 р .; CBP 15-14 грудня, 80 FR 61287, 13 жовтня </w:t>
      </w:r>
      <w:r>
        <w:rPr>
          <w:rtl w:val="0"/>
          <w:sz w:val="24"/>
          <w:szCs w:val="24"/>
          <w:rFonts w:ascii="Verdana" w:eastAsia="Verdana" w:hAnsi="Verdana" w:cs="Verdana"/>
        </w:rPr>
        <w:t>2015]</w:t>
      </w:r>
    </w:p>
    <w:p>
      <w:pPr>
        <w:shd w:val="clear" w:fill="FFFFFF"/>
        <w:spacing w:lineRule="auto" w:line="240" w:after="0"/>
        <w:rPr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after="0"/>
        <w:rPr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after="0"/>
        <w:rPr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§ 128.12  Затвердження / відхилення заявки і </w:t>
      </w: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призупинення  діючих повноважень .</w:t>
      </w:r>
    </w:p>
    <w:p>
      <w:pPr>
        <w:shd w:val="clear" w:fill="FFFFFF"/>
        <w:spacing w:lineRule="auto" w:line="240" w:before="150" w:after="150"/>
        <w:ind w:firstLine="0"/>
        <w:rPr>
          <w:i w:val="1"/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(a)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>Повiдомлення</w:t>
      </w:r>
    </w:p>
    <w:p>
      <w:pPr>
        <w:numPr>
          <w:ilvl w:val="0"/>
          <w:numId w:val="1"/>
        </w:numPr>
        <w:shd w:val="clear" w:fill="FFFFFF"/>
        <w:spacing w:lineRule="auto" w:line="240" w:after="0"/>
        <w:ind w:left="720" w:hanging="360"/>
        <w:rPr>
          <w:sz w:val="24"/>
          <w:szCs w:val="24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Директор порту негайно письмово повідомляє заявника про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рішення схвалити або відхилити заявку на створення прямого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перевізника або вузлової станції, а також призупинити або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скасувати дію привілеїв на існуючому  об'єкті.</w:t>
      </w:r>
    </w:p>
    <w:p>
      <w:pPr>
        <w:numPr>
          <w:ilvl w:val="0"/>
          <w:numId w:val="1"/>
        </w:numPr>
        <w:shd w:val="clear" w:fill="FFFFFF"/>
        <w:spacing w:lineRule="auto" w:line="240" w:after="150"/>
        <w:ind w:left="720" w:hanging="360"/>
        <w:rPr>
          <w:sz w:val="24"/>
          <w:szCs w:val="24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У повідомленні конкретно вказуються підстави для відмови або для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пропонованого призупинення або відкликання.</w:t>
      </w:r>
    </w:p>
    <w:p>
      <w:pPr>
        <w:shd w:val="clear" w:fill="FFFFFF"/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(b)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Апеляція.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Експрес-консигнаційний орган може подати письмове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повідомлення про апеляцію з проханням про перегляд відмови або про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призупинення або скасування протягом 30 днів після отримання </w:t>
      </w:r>
      <w:r>
        <w:rPr>
          <w:rtl w:val="0"/>
          <w:sz w:val="24"/>
          <w:szCs w:val="24"/>
          <w:rFonts w:ascii="Verdana" w:eastAsia="Verdana" w:hAnsi="Verdana" w:cs="Verdana"/>
        </w:rPr>
        <w:t>повідомлення.</w:t>
      </w:r>
    </w:p>
    <w:p>
      <w:pPr>
        <w:shd w:val="clear" w:fill="FFFFFF"/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(c)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Рекомендація.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Директор порту розглядає заяви і відповіді, що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містяться в апеляції, за винятком випадків, коли в разі призупинення або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скасування дії вимоги про заслуховування безпосередньо звертається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транспортна організація. Апеляція разом з рекомендацією директора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порту прямує до Уповноваженого з митних питань або призначеної ним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особи для прийняття остаточного адміністративного рішення.</w:t>
      </w:r>
    </w:p>
    <w:p>
      <w:pPr>
        <w:shd w:val="clear" w:fill="FFFFFF"/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(d)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Слухання.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У разі запропонованого призупинення або скасування,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слухання можуть бути запрошенi до розгляду протягом 30 днів після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отримання повідомлення.</w:t>
      </w:r>
    </w:p>
    <w:p>
      <w:pPr>
        <w:shd w:val="clear" w:fill="FFFFFF"/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Якщо потрібно заслуховування, то воно проводиться за участю посадової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особи, призначеною Уповноваженим з митних питань або призначеним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нею  особою, яку протягом 30 днів з моменту надходження запиту від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організації, що здійснює експрес-відправлення. Орган повідомляється про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час і місце проведення слухань щонайменше за п'ять днів до їх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проведення. На таких слуханнях безпосередньо вантажна організація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може бути представлена ​​адвокатом, і всі докази і свідчення свідків у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ході таких розглядів, включаючи обгрунтування тверджень і відповіді на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них, представляються з правом перехресного допиту для обох сторін.</w:t>
      </w:r>
    </w:p>
    <w:p>
      <w:pPr>
        <w:shd w:val="clear" w:fill="FFFFFF"/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Стенографічний запис будь-якого такого розгляду складається і копія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такого запису передається експрес-транспортному органу. Після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закінчення слухань всі документи і стенографічні записи до них негайно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передаються Уповноваженому  з митних питань або призначеній  ним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особі разом з рекомендацією щодо прийняття остаточних заходів.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Експрес-консигнаційний орган може подати у письмовій формі додаткові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міркування  чи  аргументи Уповноваженого або призначеної  ним особою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після заслуховування на основі стенографічного запису протягом 10 днів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після видачі йому копії такого запису . Після цього уповноважений або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призначена ним особа виносить рішення в письмовому вигляді із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зазначенням причин. Таке рішення направляється в орган по експрес-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відправці і вважається остаточним адміністративним рішенням.</w:t>
      </w:r>
    </w:p>
    <w:p>
      <w:pPr>
        <w:shd w:val="clear" w:fill="FFFFFF"/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§ 128.13 Комісійний збір за обробку заявок.</w:t>
      </w:r>
    </w:p>
    <w:p>
      <w:pPr>
        <w:shd w:val="clear" w:fill="FFFFFF"/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</w:p>
    <w:p>
      <w:pPr>
        <w:shd w:val="clear" w:fill="FFFFFF"/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Кожним оператором вузла або пунктом доставки експрес-вантажів буде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стягуватися плата за створення, зміну або релокацію  такого пункта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доставки, який визначається відповідно до положень пункту розділу 9701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частини 31 (Звід кодексу законів США ) .</w:t>
      </w:r>
    </w:p>
    <w:p>
      <w:pPr>
        <w:shd w:val="clear" w:fill="FFFFFF"/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Розмір збору буде періодично проаналізовано та розглянуто  з метою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відображення змін у витратах на обробку вантажу, а також будь-які зміни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до них будуть опубліковані в Федеральному Реєстрі у "Митному Бюлетені".</w:t>
      </w:r>
    </w:p>
    <w:p>
      <w:pPr>
        <w:shd w:val="clear" w:fill="FFFFFF"/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</w:p>
    <w:p>
      <w:pPr>
        <w:shd w:val="clear" w:fill="FFFFFF"/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</w:p>
    <w:p>
      <w:pPr>
        <w:shd w:val="clear" w:fill="FFFFFF"/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§ 128.21 Вимоги до Маніфесту .</w:t>
      </w:r>
    </w:p>
    <w:p>
      <w:pPr>
        <w:shd w:val="clear" w:fill="FFFFFF"/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</w:p>
    <w:p>
      <w:pPr>
        <w:shd w:val="clear" w:fill="FFFFFF"/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(a)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Додаткова інформація .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Оператори і перевізники експрес-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перевезень надають наступну інформацію про вантажний маніфест до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прибуття всього вантажу, включаючи всі предмети, для перевезення яких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не потрібно такий вид реєстрації, як вказаний  в пункті  § 128.23, (які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повинні вказуватися окремо, а також вказано статус їх ввезення ) на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додаток до інформації та документів, які вимагаються відповідно до інших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положень цього розділу:</w:t>
      </w:r>
    </w:p>
    <w:p>
      <w:pPr>
        <w:shd w:val="clear" w:fill="FFFFFF"/>
        <w:spacing w:lineRule="auto" w:line="240" w:after="150"/>
        <w:ind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    (1)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Країна походження товару.</w:t>
      </w:r>
    </w:p>
    <w:p>
      <w:pPr>
        <w:shd w:val="clear" w:fill="FFFFFF"/>
        <w:spacing w:lineRule="auto" w:line="240" w:after="150"/>
        <w:ind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    (2)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Найменування, адреса і країна вантажовідправника.</w:t>
      </w:r>
    </w:p>
    <w:p>
      <w:pPr>
        <w:shd w:val="clear" w:fill="FFFFFF"/>
        <w:spacing w:lineRule="auto" w:line="240" w:after="150"/>
        <w:ind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    (3)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Кінцеве ім'я вантажоодержувача і його адреса.</w:t>
      </w:r>
    </w:p>
    <w:p>
      <w:pPr>
        <w:shd w:val="clear" w:fill="FFFFFF"/>
        <w:spacing w:lineRule="auto" w:line="240" w:after="150"/>
        <w:ind w:firstLine="0"/>
        <w:rPr>
          <w:sz w:val="27"/>
          <w:szCs w:val="27"/>
          <w:highlight w:val="white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     </w:t>
      </w:r>
      <w:r>
        <w:rPr>
          <w:rtl w:val="0"/>
          <w:b w:val="1"/>
          <w:sz w:val="24"/>
          <w:szCs w:val="24"/>
          <w:rFonts w:ascii="Verdana" w:eastAsia="Verdana" w:hAnsi="Verdana" w:cs="Verdana"/>
        </w:rPr>
        <w:t>(4)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sz w:val="27"/>
          <w:szCs w:val="27"/>
          <w:highlight w:val="white"/>
          <w:rFonts w:ascii="Verdana" w:eastAsia="Verdana" w:hAnsi="Verdana" w:cs="Verdana"/>
        </w:rPr>
        <w:t xml:space="preserve">Конкретний опис товарів і послуг, і за таких умов номер </w:t>
      </w:r>
      <w:r>
        <w:rPr>
          <w:rtl w:val="0"/>
          <w:sz w:val="27"/>
          <w:szCs w:val="27"/>
          <w:highlight w:val="white"/>
          <w:rFonts w:ascii="Verdana" w:eastAsia="Verdana" w:hAnsi="Verdana" w:cs="Verdana"/>
        </w:rPr>
        <w:t xml:space="preserve">підкатегорії Узгодженої тарифної шкали Сполучених Штатів </w:t>
      </w:r>
      <w:r>
        <w:rPr>
          <w:rtl w:val="0"/>
          <w:sz w:val="24"/>
          <w:szCs w:val="24"/>
          <w:rFonts w:ascii="Verdana" w:eastAsia="Verdana" w:hAnsi="Verdana" w:cs="Verdana"/>
        </w:rPr>
        <w:t>(HTSUS)</w:t>
      </w:r>
      <w:r>
        <w:rPr>
          <w:rtl w:val="0"/>
          <w:sz w:val="27"/>
          <w:szCs w:val="27"/>
          <w:highlight w:val="white"/>
          <w:rFonts w:ascii="Verdana" w:eastAsia="Verdana" w:hAnsi="Verdana" w:cs="Verdana"/>
        </w:rPr>
        <w:t>:</w:t>
      </w:r>
    </w:p>
    <w:p>
      <w:pPr>
        <w:shd w:val="clear" w:fill="FFFFFF"/>
        <w:spacing w:lineRule="auto" w:line="240" w:after="150"/>
        <w:ind w:left="255"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(i)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якщо товар має бути офіційно зареєстрований, як це передбачено в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пункті § 128.25; або </w:t>
      </w:r>
    </w:p>
    <w:p>
      <w:pPr>
        <w:shd w:val="clear" w:fill="FFFFFF"/>
        <w:spacing w:lineRule="auto" w:line="240" w:after="150"/>
        <w:ind w:left="255"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(ii)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Якщо товар підпадає під дію і ввозиться відповідно до не-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офіційних процедур  ввезення, передбаченими в пунктах § 128.24, але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не може бути звільнений від мит та податків, оскільки мова йде про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партію товарів, імпортованих однією особою в один день і мають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справедливу роздрібну вартість у країні відвантаження, що не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перевищує суму  800 доларів, як це передбачено в пункті § 128.24 (е).</w:t>
      </w:r>
    </w:p>
    <w:p>
      <w:pPr>
        <w:shd w:val="clear" w:fill="FFFFFF"/>
        <w:spacing w:lineRule="auto" w:line="240" w:after="150"/>
        <w:ind w:left="255" w:firstLine="0"/>
        <w:rPr>
          <w:b w:val="1"/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after="150"/>
        <w:ind w:left="15" w:firstLine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(5) Кількість.</w:t>
      </w:r>
    </w:p>
    <w:p>
      <w:pPr>
        <w:shd w:val="clear" w:fill="FFFFFF"/>
        <w:spacing w:lineRule="auto" w:line="240" w:after="150"/>
        <w:ind w:left="15" w:firstLine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(6) Вага при транспортуванні.</w:t>
      </w:r>
    </w:p>
    <w:p>
      <w:pPr>
        <w:shd w:val="clear" w:fill="FFFFFF"/>
        <w:spacing w:lineRule="auto" w:line="240" w:after="150"/>
        <w:ind w:left="15" w:firstLine="0"/>
        <w:rPr>
          <w:b w:val="1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(7) Вартість.</w:t>
      </w:r>
    </w:p>
    <w:p>
      <w:pPr>
        <w:shd w:val="clear" w:fill="FFFFFF"/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(b)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Якщо партії товарів фізично відсортовані по країні походження, то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коли вони надходять в центр або пункт по експрес-доставці або на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митницю таким чином, то попередня інформація в маніфесті повинна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також бути  представлена з розбивкою по країні походження.</w:t>
      </w:r>
    </w:p>
    <w:p>
      <w:pPr>
        <w:shd w:val="clear" w:fill="FFFFFF"/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Arial" w:eastAsia="Arial" w:hAnsi="Arial" w:cs="Arial"/>
        </w:rPr>
        <w:t xml:space="preserve">[Т.Д. 89-53, 54 FR 19566, 8 травня 1989 р. Із змінами, внесеними Т. Д. 94-51, 59 FR </w:t>
      </w:r>
      <w:r>
        <w:rPr>
          <w:rtl w:val="0"/>
          <w:sz w:val="24"/>
          <w:szCs w:val="24"/>
          <w:rFonts w:ascii="Arial" w:eastAsia="Arial" w:hAnsi="Arial" w:cs="Arial"/>
        </w:rPr>
        <w:t xml:space="preserve">30294, 13 червня 1994 р .; CBP, грудень № 16-13, 81 FR 58833, 26 серпня 2016]</w:t>
      </w: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§ 128.22 Заставні види товарів.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Кожен оператор або перевізник експрес-перевезень повинен бути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визнаний митним органом в якості міжнародного перевізника 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затверджений в якості перевізника заставних товарів,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а також повинен надати заповнений бланк облігації в митній формі 301,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що містить умови застави, викладені в пунктах §§ 113.62, 113.63, 113.64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і 113.66 цієї глави для забезпечення дотримання митних вимог, що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стосуються імпорту та ввезення товарів, а також перевезення товарів і їх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зберігання під митним контролем. </w:t>
      </w: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§ 128.23 Вхідні вимоги.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(a)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Загальні правила .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За винятком випадків, передбачених у пункті (с)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цього розділу, всі предмети, що перевозяться організацією експрес-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доставки, реєструються особою, яка має право на реєстрацію.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(b)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>Процедури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- </w:t>
      </w:r>
    </w:p>
    <w:p>
      <w:pPr>
        <w:spacing w:lineRule="auto" w:line="240" w:after="150"/>
        <w:ind w:left="240"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(1)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Загальні відомості.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Всі організації, які здійснюють експрес-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відправлення, які використовують процедури, передбачені в цій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частини, повинні дотримуватися вимог автоматизованого комерційного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середовища (АСЕ) УТПО  або будь-який інший санкціонованої УТПО-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системи електронного обміну даними. Ці вимоги включають вимоги в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рамках Автоматизованої системи маніфестів (АПП), процедури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виявлення підозрілого вантажу, процес обробки заяв, автоматизовану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систему інтерфейсу брокерів (АБІ) і удосконалення АКС або будь-який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інший системи електронного обміну даними, санкціонованої ТПС. </w:t>
      </w:r>
    </w:p>
    <w:p>
      <w:pPr>
        <w:spacing w:lineRule="auto" w:line="240" w:after="150"/>
        <w:ind w:left="240" w:firstLine="0"/>
        <w:rPr>
          <w:i w:val="1"/>
          <w:b w:val="1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150"/>
        <w:ind w:left="240"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(2)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Вхідний номер .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Всі реєстраційні номери повинні вiдповiдати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вимогам системі УТПО в форматі, який можна зчитувати за  допомогою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штрих-кода, затвердженому УТПО, з тим щоб сприяти обробці експрес-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вантажів відповідно до автоматизованого комерційного середовища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(АПК) системи УТПО або будь-який інший санкціонованій  УТПО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системи електронного обміну даними. 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(c)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Винятки.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Статті, конкретно не підпадають під дію пункту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  § 141.4 (b) цієї глави, необов'язково повинні задовольняти загальним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правилам, викладеним у пункті (а) цього розділу.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[Т.Д. 94-51, 59 FR 30294, 13 червня 1994 р. зi змінами, внесеними CBP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15-14 грудня, 80 FR 61287, 13 жовтня 2015 р.] </w:t>
      </w: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§ 128.24 Неофіційні процедури ввезення.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(a)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>Критерії.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Неофіційні процедури ввезення використовуються  у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поставках, загальна вартiсть  яких у грошовому еквiвалентi не повинна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перевищувати  суму 2500 $ і, які імпортуються за допомогою роботи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операторів експрес-перевезень, а також перевізниками.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Вартість окремих партій товарів на загальну суму 2500 $ або менше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можуть бути об'єднані під одним реєстраційним номером.Однак, такі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процедури не можуть використовуватися по відношенню заборонених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або обмежених партій товарів, товарів, на які поширюються квоти або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інші кількісні обмеження,або щодо будь-яких статей, які не допускаються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до неофіційних процедур ввезення в силу дії статті 498 Закону про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тарифи 1930 року з внесеними до нього поправками.(Збірка законів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Кодексу США, частина 19, 1498). 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(b)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Процедури .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Форма 3461 системи УТПО, або її електронний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еквівалент, належним чином модифікована для охоплення всього спектру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імпортних поставок відповідно до спеціальних процедур, що містяться в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цій частині, повинна бути представлена до початку операцій по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створенню вузла або пункту експрес-доставки.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Сторона, яка може зареєструватись  відповідно до пункту § 143.26 цієї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глави, може подати копію рахунку-фактури або попереднього маніфесту,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як описано у  пункті § 128.21 замість інших контрольних документів. 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(c)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Альтернативні процедури.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Сторона, яка може зареєструватися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відповідно до пункту § 143.26 цієї глави, зобов'язана надати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індивідуальну форму системи УТПО- 3461, або її електронний еквівалент,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який має право здійснювати, як регулярні перевезення, так 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авіаперевезення. Комерційні рахунки-фактури або попередні маніфести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повинні додаватися до форми системи-УТПО 3461 або до її електронного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еквіваленту, який буде містити номер реєстрації, а також будь-яку іншу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інформацію, яку директор порту визнає необхідною. У бланку 3461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системи- УТПО повинен бути зроблений запис про те, що ця реєстрація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включає в себе кілька партій. 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(d) Короткий опис товарів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>.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Короткий опис товарів, що ввозяться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(форма 7501 системи- УТПО або її електронний еквівалент) повинна бути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представлена в належній формі, і розрахункові мита, депоновані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протягом 10 днів з моменту випуску товару у відповідності або зі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звичайною, або альтернативної процедурою, описаною в цьому розділі.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Однак в пункті (е) цього розділу йдеться про те,що оцінюється партія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вантажу в 800 доларів США або менше. (E) Вартість поставок становила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800 доларів або менше.Поставки вартістю 800 доларів або менше, що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відповідають вимогам § 10.151 цієї глави будуть звільнені від мит та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податків. </w:t>
      </w:r>
    </w:p>
    <w:p>
      <w:pPr>
        <w:spacing w:lineRule="auto" w:line="240" w:before="150" w:after="15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>(e)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i w:val="1"/>
          <w:b w:val="1"/>
          <w:sz w:val="24"/>
          <w:szCs w:val="24"/>
          <w:rFonts w:ascii="Verdana" w:eastAsia="Verdana" w:hAnsi="Verdana" w:cs="Verdana"/>
        </w:rPr>
        <w:t xml:space="preserve">Поставки вартістю 800 доларів або менше.</w:t>
      </w: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Поставки вартістю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800 доларів або менше, що відповідають вимогам § 10.151 цієї глави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будуть звільнені від мит та податків. Такі партії повинні бути відокремлені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від партій, вартість яких становить понад 800 доларів США, якщо в якості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в'їзного документа використовується попередній маніфест, як це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передбачено в пункті § 128.21.Такі партії повинні бути відокремлені від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партій, вартість яких становить понад 800 доларів США, якщо в якості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в'їзного документа використовується попередній маніфест, як це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передбачено в пункті § 128.21. Якщо такий попередній маніфест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використовується в якості документа на ввезення, то щодо вантажів, які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підпадають під дію цього пункту, не потрібно надавати  наступні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документи: </w:t>
      </w:r>
    </w:p>
    <w:p>
      <w:pPr>
        <w:numPr>
          <w:ilvl w:val="0"/>
          <w:numId w:val="2"/>
        </w:numPr>
        <w:spacing w:lineRule="auto" w:line="240" w:after="150"/>
        <w:ind w:left="720" w:hanging="360"/>
        <w:rPr>
          <w:sz w:val="24"/>
          <w:szCs w:val="24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Узгоджена тарифна шкала Сполучених  Штатів (HTSUS) номер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підкатегорії (див .: § 128.21 (а) (4)); і</w:t>
      </w:r>
    </w:p>
    <w:p>
      <w:pPr>
        <w:spacing w:lineRule="auto" w:line="240" w:after="150"/>
        <w:ind w:left="240"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sz w:val="24"/>
          <w:szCs w:val="24"/>
          <w:rFonts w:ascii="Verdana" w:eastAsia="Verdana" w:hAnsi="Verdana" w:cs="Verdana"/>
        </w:rPr>
        <w:t xml:space="preserve">  (2) 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Короткий опис товарів , що ввозяться(див., пункт (d) цього </w:t>
      </w:r>
      <w:r>
        <w:rPr>
          <w:rtl w:val="0"/>
          <w:sz w:val="24"/>
          <w:szCs w:val="24"/>
          <w:rFonts w:ascii="Verdana" w:eastAsia="Verdana" w:hAnsi="Verdana" w:cs="Verdana"/>
        </w:rPr>
        <w:t>розділу).</w:t>
      </w:r>
    </w:p>
    <w:p>
      <w:pPr>
        <w:spacing w:lineRule="auto" w:line="240" w:after="150"/>
        <w:ind w:left="240" w:firstLine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Arial" w:eastAsia="Arial" w:hAnsi="Arial" w:cs="Arial"/>
        </w:rPr>
        <w:t xml:space="preserve">[T.D. 89-53, 54 FR 19566 8 травня 1989 року, зі змінами, внесеними T.D. 94-51, 59 </w:t>
      </w:r>
      <w:r>
        <w:rPr>
          <w:rtl w:val="0"/>
          <w:sz w:val="24"/>
          <w:szCs w:val="24"/>
          <w:rFonts w:ascii="Arial" w:eastAsia="Arial" w:hAnsi="Arial" w:cs="Arial"/>
        </w:rPr>
        <w:t xml:space="preserve">FR 30294, 13 червня 1994 р.; ТД 95-31, 60 FR 18991, 14 квітня 1995 р.; ТД 98-28, </w:t>
      </w:r>
      <w:r>
        <w:rPr>
          <w:rtl w:val="0"/>
          <w:sz w:val="24"/>
          <w:szCs w:val="24"/>
          <w:rFonts w:ascii="Arial" w:eastAsia="Arial" w:hAnsi="Arial" w:cs="Arial"/>
        </w:rPr>
        <w:t xml:space="preserve">63 FR 16417, 3 квітня 1998 р.; 77 FR 72720, 6 грудня 2012 р.; CBP 15-14 грудня </w:t>
      </w:r>
      <w:r>
        <w:rPr>
          <w:rtl w:val="0"/>
          <w:sz w:val="24"/>
          <w:szCs w:val="24"/>
          <w:rFonts w:ascii="Arial" w:eastAsia="Arial" w:hAnsi="Arial" w:cs="Arial"/>
        </w:rPr>
        <w:t xml:space="preserve">80 FR 61287, 13 жовтня 2015 року; CBP, дек. № 16-13, 81 FR 58833, 26 серпня </w:t>
      </w:r>
      <w:r>
        <w:rPr>
          <w:rtl w:val="0"/>
          <w:sz w:val="24"/>
          <w:szCs w:val="24"/>
          <w:rFonts w:ascii="Arial" w:eastAsia="Arial" w:hAnsi="Arial" w:cs="Arial"/>
        </w:rPr>
        <w:t xml:space="preserve">2016 р] </w:t>
      </w: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sz w:val="29"/>
          <w:szCs w:val="29"/>
          <w:rFonts w:ascii="Verdana" w:eastAsia="Verdana" w:hAnsi="Verdana" w:cs="Verdana"/>
        </w:rPr>
        <w:t xml:space="preserve">§ 128.25 Офіційні процедури ввезення .</w:t>
      </w: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Офіційна реєстрація вантажу, передбачена відповідно до пункту 19 (1484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в частинах 141, 142 і 143</w:t>
      </w:r>
    </w:p>
    <w:p>
      <w:pPr>
        <w:spacing w:lineRule="auto" w:line="240" w:after="0"/>
        <w:rPr>
          <w:sz w:val="24"/>
          <w:szCs w:val="24"/>
          <w:rFonts w:ascii="Verdana" w:eastAsia="Verdana" w:hAnsi="Verdana" w:cs="Verdana"/>
        </w:rPr>
      </w:pPr>
      <w:r>
        <w:rPr>
          <w:rtl w:val="0"/>
          <w:sz w:val="24"/>
          <w:szCs w:val="24"/>
          <w:rFonts w:ascii="Verdana" w:eastAsia="Verdana" w:hAnsi="Verdana" w:cs="Verdana"/>
        </w:rPr>
        <w:t xml:space="preserve">(за винятком частини) цієї глави, потрібна для всіх партій товарів,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стосовно до  яких перевищені грошові обмеження  неофіційного ввезення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(Див. § 128.24), а також будь-який вантаж, для перевезення якого не </w:t>
      </w:r>
      <w:r>
        <w:rPr>
          <w:rtl w:val="0"/>
          <w:sz w:val="24"/>
          <w:szCs w:val="24"/>
          <w:rFonts w:ascii="Verdana" w:eastAsia="Verdana" w:hAnsi="Verdana" w:cs="Verdana"/>
        </w:rPr>
        <w:t xml:space="preserve">мають бути використані неофіційні процедури ввезення (див. § 128.24).</w:t>
      </w:r>
    </w:p>
    <w:p>
      <w:pPr>
        <w:spacing w:lineRule="auto" w:line="240" w:after="0"/>
        <w:rPr>
          <w:b w:val="1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150"/>
        <w:ind w:left="240"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before="150" w:after="150"/>
        <w:rPr>
          <w:i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before="150" w:after="150"/>
        <w:rPr>
          <w:i w:val="1"/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before="150" w:after="150"/>
        <w:rPr>
          <w:i w:val="1"/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before="150" w:after="150"/>
        <w:rPr>
          <w:i w:val="1"/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before="150" w:after="150"/>
        <w:rPr>
          <w:i w:val="1"/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before="150" w:after="150"/>
        <w:rPr>
          <w:i w:val="1"/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before="150" w:after="15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before="150" w:after="15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before="150" w:after="150"/>
        <w:rPr>
          <w:i w:val="1"/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150"/>
        <w:ind w:left="240" w:firstLine="0"/>
        <w:rPr>
          <w:i w:val="1"/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hd w:val="clear" w:fill="FFFFFF"/>
        <w:spacing w:lineRule="auto" w:line="240" w:before="150" w:after="150"/>
        <w:rPr>
          <w:i w:val="1"/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after="150"/>
        <w:ind w:left="255"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after="150"/>
        <w:ind w:firstLine="0"/>
        <w:rPr>
          <w:color w:val="32485F"/>
          <w:sz w:val="27"/>
          <w:szCs w:val="27"/>
          <w:highlight w:val="white"/>
          <w:rFonts w:ascii="Verdana" w:eastAsia="Verdana" w:hAnsi="Verdana" w:cs="Verdana"/>
        </w:rPr>
      </w:pPr>
    </w:p>
    <w:p>
      <w:pPr>
        <w:shd w:val="clear" w:fill="FFFFFF"/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hd w:val="clear" w:fill="FFFFFF"/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  <w:r>
        <w:rPr>
          <w:rtl w:val="0"/>
          <w:b w:val="1"/>
          <w:color w:val="333333"/>
          <w:sz w:val="29"/>
          <w:szCs w:val="29"/>
          <w:rFonts w:ascii="Verdana" w:eastAsia="Verdana" w:hAnsi="Verdana" w:cs="Verdana"/>
        </w:rPr>
        <w:t xml:space="preserve">                         </w:t>
      </w:r>
    </w:p>
    <w:p>
      <w:pPr>
        <w:shd w:val="clear" w:fill="FFFFFF"/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hd w:val="clear" w:fill="FFFFFF"/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hd w:val="clear" w:fill="FFFFFF"/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hd w:val="clear" w:fill="FFFFFF"/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before="150" w:after="150"/>
        <w:rPr>
          <w:color w:val="333333"/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before="150" w:after="150"/>
        <w:rPr>
          <w:i w:val="1"/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150"/>
        <w:ind w:left="480"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150"/>
        <w:ind w:left="480"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150"/>
        <w:ind w:left="480"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150"/>
        <w:ind w:left="480"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150"/>
        <w:ind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150"/>
        <w:ind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150"/>
        <w:ind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150"/>
        <w:ind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  <w:r>
        <w:rPr>
          <w:rtl w:val="0"/>
          <w:b w:val="1"/>
          <w:color w:val="333333"/>
          <w:sz w:val="24"/>
          <w:szCs w:val="24"/>
          <w:rFonts w:ascii="Verdana" w:eastAsia="Verdana" w:hAnsi="Verdana" w:cs="Verdana"/>
        </w:rPr>
        <w:t xml:space="preserve"> </w:t>
      </w:r>
    </w:p>
    <w:p>
      <w:pPr>
        <w:spacing w:lineRule="auto" w:line="240" w:after="150"/>
        <w:ind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150"/>
        <w:ind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after="150"/>
        <w:ind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after="150"/>
        <w:ind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hd w:val="clear" w:fill="FFFFFF"/>
        <w:spacing w:lineRule="auto" w:line="240" w:after="150"/>
        <w:ind w:firstLine="0"/>
        <w:rPr>
          <w:b w:val="1"/>
          <w:color w:val="333333"/>
          <w:sz w:val="24"/>
          <w:szCs w:val="24"/>
          <w:rFonts w:ascii="Verdana" w:eastAsia="Verdana" w:hAnsi="Verdana" w:cs="Verdana"/>
        </w:rPr>
      </w:pPr>
    </w:p>
    <w:p>
      <w:pPr>
        <w:spacing w:lineRule="auto" w:line="240" w:after="0"/>
        <w:ind w:firstLine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ind w:firstLine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ind w:firstLine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ind w:firstLine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ind w:firstLine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ind w:firstLine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ind w:firstLine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ind w:firstLine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ind w:firstLine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ind w:firstLine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ind w:firstLine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ind w:left="720" w:firstLine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after="0"/>
        <w:rPr>
          <w:b w:val="1"/>
          <w:color w:val="333333"/>
          <w:sz w:val="29"/>
          <w:szCs w:val="29"/>
          <w:rFonts w:ascii="Verdana" w:eastAsia="Verdana" w:hAnsi="Verdana" w:cs="Verdana"/>
        </w:rPr>
      </w:pPr>
    </w:p>
    <w:p>
      <w:pPr>
        <w:spacing w:lineRule="auto" w:line="240" w:before="150" w:after="150"/>
        <w:rPr>
          <w:color w:val="32485F"/>
          <w:sz w:val="33"/>
          <w:szCs w:val="33"/>
          <w:shd w:val="clear" w:fill="E8EDF6"/>
          <w:rFonts w:ascii="Verdana" w:eastAsia="Verdana" w:hAnsi="Verdana" w:cs="Verdana"/>
        </w:rPr>
      </w:pPr>
      <w:r>
        <w:rPr>
          <w:rtl w:val="0"/>
          <w:color w:val="333333"/>
          <w:sz w:val="24"/>
          <w:szCs w:val="24"/>
          <w:rFonts w:ascii="Verdana" w:eastAsia="Verdana" w:hAnsi="Verdana" w:cs="Verdana"/>
        </w:rPr>
        <w:t xml:space="preserve"> </w:t>
      </w:r>
    </w:p>
    <w:p>
      <w:pPr>
        <w:rPr/>
      </w:pPr>
      <w:bookmarkStart w:id="5" w:name="_2et92p0"/>
      <w:bookmarkEnd w:id="5"/>
    </w:p>
    <w:p>
      <w:pPr>
        <w:rPr/>
      </w:pPr>
      <w:bookmarkStart w:id="6" w:name="_tyjcwt"/>
      <w:bookmarkEnd w:id="6"/>
    </w:p>
    <w:sectPr>
      <w:pgSz w:w="11906" w:h="16838"/>
      <w:pgMar w:top="1134" w:left="1701" w:bottom="1134" w:right="850" w:gutter="0"/>
      <w:pgNumType w:fmt="decimal" w:start="1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/>
    <w:charset w:val="129"/>
    <w:family w:val="auto"/>
    <w:pitch w:val="default"/>
    <w:sig w:usb0="00000000" w:usb1="00000000" w:usb2="00000000" w:usb3="00000000" w:csb0="00000000" w:csb1="00000000"/>
  </w:font>
  <w:font w:name="Georgia">
    <w:panose1/>
    <w:charset w:val="129"/>
    <w:family w:val="auto"/>
    <w:pitch w:val="default"/>
    <w:sig w:usb0="00000000" w:usb1="00000000" w:usb2="00000000" w:usb3="00000000" w:csb0="00000000" w:csb1="00000000"/>
  </w:font>
  <w:font w:name="Verdana">
    <w:panose1/>
    <w:charset w:val="129"/>
    <w:family w:val="auto"/>
    <w:pitch w:val="default"/>
    <w:sig w:usb0="00000000" w:usb1="00000000" w:usb2="00000000" w:usb3="00000000" w:csb0="00000000" w:csb1="00000000"/>
  </w:font>
  <w:font w:name="Times New Roman">
    <w:panose1/>
    <w:charset w:val="129"/>
    <w:family w:val="auto"/>
    <w:pitch w:val="default"/>
    <w:sig w:usb0="00000000" w:usb1="00000000" w:usb2="00000000" w:usb3="00000000" w:csb0="00000000" w:csb1="00000000"/>
  </w:font>
  <w:font w:name="Arial">
    <w:panose1/>
    <w:charset w:val="129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tab"/>
      <w:pPr>
        <w:ind w:left="720" w:hanging="360"/>
        <w:rPr/>
      </w:pPr>
      <w:rPr>
        <w:b w:val="1"/>
        <w:u w:val="none"/>
        <w:rFonts w:ascii="Arial" w:eastAsia="Arial" w:hAnsi="Arial" w:cs="Arial"/>
      </w:rPr>
      <w:lvlText w:val="(%1)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u w:val="none"/>
      </w:rPr>
      <w:lvlText w:val="(%2)"/>
    </w:lvl>
    <w:lvl w:ilvl="2">
      <w:lvlJc w:val="right"/>
      <w:numFmt w:val="lowerRoman"/>
      <w:start w:val="1"/>
      <w:suff w:val="tab"/>
      <w:pPr>
        <w:ind w:left="2160" w:hanging="360"/>
        <w:rPr/>
      </w:pPr>
      <w:rPr>
        <w:u w:val="none"/>
      </w:rPr>
      <w:lvlText w:val="(%3)"/>
    </w:lvl>
    <w:lvl w:ilvl="3">
      <w:lvlJc w:val="left"/>
      <w:numFmt w:val="decimal"/>
      <w:start w:val="1"/>
      <w:suff w:val="tab"/>
      <w:pPr>
        <w:ind w:left="2880" w:hanging="360"/>
        <w:rPr/>
      </w:pPr>
      <w:rPr>
        <w:u w:val="none"/>
      </w:rPr>
      <w:lvlText w:val="%4)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u w:val="none"/>
      </w:rPr>
      <w:lvlText w:val="%5)"/>
    </w:lvl>
    <w:lvl w:ilvl="5">
      <w:lvlJc w:val="right"/>
      <w:numFmt w:val="lowerRoman"/>
      <w:start w:val="1"/>
      <w:suff w:val="tab"/>
      <w:pPr>
        <w:ind w:left="4320" w:hanging="360"/>
        <w:rPr/>
      </w:pPr>
      <w:rPr>
        <w:u w:val="none"/>
      </w:rPr>
      <w:lvlText w:val="%6)"/>
    </w:lvl>
    <w:lvl w:ilvl="6">
      <w:lvlJc w:val="left"/>
      <w:numFmt w:val="decimal"/>
      <w:start w:val="1"/>
      <w:suff w:val="tab"/>
      <w:pPr>
        <w:ind w:left="5040" w:hanging="360"/>
        <w:rPr/>
      </w:pPr>
      <w:rPr>
        <w:u w:val="none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u w:val="none"/>
      </w:rPr>
      <w:lvlText w:val="%8."/>
    </w:lvl>
    <w:lvl w:ilvl="8">
      <w:lvlJc w:val="right"/>
      <w:numFmt w:val="lowerRoman"/>
      <w:start w:val="1"/>
      <w:suff w:val="tab"/>
      <w:pPr>
        <w:ind w:left="6480" w:hanging="360"/>
        <w:rPr/>
      </w:pPr>
      <w:rPr>
        <w:u w:val="none"/>
      </w:rPr>
      <w:lvlText w:val="%9."/>
    </w:lvl>
  </w:abstractNum>
  <w:abstractNum w:abstractNumId="1">
    <w:multiLevelType w:val="hybridMultilevel"/>
    <w:nsid w:val="2F000001"/>
    <w:tmpl w:val="1F002411"/>
    <w:lvl w:ilvl="0">
      <w:lvlJc w:val="left"/>
      <w:numFmt w:val="decimal"/>
      <w:start w:val="1"/>
      <w:suff w:val="tab"/>
      <w:pPr>
        <w:ind w:left="720" w:hanging="360"/>
        <w:rPr/>
      </w:pPr>
      <w:rPr>
        <w:b w:val="1"/>
        <w:u w:val="none"/>
        <w:rFonts w:ascii="Arial" w:eastAsia="Arial" w:hAnsi="Arial" w:cs="Arial"/>
      </w:rPr>
      <w:lvlText w:val="(%1)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u w:val="none"/>
      </w:rPr>
      <w:lvlText w:val="(%2)"/>
    </w:lvl>
    <w:lvl w:ilvl="2">
      <w:lvlJc w:val="right"/>
      <w:numFmt w:val="lowerRoman"/>
      <w:start w:val="1"/>
      <w:suff w:val="tab"/>
      <w:pPr>
        <w:ind w:left="2160" w:hanging="360"/>
        <w:rPr/>
      </w:pPr>
      <w:rPr>
        <w:u w:val="none"/>
      </w:rPr>
      <w:lvlText w:val="(%3)"/>
    </w:lvl>
    <w:lvl w:ilvl="3">
      <w:lvlJc w:val="left"/>
      <w:numFmt w:val="decimal"/>
      <w:start w:val="1"/>
      <w:suff w:val="tab"/>
      <w:pPr>
        <w:ind w:left="2880" w:hanging="360"/>
        <w:rPr/>
      </w:pPr>
      <w:rPr>
        <w:u w:val="none"/>
      </w:rPr>
      <w:lvlText w:val="%4)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u w:val="none"/>
      </w:rPr>
      <w:lvlText w:val="%5)"/>
    </w:lvl>
    <w:lvl w:ilvl="5">
      <w:lvlJc w:val="right"/>
      <w:numFmt w:val="lowerRoman"/>
      <w:start w:val="1"/>
      <w:suff w:val="tab"/>
      <w:pPr>
        <w:ind w:left="4320" w:hanging="360"/>
        <w:rPr/>
      </w:pPr>
      <w:rPr>
        <w:u w:val="none"/>
      </w:rPr>
      <w:lvlText w:val="%6)"/>
    </w:lvl>
    <w:lvl w:ilvl="6">
      <w:lvlJc w:val="left"/>
      <w:numFmt w:val="decimal"/>
      <w:start w:val="1"/>
      <w:suff w:val="tab"/>
      <w:pPr>
        <w:ind w:left="5040" w:hanging="360"/>
        <w:rPr/>
      </w:pPr>
      <w:rPr>
        <w:u w:val="none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u w:val="none"/>
      </w:rPr>
      <w:lvlText w:val="%8."/>
    </w:lvl>
    <w:lvl w:ilvl="8">
      <w:lvlJc w:val="right"/>
      <w:numFmt w:val="lowerRoman"/>
      <w:start w:val="1"/>
      <w:suff w:val="tab"/>
      <w:pPr>
        <w:ind w:left="6480" w:hanging="360"/>
        <w:rPr/>
      </w:pPr>
      <w:rPr>
        <w:u w:val="none"/>
      </w:rPr>
      <w:lvlText w:val="%9.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59" w:after="160"/>
        <w:rPr/>
      </w:pPr>
    </w:pPrDefault>
    <w:rPrDefault>
      <w:rPr>
        <w:sz w:val="22"/>
        <w:szCs w:val="22"/>
        <w:rFonts w:ascii="Calibri" w:eastAsia="Calibri" w:hAnsi="Calibri" w:cs="Calibri"/>
        <w:lang w:val="en-US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59"/>
      <w:rPr/>
      <w:autoSpaceDE w:val="0"/>
      <w:autoSpaceDN w:val="0"/>
    </w:pPr>
    <w:rPr>
      <w:color w:val="auto"/>
      <w:sz w:val="20"/>
      <w:szCs w:val="20"/>
      <w:rFonts w:ascii="Segoe UI" w:eastAsia="Segoe UI" w:hAnsi="Segoe UI" w:cs="Segoe UI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0"/>
      <w:szCs w:val="20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  <w:style w:styleId="PO6" w:type="paragraph">
    <w:name w:val="Title"/>
    <w:basedOn w:val="PO151"/>
    <w:next w:val="PO151"/>
    <w:uiPriority w:val="6"/>
    <w:pPr>
      <w:spacing w:before="480" w:after="120"/>
      <w:rPr/>
    </w:pPr>
    <w:rPr>
      <w:b w:val="1"/>
      <w:sz w:val="72"/>
      <w:szCs w:val="72"/>
    </w:rPr>
  </w:style>
  <w:style w:styleId="PO7" w:type="paragraph">
    <w:name w:val="heading 1"/>
    <w:basedOn w:val="PO151"/>
    <w:next w:val="PO151"/>
    <w:uiPriority w:val="7"/>
    <w:pPr>
      <w:spacing w:before="480" w:after="120"/>
      <w:rPr/>
    </w:pPr>
    <w:rPr>
      <w:b w:val="1"/>
      <w:sz w:val="48"/>
      <w:szCs w:val="48"/>
    </w:rPr>
  </w:style>
  <w:style w:styleId="PO8" w:type="paragraph">
    <w:name w:val="heading 2"/>
    <w:basedOn w:val="PO151"/>
    <w:next w:val="PO151"/>
    <w:uiPriority w:val="8"/>
    <w:pPr>
      <w:spacing w:before="360" w:after="80"/>
      <w:rPr/>
    </w:pPr>
    <w:rPr>
      <w:b w:val="1"/>
      <w:sz w:val="36"/>
      <w:szCs w:val="36"/>
    </w:rPr>
  </w:style>
  <w:style w:styleId="PO9" w:type="paragraph">
    <w:name w:val="heading 3"/>
    <w:basedOn w:val="PO151"/>
    <w:next w:val="PO151"/>
    <w:uiPriority w:val="9"/>
    <w:pPr>
      <w:spacing w:before="280" w:after="80"/>
      <w:rPr/>
    </w:pPr>
    <w:rPr>
      <w:b w:val="1"/>
      <w:sz w:val="28"/>
      <w:szCs w:val="28"/>
    </w:rPr>
  </w:style>
  <w:style w:styleId="PO10" w:type="paragraph">
    <w:name w:val="heading 4"/>
    <w:basedOn w:val="PO151"/>
    <w:next w:val="PO151"/>
    <w:uiPriority w:val="10"/>
    <w:pPr>
      <w:spacing w:before="240" w:after="40"/>
      <w:rPr/>
    </w:pPr>
    <w:rPr>
      <w:b w:val="1"/>
      <w:sz w:val="24"/>
      <w:szCs w:val="24"/>
    </w:rPr>
  </w:style>
  <w:style w:styleId="PO11" w:type="paragraph">
    <w:name w:val="heading 5"/>
    <w:basedOn w:val="PO151"/>
    <w:next w:val="PO151"/>
    <w:uiPriority w:val="11"/>
    <w:pPr>
      <w:spacing w:before="220" w:after="40"/>
      <w:rPr/>
    </w:pPr>
    <w:rPr>
      <w:b w:val="1"/>
      <w:sz w:val="22"/>
      <w:szCs w:val="22"/>
    </w:rPr>
  </w:style>
  <w:style w:styleId="PO12" w:type="paragraph">
    <w:name w:val="heading 6"/>
    <w:basedOn w:val="PO151"/>
    <w:next w:val="PO151"/>
    <w:uiPriority w:val="12"/>
    <w:pPr>
      <w:spacing w:before="200" w:after="40"/>
      <w:rPr/>
    </w:pPr>
    <w:rPr>
      <w:b w:val="1"/>
      <w:sz w:val="20"/>
      <w:szCs w:val="20"/>
    </w:rPr>
  </w:style>
  <w:style w:styleId="PO16" w:type="paragraph">
    <w:name w:val="Subtitle"/>
    <w:basedOn w:val="PO151"/>
    <w:next w:val="PO151"/>
    <w:uiPriority w:val="16"/>
    <w:pPr>
      <w:spacing w:before="360" w:after="80"/>
      <w:rPr/>
    </w:pPr>
    <w:rPr>
      <w:i w:val="1"/>
      <w:color w:val="666666"/>
      <w:sz w:val="48"/>
      <w:szCs w:val="48"/>
      <w:rFonts w:ascii="Georgia" w:eastAsia="Georgia" w:hAnsi="Georgia" w:cs="Georgia"/>
    </w:rPr>
  </w:style>
  <w:style w:default="1" w:styleId="PO151" w:type="paragraph">
    <w:name w:val="normal"/>
    <w:uiPriority w:val="151"/>
  </w:style>
  <w:style w:default="1" w:styleId="PO152" w:type="table">
    <w:name w:val="Table Normal"/>
    <w:uiPriority w:val="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16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