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B636E" w14:textId="3A38FA5A" w:rsidR="00893D34" w:rsidRPr="00027930" w:rsidRDefault="00893D34" w:rsidP="00893D34">
      <w:pPr>
        <w:pStyle w:val="a6"/>
        <w:numPr>
          <w:ilvl w:val="0"/>
          <w:numId w:val="7"/>
        </w:numPr>
        <w:jc w:val="both"/>
        <w:rPr>
          <w:rFonts w:ascii="Times New Roman" w:hAnsi="Times New Roman" w:cs="Times New Roman"/>
          <w:b/>
          <w:bCs/>
          <w:color w:val="333333"/>
          <w:u w:val="single"/>
          <w:lang w:val="uk-UA" w:eastAsia="ru-RU"/>
        </w:rPr>
      </w:pPr>
      <w:r w:rsidRPr="00027930">
        <w:rPr>
          <w:rFonts w:ascii="Times New Roman" w:hAnsi="Times New Roman" w:cs="Times New Roman"/>
          <w:b/>
          <w:bCs/>
          <w:color w:val="333333"/>
          <w:u w:val="single"/>
          <w:lang w:val="uk-UA" w:eastAsia="ru-RU"/>
        </w:rPr>
        <w:t xml:space="preserve">РЕЖИМ ТИМЧАСОВОГО </w:t>
      </w:r>
      <w:r w:rsidR="00027930" w:rsidRPr="00027930">
        <w:rPr>
          <w:rFonts w:ascii="Times New Roman" w:hAnsi="Times New Roman" w:cs="Times New Roman"/>
          <w:b/>
          <w:bCs/>
          <w:color w:val="333333"/>
          <w:u w:val="single"/>
          <w:lang w:val="uk-UA" w:eastAsia="ru-RU"/>
        </w:rPr>
        <w:t>ЗАХИСТУ ДЛЯ ГРОМАДЯН УКРАЇНИ</w:t>
      </w:r>
      <w:r w:rsidR="00027930">
        <w:rPr>
          <w:rFonts w:ascii="Times New Roman" w:hAnsi="Times New Roman" w:cs="Times New Roman"/>
          <w:b/>
          <w:bCs/>
          <w:color w:val="333333"/>
          <w:u w:val="single"/>
          <w:lang w:val="uk-UA" w:eastAsia="ru-RU"/>
        </w:rPr>
        <w:t xml:space="preserve"> </w:t>
      </w:r>
      <w:r w:rsidR="00027930" w:rsidRPr="00027930">
        <w:rPr>
          <w:rFonts w:ascii="Times New Roman" w:hAnsi="Times New Roman" w:cs="Times New Roman"/>
          <w:b/>
          <w:bCs/>
          <w:color w:val="333333"/>
          <w:u w:val="single"/>
          <w:lang w:val="uk-UA" w:eastAsia="ru-RU"/>
        </w:rPr>
        <w:t>СТАНОМ НА 19/03/22</w:t>
      </w:r>
    </w:p>
    <w:p w14:paraId="34225B90"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Правительство Португалии применило режим временной защиты к гражданам Украины и их родственникам, которые не могут вернуться в свою страну из-за военной ситуации. Режим также распространяется на граждан других национальностей, проживающих в Украине, которые не могут вернуться в страну по той же причине.</w:t>
      </w:r>
    </w:p>
    <w:p w14:paraId="251F6CAB" w14:textId="77777777" w:rsidR="00893D34" w:rsidRPr="00C43E31" w:rsidRDefault="00893D34" w:rsidP="00893D34">
      <w:pPr>
        <w:pStyle w:val="a6"/>
        <w:jc w:val="both"/>
        <w:rPr>
          <w:rFonts w:ascii="Times New Roman" w:hAnsi="Times New Roman" w:cs="Times New Roman"/>
          <w:color w:val="333333"/>
          <w:sz w:val="10"/>
          <w:szCs w:val="10"/>
          <w:lang w:eastAsia="ru-RU"/>
        </w:rPr>
      </w:pPr>
    </w:p>
    <w:p w14:paraId="4198AF4B" w14:textId="77777777" w:rsidR="00893D34" w:rsidRPr="00C43E31" w:rsidRDefault="00893D34" w:rsidP="00893D34">
      <w:pPr>
        <w:pStyle w:val="a6"/>
        <w:jc w:val="both"/>
        <w:rPr>
          <w:rFonts w:ascii="Times New Roman" w:hAnsi="Times New Roman" w:cs="Times New Roman"/>
          <w:b/>
          <w:bCs/>
          <w:color w:val="333333"/>
          <w:sz w:val="22"/>
          <w:szCs w:val="22"/>
          <w:lang w:eastAsia="ru-RU"/>
        </w:rPr>
      </w:pPr>
      <w:r w:rsidRPr="00C43E31">
        <w:rPr>
          <w:rFonts w:ascii="Times New Roman" w:hAnsi="Times New Roman" w:cs="Times New Roman"/>
          <w:b/>
          <w:bCs/>
          <w:color w:val="333333"/>
          <w:sz w:val="22"/>
          <w:szCs w:val="22"/>
          <w:lang w:eastAsia="ru-RU"/>
        </w:rPr>
        <w:t>Португалия создала специальную программу защиты для граждан Украины, выезжающих из конфликта с присвоением статуса временной защиты, которая включает:</w:t>
      </w:r>
    </w:p>
    <w:p w14:paraId="19899B8D" w14:textId="77777777" w:rsidR="00893D34" w:rsidRPr="00C43E31" w:rsidRDefault="00893D34" w:rsidP="00893D34">
      <w:pPr>
        <w:pStyle w:val="a6"/>
        <w:jc w:val="both"/>
        <w:rPr>
          <w:rFonts w:ascii="Times New Roman" w:hAnsi="Times New Roman" w:cs="Times New Roman"/>
          <w:color w:val="333333"/>
          <w:sz w:val="10"/>
          <w:szCs w:val="10"/>
          <w:lang w:eastAsia="ru-RU"/>
        </w:rPr>
      </w:pPr>
    </w:p>
    <w:p w14:paraId="4F2138C1"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Вид на жительство</w:t>
      </w:r>
    </w:p>
    <w:p w14:paraId="488B175C"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Идентификационный номер налогоплательщика (NIF)</w:t>
      </w:r>
    </w:p>
    <w:p w14:paraId="1B0BF6B2"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Идентификационный номер социального страхования (NISS)</w:t>
      </w:r>
    </w:p>
    <w:p w14:paraId="3503CF13"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Номер пользователя Национальной службы здравоохранения (SNS).</w:t>
      </w:r>
    </w:p>
    <w:p w14:paraId="6E2BDF85"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Эти идентификационные номера дают доступ к медицинскому обслуживанию в государственных учреждениях, регистрации в предложениях о работе, социальной защите</w:t>
      </w:r>
      <w:r>
        <w:rPr>
          <w:rFonts w:ascii="Times New Roman" w:hAnsi="Times New Roman" w:cs="Times New Roman"/>
          <w:color w:val="333333"/>
          <w:sz w:val="22"/>
          <w:szCs w:val="22"/>
          <w:lang w:val="uk-UA" w:eastAsia="ru-RU"/>
        </w:rPr>
        <w:t xml:space="preserve">, </w:t>
      </w:r>
      <w:r w:rsidRPr="00C43E31">
        <w:rPr>
          <w:rFonts w:ascii="Times New Roman" w:hAnsi="Times New Roman" w:cs="Times New Roman"/>
          <w:color w:val="333333"/>
          <w:sz w:val="22"/>
          <w:szCs w:val="22"/>
          <w:lang w:eastAsia="ru-RU"/>
        </w:rPr>
        <w:t>т. д.</w:t>
      </w:r>
    </w:p>
    <w:p w14:paraId="242AE66E"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Защита имеет первоначальный срок в один год, который может быть продлен еще на один год, пока сохраняются условия, препятствующие возвращению людей в свою страну.</w:t>
      </w:r>
    </w:p>
    <w:p w14:paraId="1CD6E035" w14:textId="77777777" w:rsidR="00893D34" w:rsidRPr="00C43E31" w:rsidRDefault="00893D34" w:rsidP="00893D34">
      <w:pPr>
        <w:pStyle w:val="a6"/>
        <w:jc w:val="both"/>
        <w:rPr>
          <w:rFonts w:ascii="Times New Roman" w:hAnsi="Times New Roman" w:cs="Times New Roman"/>
          <w:color w:val="333333"/>
          <w:sz w:val="10"/>
          <w:szCs w:val="10"/>
          <w:lang w:eastAsia="ru-RU"/>
        </w:rPr>
      </w:pPr>
    </w:p>
    <w:p w14:paraId="7A640759" w14:textId="63B407DB" w:rsidR="00893D34" w:rsidRPr="00C43E31" w:rsidRDefault="00893D34" w:rsidP="00893D34">
      <w:pPr>
        <w:pStyle w:val="a6"/>
        <w:jc w:val="both"/>
        <w:rPr>
          <w:rFonts w:ascii="Times New Roman" w:hAnsi="Times New Roman" w:cs="Times New Roman"/>
          <w:b/>
          <w:bCs/>
          <w:color w:val="333333"/>
          <w:sz w:val="22"/>
          <w:szCs w:val="22"/>
          <w:lang w:eastAsia="ru-RU"/>
        </w:rPr>
      </w:pPr>
      <w:r w:rsidRPr="00C43E31">
        <w:rPr>
          <w:rFonts w:ascii="Times New Roman" w:hAnsi="Times New Roman" w:cs="Times New Roman"/>
          <w:b/>
          <w:bCs/>
          <w:color w:val="333333"/>
          <w:sz w:val="22"/>
          <w:szCs w:val="22"/>
          <w:lang w:eastAsia="ru-RU"/>
        </w:rPr>
        <w:t>Дополнительная информация по адресу</w:t>
      </w:r>
      <w:r>
        <w:rPr>
          <w:rFonts w:ascii="Times New Roman" w:hAnsi="Times New Roman" w:cs="Times New Roman"/>
          <w:b/>
          <w:bCs/>
          <w:color w:val="333333"/>
          <w:sz w:val="22"/>
          <w:szCs w:val="22"/>
          <w:lang w:val="uk-UA" w:eastAsia="ru-RU"/>
        </w:rPr>
        <w:t xml:space="preserve"> </w:t>
      </w:r>
      <w:r w:rsidRPr="00893D34">
        <w:rPr>
          <w:rFonts w:ascii="Times New Roman" w:hAnsi="Times New Roman" w:cs="Times New Roman"/>
          <w:b/>
          <w:bCs/>
          <w:color w:val="333333"/>
          <w:sz w:val="22"/>
          <w:szCs w:val="22"/>
          <w:u w:val="single"/>
          <w:lang w:val="uk-UA" w:eastAsia="ru-RU"/>
        </w:rPr>
        <w:t>(з можливістю перегляду українською мовою)</w:t>
      </w:r>
      <w:r w:rsidRPr="00893D34">
        <w:rPr>
          <w:rFonts w:ascii="Times New Roman" w:hAnsi="Times New Roman" w:cs="Times New Roman"/>
          <w:b/>
          <w:bCs/>
          <w:color w:val="333333"/>
          <w:sz w:val="22"/>
          <w:szCs w:val="22"/>
          <w:u w:val="single"/>
          <w:lang w:eastAsia="ru-RU"/>
        </w:rPr>
        <w:t>:</w:t>
      </w:r>
    </w:p>
    <w:p w14:paraId="6A7AE714"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https://PortugalforUkraine.gov.pt</w:t>
      </w:r>
    </w:p>
    <w:p w14:paraId="07FFCCF3"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https://www.sef.pt</w:t>
      </w:r>
    </w:p>
    <w:p w14:paraId="7B664237"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https://justica.gov.pt</w:t>
      </w:r>
    </w:p>
    <w:p w14:paraId="1D07442C"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https://eportugal.gov.pt</w:t>
      </w:r>
    </w:p>
    <w:p w14:paraId="3ACF2021" w14:textId="77777777" w:rsidR="00893D34" w:rsidRPr="00C43E31" w:rsidRDefault="00893D34" w:rsidP="00893D34">
      <w:pPr>
        <w:pStyle w:val="a6"/>
        <w:jc w:val="both"/>
        <w:rPr>
          <w:rFonts w:ascii="Times New Roman" w:hAnsi="Times New Roman" w:cs="Times New Roman"/>
          <w:color w:val="333333"/>
          <w:sz w:val="22"/>
          <w:szCs w:val="22"/>
          <w:lang w:eastAsia="ru-RU"/>
        </w:rPr>
      </w:pPr>
      <w:r w:rsidRPr="00C43E31">
        <w:rPr>
          <w:rFonts w:ascii="Times New Roman" w:hAnsi="Times New Roman" w:cs="Times New Roman"/>
          <w:color w:val="333333"/>
          <w:sz w:val="22"/>
          <w:szCs w:val="22"/>
          <w:lang w:eastAsia="ru-RU"/>
        </w:rPr>
        <w:t>https://www.acm.gov.pt</w:t>
      </w:r>
    </w:p>
    <w:p w14:paraId="2A87A940" w14:textId="17DB34F5" w:rsidR="00893D34" w:rsidRDefault="00893D34" w:rsidP="008A4404">
      <w:pPr>
        <w:pStyle w:val="a6"/>
        <w:jc w:val="both"/>
        <w:rPr>
          <w:rFonts w:ascii="Times New Roman" w:hAnsi="Times New Roman" w:cs="Times New Roman"/>
          <w:b/>
          <w:bCs/>
          <w:sz w:val="22"/>
          <w:szCs w:val="22"/>
          <w:lang w:val="uk-UA" w:eastAsia="ru-RU"/>
        </w:rPr>
      </w:pPr>
    </w:p>
    <w:p w14:paraId="1F53D1ED" w14:textId="77777777" w:rsidR="00027930" w:rsidRDefault="00893D34" w:rsidP="00027930">
      <w:pPr>
        <w:pStyle w:val="a6"/>
        <w:numPr>
          <w:ilvl w:val="0"/>
          <w:numId w:val="7"/>
        </w:numPr>
        <w:jc w:val="both"/>
        <w:rPr>
          <w:rFonts w:ascii="Times New Roman" w:hAnsi="Times New Roman" w:cs="Times New Roman"/>
          <w:b/>
          <w:bCs/>
          <w:sz w:val="22"/>
          <w:szCs w:val="22"/>
          <w:u w:val="single"/>
          <w:lang w:val="uk-UA" w:eastAsia="ru-RU"/>
        </w:rPr>
      </w:pPr>
      <w:r w:rsidRPr="00893D34">
        <w:rPr>
          <w:rFonts w:ascii="Times New Roman" w:hAnsi="Times New Roman" w:cs="Times New Roman"/>
          <w:b/>
          <w:bCs/>
          <w:sz w:val="22"/>
          <w:szCs w:val="22"/>
          <w:u w:val="single"/>
          <w:lang w:val="uk-UA" w:eastAsia="ru-RU"/>
        </w:rPr>
        <w:t>ЗАГАЛЬНІ ПРАВИЛА, ЯКІ ДІЮТЬ СТАНОМ НА 19/03/2022</w:t>
      </w:r>
      <w:r w:rsidR="00027930">
        <w:rPr>
          <w:rFonts w:ascii="Times New Roman" w:hAnsi="Times New Roman" w:cs="Times New Roman"/>
          <w:b/>
          <w:bCs/>
          <w:sz w:val="22"/>
          <w:szCs w:val="22"/>
          <w:u w:val="single"/>
          <w:lang w:val="uk-UA" w:eastAsia="ru-RU"/>
        </w:rPr>
        <w:t xml:space="preserve"> </w:t>
      </w:r>
    </w:p>
    <w:p w14:paraId="4F8B6AA7" w14:textId="7D1A5018" w:rsidR="00893D34" w:rsidRPr="00893D34" w:rsidRDefault="00027930" w:rsidP="00027930">
      <w:pPr>
        <w:pStyle w:val="a6"/>
        <w:ind w:left="720"/>
        <w:jc w:val="both"/>
        <w:rPr>
          <w:rFonts w:ascii="Times New Roman" w:hAnsi="Times New Roman" w:cs="Times New Roman"/>
          <w:b/>
          <w:bCs/>
          <w:sz w:val="22"/>
          <w:szCs w:val="22"/>
          <w:u w:val="single"/>
          <w:lang w:val="uk-UA" w:eastAsia="ru-RU"/>
        </w:rPr>
      </w:pPr>
      <w:r>
        <w:rPr>
          <w:rFonts w:ascii="Times New Roman" w:hAnsi="Times New Roman" w:cs="Times New Roman"/>
          <w:b/>
          <w:bCs/>
          <w:sz w:val="22"/>
          <w:szCs w:val="22"/>
          <w:u w:val="single"/>
          <w:lang w:val="uk-UA" w:eastAsia="ru-RU"/>
        </w:rPr>
        <w:t>(з матеріалів розташованих в мережі Інтернет – на окремий запит кожна позиція може бути розглянута з посиланням на відповідні офіційні матеріали )</w:t>
      </w:r>
    </w:p>
    <w:p w14:paraId="27D0F16B" w14:textId="3174D3B1" w:rsidR="008A4404" w:rsidRPr="008A4404" w:rsidRDefault="008A4404" w:rsidP="008A4404">
      <w:pPr>
        <w:pStyle w:val="a6"/>
        <w:jc w:val="both"/>
        <w:rPr>
          <w:rFonts w:ascii="Times New Roman" w:hAnsi="Times New Roman" w:cs="Times New Roman"/>
          <w:b/>
          <w:bCs/>
          <w:sz w:val="22"/>
          <w:szCs w:val="22"/>
          <w:lang w:eastAsia="ru-RU"/>
        </w:rPr>
      </w:pPr>
      <w:r w:rsidRPr="008A4404">
        <w:rPr>
          <w:rFonts w:ascii="Times New Roman" w:hAnsi="Times New Roman" w:cs="Times New Roman"/>
          <w:b/>
          <w:bCs/>
          <w:sz w:val="22"/>
          <w:szCs w:val="22"/>
          <w:lang w:eastAsia="ru-RU"/>
        </w:rPr>
        <w:t>№ 1 – Въезд и выезд: процедуры на границе</w:t>
      </w:r>
    </w:p>
    <w:p w14:paraId="15CA5138"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Португальские власти с 2019 придерживаются гибкой позиции в отношении пограничных ограничений. Но вследствие появления новых штаммов коронавируса и роста риска заражения, стремясь обеспечить безопасность жителей и путешественников, власти страны продлили специальные меры контроля в отношении тестирования пассажиров международных рейсов до 9 февраля 2022.</w:t>
      </w:r>
    </w:p>
    <w:p w14:paraId="0D9A7F6E"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Соответственно, персоны, прилетающие на португальскую территорию, обязаны при посадке предъявить отрицательный результат теста / справку о выздоровлении от инфекции COVID-19 менее полугодия назад — независимо от пункта отправления рейса, происхождения / национальности пассажира.</w:t>
      </w:r>
    </w:p>
    <w:p w14:paraId="7B174745"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Для въезда по суше граждане стран Евросоюза с низким / умеренным риском инфицирования обязаны предъявлять цифровой COVID-сертификат ЕС, подтверждающий вакцинацию, отрицательный результат тестирования / выздоровление. Граждане стран, не входящих в Евросоюз и граждане стран ЕС, отнесенных к высокой категории риска, обязаны предъявлять:</w:t>
      </w:r>
    </w:p>
    <w:p w14:paraId="471617A1"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Цифровой Covid-сертификат ЕС о прохождении тестирования / выздоровления;</w:t>
      </w:r>
    </w:p>
    <w:p w14:paraId="3595552E"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или</w:t>
      </w:r>
    </w:p>
    <w:p w14:paraId="3CF18972"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Отрицательный тест ПЦР с обратной транскрипцией (ОТ-ПЦР), выполненный в течение последних 72 часов;</w:t>
      </w:r>
    </w:p>
    <w:p w14:paraId="1932BC0C"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или</w:t>
      </w:r>
    </w:p>
    <w:p w14:paraId="4A64E5D6"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Отрицательный экспресс-тест на антиген, выполненный в лабораторных условиях в течение последних 48 часов.</w:t>
      </w:r>
    </w:p>
    <w:p w14:paraId="1BD2158A"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Работники приграничных и аварийно-спасательных служб, а также служб безопасности освобождены от необходимости выполнять требования в части тестирования – даже в случае прибытия из стран, классифицированных как пункты отправления с высоким риском.</w:t>
      </w:r>
    </w:p>
    <w:p w14:paraId="65911DF5" w14:textId="772BB959"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Граждане, прибывающие из южной части Африки (из Ботсваны, ЮАР, Эсватини, Лесото, Мозамбика, Намибии и Зимбабве), обязаны пройти тестирование ОТ-ПЦР / экспресс-тест на антиген и соблюдать 14-дневную профилактическую изоляцию.</w:t>
      </w:r>
    </w:p>
    <w:p w14:paraId="637283BD"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0B371D25" w14:textId="77777777" w:rsidR="008A4404" w:rsidRPr="008A4404" w:rsidRDefault="008A4404" w:rsidP="008A4404">
      <w:pPr>
        <w:pStyle w:val="a6"/>
        <w:jc w:val="both"/>
        <w:rPr>
          <w:rFonts w:ascii="Times New Roman" w:hAnsi="Times New Roman" w:cs="Times New Roman"/>
          <w:b/>
          <w:bCs/>
          <w:sz w:val="22"/>
          <w:szCs w:val="22"/>
          <w:lang w:eastAsia="ru-RU"/>
        </w:rPr>
      </w:pPr>
      <w:bookmarkStart w:id="0" w:name="2"/>
      <w:bookmarkEnd w:id="0"/>
      <w:r w:rsidRPr="008A4404">
        <w:rPr>
          <w:rFonts w:ascii="Times New Roman" w:hAnsi="Times New Roman" w:cs="Times New Roman"/>
          <w:b/>
          <w:bCs/>
          <w:sz w:val="22"/>
          <w:szCs w:val="22"/>
          <w:lang w:eastAsia="ru-RU"/>
        </w:rPr>
        <w:t>№ 2 – Срок действия вида на жительство</w:t>
      </w:r>
    </w:p>
    <w:p w14:paraId="5C65BF73"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Виды на жительство (ВНЖ) / визы, срок действия которых истек после 13 марта 2020, теперь считаются действительными до 31 марта 2022. Продление дедлайна призвано обеспечить повышенный уровень юридической безопасности иностранцам, оказавшимся на португальской территории, располагая просроченными иммиграционными документами.</w:t>
      </w:r>
    </w:p>
    <w:p w14:paraId="466E82A8" w14:textId="499DD214"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Мера дополнительно призвана снизить нагрузку на Бюро по вопросам иностранцев и границ (Serviço de Estrangeiros e Fronteiras; SEF), приостанавливавшего работу в течение локдаунов, а также защитить права владельцев разрешений на резидентство, лишившихся возможности вследствие закрытия границ посетить португальскую территорию с целью продления иммиграционных документов / соблюдения минимальных сроков пребывания в принимающем государстве.</w:t>
      </w:r>
    </w:p>
    <w:p w14:paraId="77671BAE"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189745BE" w14:textId="77777777" w:rsidR="008A4404" w:rsidRPr="008A4404" w:rsidRDefault="008A4404" w:rsidP="008A4404">
      <w:pPr>
        <w:pStyle w:val="a6"/>
        <w:jc w:val="both"/>
        <w:rPr>
          <w:rFonts w:ascii="Times New Roman" w:hAnsi="Times New Roman" w:cs="Times New Roman"/>
          <w:b/>
          <w:bCs/>
          <w:sz w:val="22"/>
          <w:szCs w:val="22"/>
          <w:lang w:eastAsia="ru-RU"/>
        </w:rPr>
      </w:pPr>
      <w:bookmarkStart w:id="1" w:name="3"/>
      <w:bookmarkEnd w:id="1"/>
      <w:r w:rsidRPr="008A4404">
        <w:rPr>
          <w:rFonts w:ascii="Times New Roman" w:hAnsi="Times New Roman" w:cs="Times New Roman"/>
          <w:b/>
          <w:bCs/>
          <w:sz w:val="22"/>
          <w:szCs w:val="22"/>
          <w:lang w:eastAsia="ru-RU"/>
        </w:rPr>
        <w:t>№ 3 – Незавершенные иммиграционные процессы и графики</w:t>
      </w:r>
    </w:p>
    <w:p w14:paraId="7E5B5446"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 конце 2021 ведомство SEF начало работу по возобновлению незавершенных иммиграционных процессов, уделяя повышенное внимание заявителям, пострадавшим от последствий пандемии. Приняты исключительные меры восстановления незавершенных кейсов и меры повышения оперативности документооборота, касающегося иностранных граждан. Следствием данных мер стали нижеследующие события:</w:t>
      </w:r>
    </w:p>
    <w:p w14:paraId="10BD01DC"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Функционал автоматического продления вида на жительство через онлайн-платформу стал доступен около 29 тыс. иностранных граждан, срок действия вида на жительство которых истекает до 31 марта 2022 года;</w:t>
      </w:r>
    </w:p>
    <w:p w14:paraId="3DFD1549"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Реализован хронологический процесс уведомления соискателей, ожидающих обработки заявок. Предоставлены инструменты планирования через официальные ресурсы;</w:t>
      </w:r>
    </w:p>
    <w:p w14:paraId="31266C7C"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8 января 2022 в двух пунктах обслуживания в Коимбре начался пилотный проект по посещению офисов SEF без предварительной записи для продления вида на жительство / предоставления вида на жительство, включая инвесторский ВНЖ в рамках схемы ARI / Autorização de Residência para Atividade de Investimento (предоставление, продление и воссоединение семьи).</w:t>
      </w:r>
    </w:p>
    <w:p w14:paraId="2A1C9828" w14:textId="46912A73"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Ожидается, что благодаря объявленным нововведениям и мерам в 2022 процессы ускорятся, а продолжительность выполнения процедур вернется к докризисному уровню. Напомним, до пандемии сроки обработки и утверждения/отклонения заявок на ВНЖ составляли 90 суток в случае предоставления и 60 суток в случае продления.</w:t>
      </w:r>
    </w:p>
    <w:p w14:paraId="4A1647CE"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2605F878" w14:textId="77777777" w:rsidR="008A4404" w:rsidRPr="008A4404" w:rsidRDefault="008A4404" w:rsidP="008A4404">
      <w:pPr>
        <w:pStyle w:val="a6"/>
        <w:jc w:val="both"/>
        <w:rPr>
          <w:rFonts w:ascii="Times New Roman" w:hAnsi="Times New Roman" w:cs="Times New Roman"/>
          <w:b/>
          <w:bCs/>
          <w:sz w:val="22"/>
          <w:szCs w:val="22"/>
          <w:lang w:eastAsia="ru-RU"/>
        </w:rPr>
      </w:pPr>
      <w:bookmarkStart w:id="2" w:name="4"/>
      <w:bookmarkEnd w:id="2"/>
      <w:r w:rsidRPr="008A4404">
        <w:rPr>
          <w:rFonts w:ascii="Times New Roman" w:hAnsi="Times New Roman" w:cs="Times New Roman"/>
          <w:b/>
          <w:bCs/>
          <w:sz w:val="22"/>
          <w:szCs w:val="22"/>
          <w:lang w:eastAsia="ru-RU"/>
        </w:rPr>
        <w:t>№ 4 – «Новая» золотая виза</w:t>
      </w:r>
    </w:p>
    <w:p w14:paraId="4E19E770"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1 января 2022 вступили поправки в правила схемы ARI, предназначенной для неграждан Евросоюза, претендующих на ВНЖ за инвестиции. Теперь соискатели обязаны выполнять новые требования к минимальным значениям инвестиций и обеспечивать соответствие некоторым ограничениям в части географического расположения инвестиционных активов (актуально для определенных инвестиций в недвижимость).</w:t>
      </w:r>
    </w:p>
    <w:p w14:paraId="52D09757"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Но большинство из 8 доступных в 2021 инвестиционных вариантов перешли в 2022 в неизменном виде. Правило о минимальном сроке пребывания продолжительностью в 14 суток в течение двухлетних периодов действия карты резидента также останется в силе – равно как и возможность получить португальское гражданство после 5-летнего удерживания</w:t>
      </w:r>
      <w:hyperlink r:id="rId7" w:history="1">
        <w:r w:rsidRPr="008A4404">
          <w:rPr>
            <w:rFonts w:ascii="Times New Roman" w:hAnsi="Times New Roman" w:cs="Times New Roman"/>
            <w:color w:val="1E7590"/>
            <w:sz w:val="22"/>
            <w:szCs w:val="22"/>
            <w:lang w:eastAsia="ru-RU"/>
          </w:rPr>
          <w:t> </w:t>
        </w:r>
        <w:r w:rsidRPr="008A4404">
          <w:rPr>
            <w:rFonts w:ascii="Times New Roman" w:hAnsi="Times New Roman" w:cs="Times New Roman"/>
            <w:color w:val="1E7590"/>
            <w:sz w:val="22"/>
            <w:szCs w:val="22"/>
            <w:u w:val="single"/>
            <w:lang w:eastAsia="ru-RU"/>
          </w:rPr>
          <w:t>золотой визы</w:t>
        </w:r>
      </w:hyperlink>
      <w:r w:rsidRPr="008A4404">
        <w:rPr>
          <w:rFonts w:ascii="Times New Roman" w:hAnsi="Times New Roman" w:cs="Times New Roman"/>
          <w:color w:val="333333"/>
          <w:sz w:val="22"/>
          <w:szCs w:val="22"/>
          <w:lang w:eastAsia="ru-RU"/>
        </w:rPr>
        <w:t>.</w:t>
      </w:r>
    </w:p>
    <w:p w14:paraId="0D2381CD"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Следует помнить, что, внося изменения в условия схемы ARI, местные власти стремились уменьшить спекуляции ценами на недвижимость в крупных городах. Хотя статданные показывают, что лишь около 2% сделок, совершаемых на рынках недвижимости Лиссабона и Порту, связаны с получением золотых виз.</w:t>
      </w:r>
    </w:p>
    <w:p w14:paraId="26376054"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Сегодня по-прежнему разрешается претендовать на участие в программе ARI, внося инвестиции в крупные городские центры наподобие Лиссабона, Порту, Фару, если недвижимость предназначена для коммерческого использования и не относится к категории жилья (например, допускаются инвестиции в апарт-отели). Дополнительно разрешено вкладывать в жилье косвенно — через инвестиционные фонды, сохраняя право подавать заявление на получение золотой визы.</w:t>
      </w:r>
    </w:p>
    <w:p w14:paraId="35773B9A"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 xml:space="preserve">Учитывая данное обстоятельство, в 2022, безусловно, стоит ожидать перераспределения инвестиционных потоков. В частности, эксперты прогнозируют рост спроса иностранных </w:t>
      </w:r>
      <w:r w:rsidRPr="008A4404">
        <w:rPr>
          <w:rFonts w:ascii="Times New Roman" w:hAnsi="Times New Roman" w:cs="Times New Roman"/>
          <w:color w:val="333333"/>
          <w:sz w:val="22"/>
          <w:szCs w:val="22"/>
          <w:lang w:eastAsia="ru-RU"/>
        </w:rPr>
        <w:lastRenderedPageBreak/>
        <w:t>инвесторов на коммерческую недвижимость в крупных городах, а также повышение активности зарубежных покупателей в сельских районах страны. Причем спрос на сельское жилье дополнительно усилится в связи с растущим интересом местных жителей и туристов к малонаселенным районам вследствие введенной пандемией концепции социального дистанцирования.</w:t>
      </w:r>
    </w:p>
    <w:p w14:paraId="05B71D37" w14:textId="53CD955B"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Касательно географии спроса на инвесторский ВНЖ / активности кандидатов, то уже с 2021 наблюдается изменение тенденций с упором на растущий интерес со стороны британских, российских, индийских и североамериканских инвесторов, причем последние даже превосходят китайских и бразильских инвесторов, стабильно сохранявших высокие уровни присутствия в ТОПе национальностей соискателей с 2012.</w:t>
      </w:r>
    </w:p>
    <w:p w14:paraId="10E7B700"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5CE87CC7" w14:textId="77777777" w:rsidR="008A4404" w:rsidRPr="008A4404" w:rsidRDefault="008A4404" w:rsidP="008A4404">
      <w:pPr>
        <w:pStyle w:val="a6"/>
        <w:jc w:val="both"/>
        <w:rPr>
          <w:rFonts w:ascii="Times New Roman" w:hAnsi="Times New Roman" w:cs="Times New Roman"/>
          <w:b/>
          <w:bCs/>
          <w:sz w:val="22"/>
          <w:szCs w:val="22"/>
          <w:lang w:eastAsia="ru-RU"/>
        </w:rPr>
      </w:pPr>
      <w:bookmarkStart w:id="3" w:name="5"/>
      <w:bookmarkEnd w:id="3"/>
      <w:r w:rsidRPr="008A4404">
        <w:rPr>
          <w:rFonts w:ascii="Times New Roman" w:hAnsi="Times New Roman" w:cs="Times New Roman"/>
          <w:b/>
          <w:bCs/>
          <w:sz w:val="22"/>
          <w:szCs w:val="22"/>
          <w:lang w:eastAsia="ru-RU"/>
        </w:rPr>
        <w:t>№ 5 – Brexit и ETIAS</w:t>
      </w:r>
    </w:p>
    <w:p w14:paraId="5E07C82A"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Поскольку после Brexit британские граждане лишились паспортов Евросоюза, они дополнительно потеряли четыре основные свободы ЕС: свободное перемещение товаров между государствами Европейского Союза, свободный транзит людей, свобода предоставления услуг в пределах Евросоюза, свободное движение капитала. Благо, безвиз в Шенген британцы получили.</w:t>
      </w:r>
    </w:p>
    <w:p w14:paraId="6B96E658"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Но с введением ETIAS (Европейская система информации о путешествиях и авторизации / European Travel Information and Authorisation System), запланированным на конец 2022, туристам и деловым путешественникам, не нуждающимся в визе для поездок в пределах Шенгенской зоны, придется заранее подавать заявку на подобное разрешение, предоставляя персональные данные и оплачивая соответствующий сбор.</w:t>
      </w:r>
    </w:p>
    <w:p w14:paraId="170FBE2D" w14:textId="246446E8"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Учитывая данные обстоятельства, вполне закономерен растущий интерес британских граждан к португальским иммиграционным программам, включая ARI и D7, позволяющим быстро оформить европейский вид на жительство, а в среднесрочной перспективе — добиться восстановления гражданства Евросоюза.</w:t>
      </w:r>
    </w:p>
    <w:p w14:paraId="3600E5D5"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51FF6FBB" w14:textId="77777777" w:rsidR="008A4404" w:rsidRPr="008A4404" w:rsidRDefault="008A4404" w:rsidP="008A4404">
      <w:pPr>
        <w:pStyle w:val="a6"/>
        <w:jc w:val="both"/>
        <w:rPr>
          <w:rFonts w:ascii="Times New Roman" w:hAnsi="Times New Roman" w:cs="Times New Roman"/>
          <w:b/>
          <w:bCs/>
          <w:sz w:val="22"/>
          <w:szCs w:val="22"/>
          <w:lang w:eastAsia="ru-RU"/>
        </w:rPr>
      </w:pPr>
      <w:bookmarkStart w:id="4" w:name="6"/>
      <w:bookmarkEnd w:id="4"/>
      <w:r w:rsidRPr="008A4404">
        <w:rPr>
          <w:rFonts w:ascii="Times New Roman" w:hAnsi="Times New Roman" w:cs="Times New Roman"/>
          <w:b/>
          <w:bCs/>
          <w:sz w:val="22"/>
          <w:szCs w:val="22"/>
          <w:lang w:eastAsia="ru-RU"/>
        </w:rPr>
        <w:t>№ 6 – Виза D7 и режим нестандартного налогового резидентства</w:t>
      </w:r>
    </w:p>
    <w:p w14:paraId="4F6E394A"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Среди граждан стран, не входящих в Евросоюз, растет интерес к визе D7, упрощающей иммиграцию иностранным пенсионерам, цифровым кочевникам и обладателям пассивного дохода (включая крипто-активы, финансовые вложения, доход от недвижимости, дивиденды). Юрисдикция привлекает соответствующих иностранцев также вследствие высокого качества и низкой стоимости жизни, предлагаемых в сочетании с</w:t>
      </w:r>
      <w:hyperlink r:id="rId8" w:history="1">
        <w:r w:rsidRPr="008A4404">
          <w:rPr>
            <w:rFonts w:ascii="Times New Roman" w:hAnsi="Times New Roman" w:cs="Times New Roman"/>
            <w:color w:val="1E7590"/>
            <w:sz w:val="22"/>
            <w:szCs w:val="22"/>
            <w:lang w:eastAsia="ru-RU"/>
          </w:rPr>
          <w:t> </w:t>
        </w:r>
        <w:r w:rsidRPr="008A4404">
          <w:rPr>
            <w:rFonts w:ascii="Times New Roman" w:hAnsi="Times New Roman" w:cs="Times New Roman"/>
            <w:color w:val="1E7590"/>
            <w:sz w:val="22"/>
            <w:szCs w:val="22"/>
            <w:u w:val="single"/>
            <w:lang w:eastAsia="ru-RU"/>
          </w:rPr>
          <w:t>нестандартным налоговым режимом (Residente Não Habitual; RNH).</w:t>
        </w:r>
      </w:hyperlink>
    </w:p>
    <w:p w14:paraId="5298BC59"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Процедура оформления карты резидента категорий D7 начинается в стране происхождения соискателя, позволяя заявителю поехать в Португалию и получить вид на жительство, подтвердив пассивный доход и иные общие условия, связанные с предоставлением права на проживание (отсутствие судимости / доказательство наличия жилья, например).</w:t>
      </w:r>
    </w:p>
    <w:p w14:paraId="487E94D3"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Владелец визы D7 вправе проживать и работать в Португалии, перемещая в данную страну родственников через механизм воссоединения семьи, передвигаться по Шенгенской зоне и претендовать на португальское гражданство после 5-летней натурализации.</w:t>
      </w:r>
    </w:p>
    <w:p w14:paraId="3B202B1C"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Обладание визой D7 сопряжено с более длительным сроком пребывания на португальской территории (относительно золотой визы / ARI). Но длительное пребывание в данной стране (в течение большей части календарного года) позволяет получить статус португальского фискального резидента и принять участи в налоговой схеме RNH, позволяющей минимизировать НДФЛ. Схема доступна любому физлицу, независимо от национальности, позволяя пользоваться благоприятным налоговым режимом в течение 10-летнего периода. В число различных льгот, доступных бенефициарам RNH, входит следующее:</w:t>
      </w:r>
    </w:p>
    <w:p w14:paraId="5C229D73"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Возможность сократить ставку налога на пенсии до 10%;</w:t>
      </w:r>
    </w:p>
    <w:p w14:paraId="36FF1B2C"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Право платить НДФЛ на доходы от деятельности в Португалии, рассчитываемый [НДФЛ] с использованием фиксированной ставки в размере 20%;</w:t>
      </w:r>
    </w:p>
    <w:p w14:paraId="73C22B04" w14:textId="5B7DF505" w:rsid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Возможность получить освобождение от налогообложения доходов из иностранных источников в результате работы по найму / самозанятости / прироста капитала / доходов от недвижимости (актуально при наличии соглашения об избежании двойного налогообложения, заключенного Португалией со страной, являющейся местом происхождения дохода).</w:t>
      </w:r>
    </w:p>
    <w:p w14:paraId="0A2D9617" w14:textId="77777777" w:rsidR="008A4404" w:rsidRPr="008A4404" w:rsidRDefault="008A4404" w:rsidP="008A4404">
      <w:pPr>
        <w:pStyle w:val="a6"/>
        <w:jc w:val="both"/>
        <w:rPr>
          <w:rFonts w:ascii="Times New Roman" w:hAnsi="Times New Roman" w:cs="Times New Roman"/>
          <w:sz w:val="22"/>
          <w:szCs w:val="22"/>
          <w:lang w:eastAsia="ru-RU"/>
        </w:rPr>
      </w:pPr>
    </w:p>
    <w:p w14:paraId="7AF935F4" w14:textId="77777777" w:rsidR="008A4404" w:rsidRPr="008A4404" w:rsidRDefault="008A4404" w:rsidP="008A4404">
      <w:pPr>
        <w:pStyle w:val="a6"/>
        <w:jc w:val="both"/>
        <w:rPr>
          <w:rFonts w:ascii="Times New Roman" w:hAnsi="Times New Roman" w:cs="Times New Roman"/>
          <w:b/>
          <w:bCs/>
          <w:sz w:val="22"/>
          <w:szCs w:val="22"/>
          <w:lang w:eastAsia="ru-RU"/>
        </w:rPr>
      </w:pPr>
      <w:bookmarkStart w:id="5" w:name="7"/>
      <w:bookmarkEnd w:id="5"/>
      <w:r w:rsidRPr="008A4404">
        <w:rPr>
          <w:rFonts w:ascii="Times New Roman" w:hAnsi="Times New Roman" w:cs="Times New Roman"/>
          <w:b/>
          <w:bCs/>
          <w:sz w:val="22"/>
          <w:szCs w:val="22"/>
          <w:lang w:eastAsia="ru-RU"/>
        </w:rPr>
        <w:t>№ 7 – Виза предпринимателя, виза высококвалифицированного специалиста (Visto D3 Portugal para Profissional Altamente Qualificado) и стартап-виза</w:t>
      </w:r>
    </w:p>
    <w:p w14:paraId="4597DB6F"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Предпринимательская виза, виза для высококвалифицированных специалистов и стартап-виза, как ожидается, также удостоятся повышенного внимания в 2022, поскольку растущее число иностранцев выбирают Португалию в качестве площадки для ведения предпринимательской / профессиональной деятельности и реализации новаторских идей, получая доступ на единый европейский рынок и рынок Содружества португалоязычных стран ( Comunidade dos Países de Língua Portuguesa; CPLP), включающего следующие государства:</w:t>
      </w:r>
    </w:p>
    <w:p w14:paraId="6DCA0CA9"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Ангола;</w:t>
      </w:r>
    </w:p>
    <w:p w14:paraId="7B549957"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Бразилия;</w:t>
      </w:r>
    </w:p>
    <w:p w14:paraId="778B98CF"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Кабо-Верде;</w:t>
      </w:r>
    </w:p>
    <w:p w14:paraId="4172474B"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Гвинея-Бисау;</w:t>
      </w:r>
    </w:p>
    <w:p w14:paraId="5825D918"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Экваториальная Гвинея;</w:t>
      </w:r>
    </w:p>
    <w:p w14:paraId="3F06472F"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Португалия;</w:t>
      </w:r>
    </w:p>
    <w:p w14:paraId="6EE5AB44"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Мозамбик;</w:t>
      </w:r>
    </w:p>
    <w:p w14:paraId="7BE83DB2"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Сан-Томе и Принсипи;</w:t>
      </w:r>
    </w:p>
    <w:p w14:paraId="1793C862"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Восточный Тимор.</w:t>
      </w:r>
    </w:p>
    <w:p w14:paraId="1B7B0EAD"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Отсутствие необходимости соблюдать минимальные инвестиционные требования / заниматься определенными видами деятельности делает любую из подобных программ крайне простой. Процесс упрощает и тот факт, что административные процедуры начинаются в стране происхождения заявителей через оформление долгосрочной визы в португальском диппредставительстве (посольстве / консульстве). Затем потребуется визит на португальскую территорию для оформления вида на жительство. Хотя в некоторых случаях соответствующий ВНЖ предоставляется непосредственно в Португалии без предварительной визы.</w:t>
      </w:r>
    </w:p>
    <w:p w14:paraId="5AEEC9BA" w14:textId="11E39898"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Подобно схемам по выдаче золотой визы ARI и</w:t>
      </w:r>
      <w:hyperlink r:id="rId9" w:history="1">
        <w:r w:rsidRPr="008A4404">
          <w:rPr>
            <w:rFonts w:ascii="Times New Roman" w:hAnsi="Times New Roman" w:cs="Times New Roman"/>
            <w:color w:val="1E7590"/>
            <w:sz w:val="22"/>
            <w:szCs w:val="22"/>
            <w:lang w:eastAsia="ru-RU"/>
          </w:rPr>
          <w:t> </w:t>
        </w:r>
        <w:r w:rsidRPr="008A4404">
          <w:rPr>
            <w:rFonts w:ascii="Times New Roman" w:hAnsi="Times New Roman" w:cs="Times New Roman"/>
            <w:color w:val="1E7590"/>
            <w:sz w:val="22"/>
            <w:szCs w:val="22"/>
            <w:u w:val="single"/>
            <w:lang w:eastAsia="ru-RU"/>
          </w:rPr>
          <w:t>визы D7</w:t>
        </w:r>
      </w:hyperlink>
      <w:r w:rsidRPr="008A4404">
        <w:rPr>
          <w:rFonts w:ascii="Times New Roman" w:hAnsi="Times New Roman" w:cs="Times New Roman"/>
          <w:color w:val="333333"/>
          <w:sz w:val="22"/>
          <w:szCs w:val="22"/>
          <w:lang w:eastAsia="ru-RU"/>
        </w:rPr>
        <w:t>, соответствующие программы позволяют перемещать на португальскую территорию родственников через механизм воссоединения семьи, дополнительно предоставляя доступ к европейскому гражданству посредством натурализации. Для натурализации необходимо более длительное пребывание в Португалии относительно золотой визы, но закон предусматривает некоторые исключения.</w:t>
      </w:r>
    </w:p>
    <w:p w14:paraId="6361C773"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15BDDE55" w14:textId="77777777" w:rsidR="008A4404" w:rsidRPr="008A4404" w:rsidRDefault="008A4404" w:rsidP="008A4404">
      <w:pPr>
        <w:pStyle w:val="a6"/>
        <w:jc w:val="both"/>
        <w:rPr>
          <w:rFonts w:ascii="Times New Roman" w:hAnsi="Times New Roman" w:cs="Times New Roman"/>
          <w:b/>
          <w:bCs/>
          <w:sz w:val="22"/>
          <w:szCs w:val="22"/>
          <w:lang w:eastAsia="ru-RU"/>
        </w:rPr>
      </w:pPr>
      <w:bookmarkStart w:id="6" w:name="8"/>
      <w:bookmarkEnd w:id="6"/>
      <w:r w:rsidRPr="008A4404">
        <w:rPr>
          <w:rFonts w:ascii="Times New Roman" w:hAnsi="Times New Roman" w:cs="Times New Roman"/>
          <w:b/>
          <w:bCs/>
          <w:sz w:val="22"/>
          <w:szCs w:val="22"/>
          <w:lang w:eastAsia="ru-RU"/>
        </w:rPr>
        <w:t>№ 8 – Португальское гражданство на основании сефардских корней</w:t>
      </w:r>
    </w:p>
    <w:p w14:paraId="30071CBA"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Сефардская община происходит от евреев с корнями на Пиренейском полуострове, покинувших регион в Средневековье, спасаясь от преследований инквизиции. Чтобы исправить ошибки прошлого, португальские власти решили предоставлять гражданство иностранцам, являющимся потомками сефардских евреев и демонстрирующим соответствующие доказательства.</w:t>
      </w:r>
    </w:p>
    <w:p w14:paraId="1BE5C7BE"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Хотя подобный способ получения португальского гражданства существует с 2015, активно использоваться он стал относительно недавно. В 2020 соискатели подали более 80 тыс. заявлений. Более 24 тыс. заявок получили одобрение.</w:t>
      </w:r>
    </w:p>
    <w:p w14:paraId="592C7207"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Ценность португальского паспорта, являющегося одним из наиболее востребованных (согласно международным рейтингам), становится все более заметной для потомков португальцев и членов сефардской общины. Одним из недавних примеров является приобретение португальского паспорта владельцем английского футбольного клуба «Челси» и долларовым миллиардером Романом Абрамовичем.</w:t>
      </w:r>
    </w:p>
    <w:p w14:paraId="191F649E"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lastRenderedPageBreak/>
        <w:fldChar w:fldCharType="begin"/>
      </w:r>
      <w:r w:rsidRPr="008A4404">
        <w:rPr>
          <w:rFonts w:ascii="Times New Roman" w:hAnsi="Times New Roman" w:cs="Times New Roman"/>
          <w:sz w:val="22"/>
          <w:szCs w:val="22"/>
          <w:lang w:eastAsia="ru-RU"/>
        </w:rPr>
        <w:instrText xml:space="preserve"> INCLUDEPICTURE "/var/folders/p2/3jvxrwv97r737cgl8gmyxq9r0000gn/T/com.microsoft.Word/WebArchiveCopyPasteTempFiles/pasted-image-0-73-750x355.jpg" \* MERGEFORMATINET </w:instrText>
      </w:r>
      <w:r w:rsidRPr="008A4404">
        <w:rPr>
          <w:rFonts w:ascii="Times New Roman" w:hAnsi="Times New Roman" w:cs="Times New Roman"/>
          <w:sz w:val="22"/>
          <w:szCs w:val="22"/>
          <w:lang w:eastAsia="ru-RU"/>
        </w:rPr>
        <w:fldChar w:fldCharType="separate"/>
      </w:r>
      <w:r w:rsidRPr="008A4404">
        <w:rPr>
          <w:rFonts w:ascii="Times New Roman" w:hAnsi="Times New Roman" w:cs="Times New Roman"/>
          <w:noProof/>
          <w:sz w:val="22"/>
          <w:szCs w:val="22"/>
          <w:lang w:eastAsia="ru-RU"/>
        </w:rPr>
        <w:drawing>
          <wp:inline distT="0" distB="0" distL="0" distR="0" wp14:anchorId="0850D205" wp14:editId="1F95AE62">
            <wp:extent cx="5727700" cy="2712085"/>
            <wp:effectExtent l="0" t="0" r="0" b="5715"/>
            <wp:docPr id="1" name="Рисунок 1" descr="Количество получателей португальского гражданства в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личество получателей португальского гражданства в 20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2712085"/>
                    </a:xfrm>
                    <a:prstGeom prst="rect">
                      <a:avLst/>
                    </a:prstGeom>
                    <a:noFill/>
                    <a:ln>
                      <a:noFill/>
                    </a:ln>
                  </pic:spPr>
                </pic:pic>
              </a:graphicData>
            </a:graphic>
          </wp:inline>
        </w:drawing>
      </w:r>
      <w:r w:rsidRPr="008A4404">
        <w:rPr>
          <w:rFonts w:ascii="Times New Roman" w:hAnsi="Times New Roman" w:cs="Times New Roman"/>
          <w:sz w:val="22"/>
          <w:szCs w:val="22"/>
          <w:lang w:eastAsia="ru-RU"/>
        </w:rPr>
        <w:fldChar w:fldCharType="end"/>
      </w:r>
    </w:p>
    <w:p w14:paraId="6463AE5B"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i/>
          <w:iCs/>
          <w:color w:val="333333"/>
          <w:sz w:val="22"/>
          <w:szCs w:val="22"/>
          <w:lang w:eastAsia="ru-RU"/>
        </w:rPr>
        <w:t>Количество получателей португальского гражданства в 2020 с указанием оснований. Источник: SEF</w:t>
      </w:r>
    </w:p>
    <w:p w14:paraId="5F24B24C" w14:textId="392D6483"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Следует, однако, помнить о существовании альтернативных способов. В число альтернатив входит, например, законное проживание на территории потенциальной новой родины в течение пятилетки. Соискателю надлежит проводить в стране большую часть каждого года (обладателям золотой визы достаточно гостить по неделе ежегодно).</w:t>
      </w:r>
    </w:p>
    <w:p w14:paraId="1D75D859"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1DD8F443" w14:textId="77777777" w:rsidR="008A4404" w:rsidRPr="008A4404" w:rsidRDefault="008A4404" w:rsidP="008A4404">
      <w:pPr>
        <w:pStyle w:val="a6"/>
        <w:jc w:val="both"/>
        <w:rPr>
          <w:rFonts w:ascii="Times New Roman" w:hAnsi="Times New Roman" w:cs="Times New Roman"/>
          <w:b/>
          <w:bCs/>
          <w:sz w:val="22"/>
          <w:szCs w:val="22"/>
          <w:lang w:eastAsia="ru-RU"/>
        </w:rPr>
      </w:pPr>
      <w:bookmarkStart w:id="7" w:name="9"/>
      <w:bookmarkEnd w:id="7"/>
      <w:r w:rsidRPr="008A4404">
        <w:rPr>
          <w:rFonts w:ascii="Times New Roman" w:hAnsi="Times New Roman" w:cs="Times New Roman"/>
          <w:b/>
          <w:bCs/>
          <w:sz w:val="22"/>
          <w:szCs w:val="22"/>
          <w:lang w:eastAsia="ru-RU"/>
        </w:rPr>
        <w:t>№ 9 – Мобильность и перемещение в пределах зоны CPLP</w:t>
      </w:r>
    </w:p>
    <w:p w14:paraId="271F8256"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Девять юрисдикций-членов CPLP (Содружество португалоязычных стран) недавно заключили соглашение об углублении сотрудничества в области облегчения путешествий граждан друг друга по общей территории CPLP. Речь идет об упрощенном оформлении разрешений на краткосрочное и долговременное пребывание, виз и видов на жительство для владельцев обычных, дипломатических, служебных и специальных паспортов.</w:t>
      </w:r>
    </w:p>
    <w:p w14:paraId="7ED7E877"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Отдельным государствам-членам надлежит самостоятельно принять конкретные законодательные акты, ведущие к практической реализации достигнутого ранее принципиального соглашения. Например, португальские власти уже обеспечили большую гибкость при переселении студентов, исследователей и бизнесменов из иных государств-членов CPLP.</w:t>
      </w:r>
    </w:p>
    <w:p w14:paraId="3BFE2B85" w14:textId="4CF9913E"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Дополнительно обсуждается возможность введения «вида на жительство CPLP». Любой бенефициар данной схемы, как ожидается, получит права, свободы и гарантии, доступные гражданам принимающего государства, пользуясь, в частности, равным обращением в отношении права на проживание, доступ к образованию, рынку труда и здравоохранению.</w:t>
      </w:r>
    </w:p>
    <w:p w14:paraId="1D45D93B"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20D864C3" w14:textId="77777777" w:rsidR="008A4404" w:rsidRPr="008A4404" w:rsidRDefault="008A4404" w:rsidP="008A4404">
      <w:pPr>
        <w:pStyle w:val="a6"/>
        <w:jc w:val="both"/>
        <w:rPr>
          <w:rFonts w:ascii="Times New Roman" w:hAnsi="Times New Roman" w:cs="Times New Roman"/>
          <w:b/>
          <w:bCs/>
          <w:sz w:val="22"/>
          <w:szCs w:val="22"/>
          <w:lang w:eastAsia="ru-RU"/>
        </w:rPr>
      </w:pPr>
      <w:bookmarkStart w:id="8" w:name="10"/>
      <w:bookmarkEnd w:id="8"/>
      <w:r w:rsidRPr="008A4404">
        <w:rPr>
          <w:rFonts w:ascii="Times New Roman" w:hAnsi="Times New Roman" w:cs="Times New Roman"/>
          <w:b/>
          <w:bCs/>
          <w:sz w:val="22"/>
          <w:szCs w:val="22"/>
          <w:lang w:eastAsia="ru-RU"/>
        </w:rPr>
        <w:t>№ 10 – Реструктуризация иммиграционной службы</w:t>
      </w:r>
    </w:p>
    <w:p w14:paraId="289E3F58"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 2021 местное правительство утвердило упразднение ведомства SEF, но имплементацию соответствующего постановления чиновники отложили на конец 2022. Полицейские полномочия SEF подлежат передаче Полиции общественной безопасности (Polícia de Segurança Pública; PSP), Национальной республиканской гвардии (Guarda Nacional Republicana; GNR) и Судебной полиции (Polícia Judiciária; PJ).</w:t>
      </w:r>
    </w:p>
    <w:p w14:paraId="59F0D6C7"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Иммиграционные полномочия SEF делегируются новой организации, названной Португальским агентством по вопросам иммиграции и предоставления убежища (Agência Portuguesa para as Migrações e Asilo; APMA). В сферу компетенции вновь сформированного ведомства войдет, помимо прочего, урегулирование въезда и пребывания иностранных граждан на португальской национальной территории, выдача заключений по запросам на получение вида на жительство / убежище и поселение беженцев.</w:t>
      </w:r>
    </w:p>
    <w:p w14:paraId="076C78E6" w14:textId="1BAB80E1"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 xml:space="preserve">Отвечать за продление ВНЖ иностранных граждан, проживающих в Португалии, станет Институт по регистрационным и нотариальным вопросам (Instituto dos Registos e Notariado; IRN). Процессы принудительного выдворения иностранных граждан перейдут в сферу </w:t>
      </w:r>
      <w:r w:rsidRPr="008A4404">
        <w:rPr>
          <w:rFonts w:ascii="Times New Roman" w:hAnsi="Times New Roman" w:cs="Times New Roman"/>
          <w:color w:val="333333"/>
          <w:sz w:val="22"/>
          <w:szCs w:val="22"/>
          <w:lang w:eastAsia="ru-RU"/>
        </w:rPr>
        <w:lastRenderedPageBreak/>
        <w:t>компетенции сотрудников PSP и GNR. Данные структуры дополнительно станут нести ответственность за управление местами временного размещения беженцев.</w:t>
      </w:r>
    </w:p>
    <w:p w14:paraId="1D7C066A"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6766B28B" w14:textId="77777777" w:rsidR="008A4404" w:rsidRPr="008A4404" w:rsidRDefault="008A4404" w:rsidP="008A4404">
      <w:pPr>
        <w:pStyle w:val="a6"/>
        <w:jc w:val="both"/>
        <w:rPr>
          <w:rFonts w:ascii="Times New Roman" w:hAnsi="Times New Roman" w:cs="Times New Roman"/>
          <w:b/>
          <w:bCs/>
          <w:sz w:val="22"/>
          <w:szCs w:val="22"/>
          <w:lang w:eastAsia="ru-RU"/>
        </w:rPr>
      </w:pPr>
      <w:bookmarkStart w:id="9" w:name="11"/>
      <w:bookmarkEnd w:id="9"/>
      <w:r w:rsidRPr="008A4404">
        <w:rPr>
          <w:rFonts w:ascii="Times New Roman" w:hAnsi="Times New Roman" w:cs="Times New Roman"/>
          <w:b/>
          <w:bCs/>
          <w:sz w:val="22"/>
          <w:szCs w:val="22"/>
          <w:lang w:eastAsia="ru-RU"/>
        </w:rPr>
        <w:t>№ 11 — Программа развития сельских районов</w:t>
      </w:r>
    </w:p>
    <w:p w14:paraId="69DC7807"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Россиянам, украинцам, белорусам, казахстанцам и прочим иностранцам, решившим оформить</w:t>
      </w:r>
      <w:hyperlink r:id="rId11" w:history="1">
        <w:r w:rsidRPr="008A4404">
          <w:rPr>
            <w:rFonts w:ascii="Times New Roman" w:hAnsi="Times New Roman" w:cs="Times New Roman"/>
            <w:color w:val="1E7590"/>
            <w:sz w:val="22"/>
            <w:szCs w:val="22"/>
            <w:lang w:eastAsia="ru-RU"/>
          </w:rPr>
          <w:t> </w:t>
        </w:r>
        <w:r w:rsidRPr="008A4404">
          <w:rPr>
            <w:rFonts w:ascii="Times New Roman" w:hAnsi="Times New Roman" w:cs="Times New Roman"/>
            <w:color w:val="1E7590"/>
            <w:sz w:val="22"/>
            <w:szCs w:val="22"/>
            <w:u w:val="single"/>
            <w:lang w:eastAsia="ru-RU"/>
          </w:rPr>
          <w:t>ВНЖ Португалии за инвестиции</w:t>
        </w:r>
      </w:hyperlink>
      <w:r w:rsidRPr="008A4404">
        <w:rPr>
          <w:rFonts w:ascii="Times New Roman" w:hAnsi="Times New Roman" w:cs="Times New Roman"/>
          <w:color w:val="333333"/>
          <w:sz w:val="22"/>
          <w:szCs w:val="22"/>
          <w:lang w:eastAsia="ru-RU"/>
        </w:rPr>
        <w:t> / на ином основании, следует обратить пристальное внимание на возможности для переезда и открытия бизнеса в сельской местности.</w:t>
      </w:r>
    </w:p>
    <w:p w14:paraId="49F59635"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 2020 местные власти запустили программу развития внутренних территорий (Programa de apoio à mobilidade para o Interior), рассчитанную до 2023. Если вкратце, инициатива направлена на повышение конкурентоспособности слабонаселенных сельских регионов страны и перенаправление туда человеческих ресурсов / капитала из Лиссабона, Порту и прочих популярных среди туристов крупных прибрежных городов.</w:t>
      </w:r>
    </w:p>
    <w:p w14:paraId="6D905E25"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Схема призвана облегчить физлицам поиск работы, предложить жилищные субсидии и предоставить финансовые стимулы размером до 4827 € (в зависимости от затрат на поселение, транспорт и размера домохозяйства). В случае компаний сумма субсидий увеличивается до 82 106 € из расчета на одну открываемую вакансию.</w:t>
      </w:r>
    </w:p>
    <w:p w14:paraId="5678AB0D" w14:textId="3A0EDFB5"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 2021 условия программы изменились. Наиболее значительным изменением стало распространение действия на иностранцев, решивших переехать в Португалию. Отныне любой иностранец, решивший переехать во внутренние районы страны с целью работы, дополнительно обретает право на вышеозначенные льготы. Подобное расширение сферы применения схемы позволит повысить конкурентоспособность внутренних районов, одновременно стимулируя создание новых рабочих мест в различных областях.</w:t>
      </w:r>
    </w:p>
    <w:p w14:paraId="67A8FC5E"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6E46E411" w14:textId="77777777" w:rsidR="008A4404" w:rsidRPr="008A4404" w:rsidRDefault="008A4404" w:rsidP="008A4404">
      <w:pPr>
        <w:pStyle w:val="a6"/>
        <w:jc w:val="both"/>
        <w:rPr>
          <w:rFonts w:ascii="Times New Roman" w:hAnsi="Times New Roman" w:cs="Times New Roman"/>
          <w:b/>
          <w:bCs/>
          <w:sz w:val="22"/>
          <w:szCs w:val="22"/>
          <w:lang w:eastAsia="ru-RU"/>
        </w:rPr>
      </w:pPr>
      <w:bookmarkStart w:id="10" w:name="12"/>
      <w:bookmarkEnd w:id="10"/>
      <w:r w:rsidRPr="008A4404">
        <w:rPr>
          <w:rFonts w:ascii="Times New Roman" w:hAnsi="Times New Roman" w:cs="Times New Roman"/>
          <w:b/>
          <w:bCs/>
          <w:sz w:val="22"/>
          <w:szCs w:val="22"/>
          <w:lang w:eastAsia="ru-RU"/>
        </w:rPr>
        <w:t>№ 12 – Влияние выборов в законодательные органы</w:t>
      </w:r>
    </w:p>
    <w:p w14:paraId="30A851EB"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 2021 португальское правительство подверглось роспуску вследствие неутверждения государственного бюджета. Внеочередные выборы в законодательные органы состоятся 30 января 2022. Различные партии уже представили собственные предвыборные программы.</w:t>
      </w:r>
    </w:p>
    <w:p w14:paraId="445B7405"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Особого внимания заслуживают обещания политиков, касающиеся вопросов иммиграции. Эксперты не исключают возможность появления принципиально новых законодательных инициатив в данной сфере (в зависимости от состава сформированного правительства).</w:t>
      </w:r>
    </w:p>
    <w:p w14:paraId="037EC0E2"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Например, вопрос ликвидации SEF окажется в руках правительства, сформированного в результате внеочередных выборов. Однако важно отметить, что если Социалистическая партия (Partido Socialista; PS), контролировавшая предыдущее правительство, выступает за упразднение и последующую реформу SEF, то Социал-демократическая партия (Partido Social Democrata; PSD) выступает против.</w:t>
      </w:r>
    </w:p>
    <w:p w14:paraId="30BA4225"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Касательно иммиграционной политики, PSD предлагает пересмотреть иммиграционное законодательство с целью «привлечения и удержания талантов в Португалии» через принятие системы баллов и системы «зеленых карт» (наподобие уже существующей в США системы грин-карт).</w:t>
      </w:r>
    </w:p>
    <w:p w14:paraId="74884713" w14:textId="58E68547"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Партия PS, в свою очередь, выступает за заключение двусторонних иммиграционных соглашений со странами, не входящими в Евросоюз, чтобы упростить процессы въезда и найма иностранных работников. Политики дополнительно предлагают упростить процедуры въезда через воссоединение семьи, получения и продления вида на жительство.</w:t>
      </w:r>
    </w:p>
    <w:p w14:paraId="1E93DA8C" w14:textId="77777777" w:rsidR="008A4404" w:rsidRPr="008A4404" w:rsidRDefault="008A4404" w:rsidP="008A4404">
      <w:pPr>
        <w:pStyle w:val="a6"/>
        <w:jc w:val="both"/>
        <w:rPr>
          <w:rFonts w:ascii="Times New Roman" w:hAnsi="Times New Roman" w:cs="Times New Roman"/>
          <w:color w:val="333333"/>
          <w:sz w:val="22"/>
          <w:szCs w:val="22"/>
          <w:lang w:eastAsia="ru-RU"/>
        </w:rPr>
      </w:pPr>
    </w:p>
    <w:p w14:paraId="2B1BA89A" w14:textId="77777777" w:rsidR="008A4404" w:rsidRPr="008A4404" w:rsidRDefault="008A4404" w:rsidP="008A4404">
      <w:pPr>
        <w:pStyle w:val="a6"/>
        <w:jc w:val="both"/>
        <w:rPr>
          <w:rFonts w:ascii="Times New Roman" w:hAnsi="Times New Roman" w:cs="Times New Roman"/>
          <w:b/>
          <w:bCs/>
          <w:sz w:val="22"/>
          <w:szCs w:val="22"/>
          <w:lang w:eastAsia="ru-RU"/>
        </w:rPr>
      </w:pPr>
      <w:bookmarkStart w:id="11" w:name="13"/>
      <w:bookmarkEnd w:id="11"/>
      <w:r w:rsidRPr="008A4404">
        <w:rPr>
          <w:rFonts w:ascii="Times New Roman" w:hAnsi="Times New Roman" w:cs="Times New Roman"/>
          <w:b/>
          <w:bCs/>
          <w:sz w:val="22"/>
          <w:szCs w:val="22"/>
          <w:lang w:eastAsia="ru-RU"/>
        </w:rPr>
        <w:t>№ 13 – Прививка от COVID для иностранцев</w:t>
      </w:r>
    </w:p>
    <w:p w14:paraId="5F1FE9CB"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Португалия стала пионером в части обеспечения доступа к вакцинации иностранцам, находящимся в данном государстве, независимо от иммиграционного статуса (ВНЖ / постоянное место жительства / нелегальное положение). Сейчас иностранные граждане вправе зарегистрироваться для вакцинации двумя способами (в зависимости от наличия/отсутствия номера пользователя Национальной службы здравоохранения):</w:t>
      </w:r>
    </w:p>
    <w:p w14:paraId="66590662"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Иностранцы с номером пользователя обязаны выполнять саморегистрацию через запрос на сайте https:// covid19 . min-saude . pt / pedido-de-agendamento</w:t>
      </w:r>
    </w:p>
    <w:p w14:paraId="0056BE30"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Иностранцы без номера пользователя обязаны регистрироваться через платформу, созданную Департаментом здравоохранения (Direcção-Geral da Saúde; DGS) на сайте  https:// servicos . min-saude . pt /covid19/vacinacao-nao-utente</w:t>
      </w:r>
    </w:p>
    <w:p w14:paraId="1ACAF016" w14:textId="2933F9F6" w:rsid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lastRenderedPageBreak/>
        <w:t>Иностранцы с неурегулированным статусом обязаны регистрироваться через https:// servicos . min-saude . pt / covid19 / vacinacao-nao-utente</w:t>
      </w:r>
    </w:p>
    <w:p w14:paraId="4A0928AF" w14:textId="77777777" w:rsidR="008A4404" w:rsidRPr="008A4404" w:rsidRDefault="008A4404" w:rsidP="008A4404">
      <w:pPr>
        <w:pStyle w:val="a6"/>
        <w:jc w:val="both"/>
        <w:rPr>
          <w:rFonts w:ascii="Times New Roman" w:hAnsi="Times New Roman" w:cs="Times New Roman"/>
          <w:sz w:val="22"/>
          <w:szCs w:val="22"/>
          <w:lang w:eastAsia="ru-RU"/>
        </w:rPr>
      </w:pPr>
    </w:p>
    <w:p w14:paraId="76693BC1" w14:textId="77777777" w:rsidR="008A4404" w:rsidRPr="008A4404" w:rsidRDefault="008A4404" w:rsidP="008A4404">
      <w:pPr>
        <w:pStyle w:val="a6"/>
        <w:jc w:val="both"/>
        <w:rPr>
          <w:rFonts w:ascii="Times New Roman" w:hAnsi="Times New Roman" w:cs="Times New Roman"/>
          <w:b/>
          <w:bCs/>
          <w:sz w:val="22"/>
          <w:szCs w:val="22"/>
          <w:lang w:eastAsia="ru-RU"/>
        </w:rPr>
      </w:pPr>
      <w:bookmarkStart w:id="12" w:name="14"/>
      <w:bookmarkEnd w:id="12"/>
      <w:r w:rsidRPr="008A4404">
        <w:rPr>
          <w:rFonts w:ascii="Times New Roman" w:hAnsi="Times New Roman" w:cs="Times New Roman"/>
          <w:b/>
          <w:bCs/>
          <w:sz w:val="22"/>
          <w:szCs w:val="22"/>
          <w:lang w:eastAsia="ru-RU"/>
        </w:rPr>
        <w:t>№ 14 – Цифровое резидентство и дистанционные процедуры</w:t>
      </w:r>
    </w:p>
    <w:p w14:paraId="3E265971"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Португальское правительство предприняло усилия по цифровизации ряда услуг, стремясь решить проблемы современного общества. В частности, в 2020 чиновники объявили о создании цифрового резидентства. Соответствующая программа, пока находящаяся в стадии разработки, направлена на дистанционное предоставление цифровой карты резидента гражданам / компаниям. Причем необходимые процедуры будут на 100% выполняться через онлайн-сервис.</w:t>
      </w:r>
    </w:p>
    <w:p w14:paraId="6042277B"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Бенефициары получат доступ к ряду госуслуг, включая оформление идентификационного номера налогоплательщика и идентификационного номера службы социального обеспечения, позволяющим создавать/регистрировать местные компании, открывать банковские счета, осуществлять профессиональную деятельность и вести бизнес в рассматриваемом государстве.</w:t>
      </w:r>
    </w:p>
    <w:p w14:paraId="64F174F2"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 состав целевой аудитории данной программы войдут:</w:t>
      </w:r>
    </w:p>
    <w:p w14:paraId="1E204AE6"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Цифровые кочевники, индивидуальные предприниматели и любые иностранные компании, независимо от размера / сферы деятельности, желающие через Португалию вести бизнес в Евросоюзе и за пределами ЕС;</w:t>
      </w:r>
    </w:p>
    <w:p w14:paraId="57E60B02"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Инвесторы, желающие вкладывать средства в португальскую экономику и Евросоюз;</w:t>
      </w:r>
    </w:p>
    <w:p w14:paraId="2F412112" w14:textId="77777777" w:rsidR="008A4404" w:rsidRPr="008A4404" w:rsidRDefault="008A4404" w:rsidP="008A4404">
      <w:pPr>
        <w:pStyle w:val="a6"/>
        <w:jc w:val="both"/>
        <w:rPr>
          <w:rFonts w:ascii="Times New Roman" w:hAnsi="Times New Roman" w:cs="Times New Roman"/>
          <w:sz w:val="22"/>
          <w:szCs w:val="22"/>
          <w:lang w:eastAsia="ru-RU"/>
        </w:rPr>
      </w:pPr>
      <w:r w:rsidRPr="008A4404">
        <w:rPr>
          <w:rFonts w:ascii="Times New Roman" w:hAnsi="Times New Roman" w:cs="Times New Roman"/>
          <w:sz w:val="22"/>
          <w:szCs w:val="22"/>
          <w:lang w:eastAsia="ru-RU"/>
        </w:rPr>
        <w:t>Португальские компании из сферы услуг (финансовые учреждения, юридические фирмы, бухгалтерские фирмы и другие), намеренные привлекать потенциальных клиентов солидной репутацией, поскольку новая платформа призвана обеспечить высокие стандарты аутентификации, снизить риски мошенничества и усилить борьбу с отмыванием денег.</w:t>
      </w:r>
    </w:p>
    <w:p w14:paraId="709E851B" w14:textId="77777777" w:rsidR="008A4404" w:rsidRP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Дополнительно разрабатываются механизмы, позволяющие посредством видеоконференций осуществлять аутентификацию частных документов и иные схожие действия, требующие присутствия посредников, перед сотрудниками регистратуры, нотариусами, португальскими консульскими агентами, адвокатами / солиситорами. Данный механизм является ответом на трудности, вызванные пандемией, а также на высокую длительность обработки заявок в официальных диппредставительствах Португалии за рубежом.</w:t>
      </w:r>
    </w:p>
    <w:p w14:paraId="0C654749" w14:textId="3BDE6992" w:rsidR="008A4404" w:rsidRDefault="008A4404" w:rsidP="008A4404">
      <w:pPr>
        <w:pStyle w:val="a6"/>
        <w:jc w:val="both"/>
        <w:rPr>
          <w:rFonts w:ascii="Times New Roman" w:hAnsi="Times New Roman" w:cs="Times New Roman"/>
          <w:color w:val="333333"/>
          <w:sz w:val="22"/>
          <w:szCs w:val="22"/>
          <w:lang w:eastAsia="ru-RU"/>
        </w:rPr>
      </w:pPr>
      <w:r w:rsidRPr="008A4404">
        <w:rPr>
          <w:rFonts w:ascii="Times New Roman" w:hAnsi="Times New Roman" w:cs="Times New Roman"/>
          <w:color w:val="333333"/>
          <w:sz w:val="22"/>
          <w:szCs w:val="22"/>
          <w:lang w:eastAsia="ru-RU"/>
        </w:rPr>
        <w:t>В число разрешенных процедур войдут, помимо прочего, заверение личных документов, подтверждение подписей, разводы по обоюдному согласию, покупка и продажа недвижимости. Процедуры станут осуществляться через официальную онлайн-платформу, что гарантирует необходимую безопасность с технологической точки зрения. Возможность воспользоваться новым механизмом появится 4 апреля 2022. Пилотный проект будет действовать в течение двухлетнего периода.</w:t>
      </w:r>
    </w:p>
    <w:p w14:paraId="441EF3BF" w14:textId="77777777" w:rsidR="00866A6F" w:rsidRPr="008A4404" w:rsidRDefault="00866A6F" w:rsidP="008A4404">
      <w:pPr>
        <w:pStyle w:val="a6"/>
        <w:jc w:val="both"/>
        <w:rPr>
          <w:rFonts w:ascii="Times New Roman" w:hAnsi="Times New Roman" w:cs="Times New Roman"/>
          <w:sz w:val="22"/>
          <w:szCs w:val="22"/>
        </w:rPr>
      </w:pPr>
      <w:bookmarkStart w:id="13" w:name="15"/>
      <w:bookmarkEnd w:id="13"/>
    </w:p>
    <w:sectPr w:rsidR="00866A6F" w:rsidRPr="008A4404" w:rsidSect="00435BD7">
      <w:headerReference w:type="even" r:id="rId12"/>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F7001" w14:textId="77777777" w:rsidR="00F4106B" w:rsidRDefault="00F4106B" w:rsidP="008A4404">
      <w:r>
        <w:separator/>
      </w:r>
    </w:p>
  </w:endnote>
  <w:endnote w:type="continuationSeparator" w:id="0">
    <w:p w14:paraId="54331B73" w14:textId="77777777" w:rsidR="00F4106B" w:rsidRDefault="00F4106B" w:rsidP="008A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6B21D" w14:textId="77777777" w:rsidR="00F4106B" w:rsidRDefault="00F4106B" w:rsidP="008A4404">
      <w:r>
        <w:separator/>
      </w:r>
    </w:p>
  </w:footnote>
  <w:footnote w:type="continuationSeparator" w:id="0">
    <w:p w14:paraId="60115973" w14:textId="77777777" w:rsidR="00F4106B" w:rsidRDefault="00F4106B" w:rsidP="008A4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381162291"/>
      <w:docPartObj>
        <w:docPartGallery w:val="Page Numbers (Top of Page)"/>
        <w:docPartUnique/>
      </w:docPartObj>
    </w:sdtPr>
    <w:sdtContent>
      <w:p w14:paraId="04916062" w14:textId="10E3EEFB" w:rsidR="008A4404" w:rsidRDefault="008A4404" w:rsidP="00163A8C">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013F8C0F" w14:textId="77777777" w:rsidR="008A4404" w:rsidRDefault="008A4404" w:rsidP="008A440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20588264"/>
      <w:docPartObj>
        <w:docPartGallery w:val="Page Numbers (Top of Page)"/>
        <w:docPartUnique/>
      </w:docPartObj>
    </w:sdtPr>
    <w:sdtContent>
      <w:p w14:paraId="2E426A20" w14:textId="6B74B409" w:rsidR="008A4404" w:rsidRDefault="008A4404" w:rsidP="00163A8C">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7DC8CE6D" w14:textId="77777777" w:rsidR="008A4404" w:rsidRDefault="008A4404" w:rsidP="008A4404">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21EDB"/>
    <w:multiLevelType w:val="multilevel"/>
    <w:tmpl w:val="E4C027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5658C"/>
    <w:multiLevelType w:val="multilevel"/>
    <w:tmpl w:val="EB48C3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CF6C1C"/>
    <w:multiLevelType w:val="multilevel"/>
    <w:tmpl w:val="72D6FF4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653793"/>
    <w:multiLevelType w:val="multilevel"/>
    <w:tmpl w:val="8140E1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E017A"/>
    <w:multiLevelType w:val="multilevel"/>
    <w:tmpl w:val="9A4E4E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AC0387"/>
    <w:multiLevelType w:val="hybridMultilevel"/>
    <w:tmpl w:val="A852D862"/>
    <w:lvl w:ilvl="0" w:tplc="1D7451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7469FF"/>
    <w:multiLevelType w:val="multilevel"/>
    <w:tmpl w:val="586A3E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61500762">
    <w:abstractNumId w:val="2"/>
  </w:num>
  <w:num w:numId="2" w16cid:durableId="1987666458">
    <w:abstractNumId w:val="3"/>
  </w:num>
  <w:num w:numId="3" w16cid:durableId="941111429">
    <w:abstractNumId w:val="1"/>
  </w:num>
  <w:num w:numId="4" w16cid:durableId="279532993">
    <w:abstractNumId w:val="6"/>
  </w:num>
  <w:num w:numId="5" w16cid:durableId="365177714">
    <w:abstractNumId w:val="0"/>
  </w:num>
  <w:num w:numId="6" w16cid:durableId="1728987814">
    <w:abstractNumId w:val="4"/>
  </w:num>
  <w:num w:numId="7" w16cid:durableId="1571765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04"/>
    <w:rsid w:val="00027930"/>
    <w:rsid w:val="00435BD7"/>
    <w:rsid w:val="00866A6F"/>
    <w:rsid w:val="00893D34"/>
    <w:rsid w:val="008A4404"/>
    <w:rsid w:val="00C31D91"/>
    <w:rsid w:val="00C43E31"/>
    <w:rsid w:val="00D3414F"/>
    <w:rsid w:val="00F4106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21297E7"/>
  <w15:chartTrackingRefBased/>
  <w15:docId w15:val="{DCEA9403-9A9E-8541-915B-6663B181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A4404"/>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440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A4404"/>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semiHidden/>
    <w:unhideWhenUsed/>
    <w:rsid w:val="008A4404"/>
    <w:rPr>
      <w:color w:val="0000FF"/>
      <w:u w:val="single"/>
    </w:rPr>
  </w:style>
  <w:style w:type="character" w:customStyle="1" w:styleId="apple-converted-space">
    <w:name w:val="apple-converted-space"/>
    <w:basedOn w:val="a0"/>
    <w:rsid w:val="008A4404"/>
  </w:style>
  <w:style w:type="character" w:styleId="a5">
    <w:name w:val="Emphasis"/>
    <w:basedOn w:val="a0"/>
    <w:uiPriority w:val="20"/>
    <w:qFormat/>
    <w:rsid w:val="008A4404"/>
    <w:rPr>
      <w:i/>
      <w:iCs/>
    </w:rPr>
  </w:style>
  <w:style w:type="paragraph" w:styleId="a6">
    <w:name w:val="No Spacing"/>
    <w:uiPriority w:val="1"/>
    <w:qFormat/>
    <w:rsid w:val="008A4404"/>
  </w:style>
  <w:style w:type="paragraph" w:styleId="a7">
    <w:name w:val="header"/>
    <w:basedOn w:val="a"/>
    <w:link w:val="a8"/>
    <w:uiPriority w:val="99"/>
    <w:unhideWhenUsed/>
    <w:rsid w:val="008A4404"/>
    <w:pPr>
      <w:tabs>
        <w:tab w:val="center" w:pos="4513"/>
        <w:tab w:val="right" w:pos="9026"/>
      </w:tabs>
    </w:pPr>
  </w:style>
  <w:style w:type="character" w:customStyle="1" w:styleId="a8">
    <w:name w:val="Верхний колонтитул Знак"/>
    <w:basedOn w:val="a0"/>
    <w:link w:val="a7"/>
    <w:uiPriority w:val="99"/>
    <w:rsid w:val="008A4404"/>
  </w:style>
  <w:style w:type="paragraph" w:styleId="a9">
    <w:name w:val="footer"/>
    <w:basedOn w:val="a"/>
    <w:link w:val="aa"/>
    <w:uiPriority w:val="99"/>
    <w:unhideWhenUsed/>
    <w:rsid w:val="008A4404"/>
    <w:pPr>
      <w:tabs>
        <w:tab w:val="center" w:pos="4513"/>
        <w:tab w:val="right" w:pos="9026"/>
      </w:tabs>
    </w:pPr>
  </w:style>
  <w:style w:type="character" w:customStyle="1" w:styleId="aa">
    <w:name w:val="Нижний колонтитул Знак"/>
    <w:basedOn w:val="a0"/>
    <w:link w:val="a9"/>
    <w:uiPriority w:val="99"/>
    <w:rsid w:val="008A4404"/>
  </w:style>
  <w:style w:type="character" w:styleId="ab">
    <w:name w:val="page number"/>
    <w:basedOn w:val="a0"/>
    <w:uiPriority w:val="99"/>
    <w:semiHidden/>
    <w:unhideWhenUsed/>
    <w:rsid w:val="008A4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248151">
      <w:bodyDiv w:val="1"/>
      <w:marLeft w:val="0"/>
      <w:marRight w:val="0"/>
      <w:marTop w:val="0"/>
      <w:marBottom w:val="0"/>
      <w:divBdr>
        <w:top w:val="none" w:sz="0" w:space="0" w:color="auto"/>
        <w:left w:val="none" w:sz="0" w:space="0" w:color="auto"/>
        <w:bottom w:val="none" w:sz="0" w:space="0" w:color="auto"/>
        <w:right w:val="none" w:sz="0" w:space="0" w:color="auto"/>
      </w:divBdr>
      <w:divsChild>
        <w:div w:id="1699312395">
          <w:marLeft w:val="0"/>
          <w:marRight w:val="0"/>
          <w:marTop w:val="0"/>
          <w:marBottom w:val="0"/>
          <w:divBdr>
            <w:top w:val="none" w:sz="0" w:space="0" w:color="auto"/>
            <w:left w:val="none" w:sz="0" w:space="0" w:color="auto"/>
            <w:bottom w:val="none" w:sz="0" w:space="0" w:color="auto"/>
            <w:right w:val="none" w:sz="0" w:space="0" w:color="auto"/>
          </w:divBdr>
          <w:divsChild>
            <w:div w:id="1394543122">
              <w:marLeft w:val="0"/>
              <w:marRight w:val="0"/>
              <w:marTop w:val="0"/>
              <w:marBottom w:val="0"/>
              <w:divBdr>
                <w:top w:val="single" w:sz="6" w:space="15" w:color="FFFFFF"/>
                <w:left w:val="single" w:sz="6" w:space="23" w:color="FFFFFF"/>
                <w:bottom w:val="single" w:sz="6" w:space="15" w:color="FFFFFF"/>
                <w:right w:val="single" w:sz="6" w:space="23" w:color="FFFF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ationalwealth.info/tax-residence/portugal-non-habitual-tax-residenc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internationalwealth.info/residence-permit-abroad/what-is-a-golden-vis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ationalwealth.info/residence-permit-abroad/portugal-golden-visa-the-ultimate-gui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internationalwealth.info/visas/poluchenie-vizy-d7-v-portugalij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3503</Words>
  <Characters>19970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Ставров</dc:creator>
  <cp:keywords/>
  <dc:description/>
  <cp:lastModifiedBy>Сергей Ставров</cp:lastModifiedBy>
  <cp:revision>3</cp:revision>
  <dcterms:created xsi:type="dcterms:W3CDTF">2022-03-19T07:11:00Z</dcterms:created>
  <dcterms:modified xsi:type="dcterms:W3CDTF">2022-03-19T07:28:00Z</dcterms:modified>
</cp:coreProperties>
</file>