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C34" w:rsidRPr="00B75C34" w:rsidRDefault="00B75C34" w:rsidP="00B75C34">
      <w:pPr>
        <w:pStyle w:val="formcen"/>
        <w:spacing w:before="0" w:beforeAutospacing="0" w:after="0" w:afterAutospacing="0"/>
        <w:jc w:val="center"/>
        <w:rPr>
          <w:b/>
          <w:color w:val="000000" w:themeColor="text1"/>
          <w:u w:val="single"/>
        </w:rPr>
      </w:pPr>
      <w:r w:rsidRPr="00B75C34">
        <w:rPr>
          <w:rFonts w:ascii="Cambria" w:hAnsi="Cambria" w:cs="ZWAdobeF"/>
          <w:color w:val="000000" w:themeColor="text1"/>
          <w:sz w:val="10"/>
          <w:szCs w:val="2"/>
        </w:rPr>
        <w:t>a</w:t>
      </w:r>
      <w:r w:rsidRPr="00B75C34">
        <w:rPr>
          <w:rFonts w:ascii="ZWAdobeF" w:hAnsi="ZWAdobeF" w:cs="ZWAdobeF"/>
          <w:color w:val="000000" w:themeColor="text1"/>
          <w:sz w:val="10"/>
          <w:szCs w:val="2"/>
        </w:rPr>
        <w:t>U</w:t>
      </w:r>
      <w:r w:rsidRPr="00B75C34">
        <w:rPr>
          <w:b/>
          <w:color w:val="000000" w:themeColor="text1"/>
          <w:u w:val="single"/>
        </w:rPr>
        <w:t>CONVERTIBLE PROMISSORY NOTE</w:t>
      </w:r>
    </w:p>
    <w:p w:rsidR="00B75C34" w:rsidRPr="00B75C34" w:rsidRDefault="00B75C34" w:rsidP="00B75C34">
      <w:pPr>
        <w:pStyle w:val="formcen"/>
        <w:spacing w:before="0" w:beforeAutospacing="0" w:after="0" w:afterAutospacing="0"/>
        <w:jc w:val="center"/>
        <w:rPr>
          <w:b/>
          <w:color w:val="000000" w:themeColor="text1"/>
        </w:rPr>
      </w:pPr>
    </w:p>
    <w:p w:rsidR="00B75C34" w:rsidRPr="00B75C34" w:rsidRDefault="00B75C34" w:rsidP="00B75C34">
      <w:pPr>
        <w:spacing w:after="0" w:line="240" w:lineRule="auto"/>
        <w:jc w:val="both"/>
        <w:rPr>
          <w:rFonts w:ascii="Times New Roman" w:hAnsi="Times New Roman"/>
          <w:color w:val="000000" w:themeColor="text1"/>
          <w:sz w:val="24"/>
          <w:szCs w:val="24"/>
        </w:rPr>
      </w:pPr>
      <w:r w:rsidRPr="00B75C34">
        <w:rPr>
          <w:rFonts w:ascii="Times New Roman" w:hAnsi="Times New Roman"/>
          <w:color w:val="000000" w:themeColor="text1"/>
          <w:sz w:val="24"/>
          <w:szCs w:val="24"/>
        </w:rPr>
        <w:t xml:space="preserve">THE SALE OF THESE CONVERTIBLE PROMISSORY NOTES HAS NOT BEEN REGISTERED WITH THE SECURITIES AND EXCHANGE COMMISSION UNDER THE SECURITIES ACT OF 1933, AS AMENDED, IN RELIANCE UPON THE EXEMPTIONS FROM SUCH REGISTRATION REQUIREMENTS SET FORTH THEREIN, INCLUDING (WITHOUT LIMITATION) IN SECTION 4(2) OF THE ACT AND/OR RULE 506 OF REGULATION D PROMULGATED THEREUNDER (AS APPLICABLE).  THESE PROMISSORY NOTES HAVE NOT BEEN QUALIFIED OR REGISTERED IN ANY STATE IN RELIANCE UPON THE APPLICABLE EXEMPTIONS FROM SUCH QUALIFICATION OR REGISTRATION UNDER APPLICABLE STATE LAW.  </w:t>
      </w:r>
    </w:p>
    <w:p w:rsidR="00B75C34" w:rsidRPr="00B75C34" w:rsidRDefault="00B75C34" w:rsidP="00B75C34">
      <w:pPr>
        <w:spacing w:after="0" w:line="240" w:lineRule="auto"/>
        <w:jc w:val="both"/>
        <w:rPr>
          <w:rFonts w:ascii="Times New Roman" w:hAnsi="Times New Roman"/>
          <w:color w:val="000000" w:themeColor="text1"/>
          <w:sz w:val="24"/>
          <w:szCs w:val="24"/>
        </w:rPr>
      </w:pPr>
    </w:p>
    <w:p w:rsidR="00B75C34" w:rsidRPr="00B75C34" w:rsidRDefault="00B75C34" w:rsidP="00B75C34">
      <w:pPr>
        <w:spacing w:after="0" w:line="240" w:lineRule="auto"/>
        <w:jc w:val="both"/>
        <w:rPr>
          <w:rFonts w:ascii="Times New Roman" w:hAnsi="Times New Roman"/>
          <w:color w:val="000000" w:themeColor="text1"/>
          <w:sz w:val="24"/>
          <w:szCs w:val="24"/>
        </w:rPr>
      </w:pPr>
      <w:r w:rsidRPr="00B75C34">
        <w:rPr>
          <w:rFonts w:ascii="Times New Roman" w:hAnsi="Times New Roman"/>
          <w:color w:val="000000" w:themeColor="text1"/>
          <w:sz w:val="24"/>
          <w:szCs w:val="24"/>
        </w:rPr>
        <w:t>THESE PROMISSORY NOTES ARE “RESTRICTED SECURITIES” AND MAY NOT BE RESOLD OR OTHERWISE DISPOSED OF UNLESS A REGISTRATION STATEMENT COVERING DISPOSITION OF SUCH PROMISSORY NOTES IS THEN IN EFFECT OR AN EXEMPTION FROM SUCH REGISTRATION IS AVAILABLE.  ANY PURCHASER OF THESE PROMISSORY NOTES SHOULD READ AND UNDERSTAND THE PRIVATE PLACEMENT MEMORANDUM OF THE UNDERSIGNED BORROWER THROUGH WHICH THESE PROMISSORY NOTES ARE TO BE ISSUED.</w:t>
      </w:r>
    </w:p>
    <w:p w:rsidR="00B75C34" w:rsidRPr="00B75C34" w:rsidRDefault="00B75C34" w:rsidP="00B75C34">
      <w:pPr>
        <w:spacing w:after="0" w:line="240" w:lineRule="auto"/>
        <w:jc w:val="both"/>
        <w:rPr>
          <w:rFonts w:ascii="Times New Roman" w:hAnsi="Times New Roman"/>
          <w:color w:val="000000" w:themeColor="text1"/>
          <w:sz w:val="24"/>
          <w:szCs w:val="24"/>
        </w:rPr>
      </w:pPr>
    </w:p>
    <w:p w:rsidR="00B75C34" w:rsidRPr="00B75C34" w:rsidRDefault="00B75C34" w:rsidP="00B75C34">
      <w:pPr>
        <w:spacing w:after="0" w:line="240" w:lineRule="auto"/>
        <w:jc w:val="both"/>
        <w:rPr>
          <w:rFonts w:ascii="Times New Roman" w:hAnsi="Times New Roman"/>
          <w:color w:val="000000" w:themeColor="text1"/>
          <w:sz w:val="24"/>
          <w:szCs w:val="24"/>
        </w:rPr>
      </w:pPr>
    </w:p>
    <w:tbl>
      <w:tblPr>
        <w:tblW w:w="0" w:type="auto"/>
        <w:tblLook w:val="04A0" w:firstRow="1" w:lastRow="0" w:firstColumn="1" w:lastColumn="0" w:noHBand="0" w:noVBand="1"/>
      </w:tblPr>
      <w:tblGrid>
        <w:gridCol w:w="6764"/>
        <w:gridCol w:w="2807"/>
      </w:tblGrid>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000000" w:themeColor="text1"/>
                <w:szCs w:val="24"/>
              </w:rPr>
            </w:pPr>
            <w:r w:rsidRPr="00B75C34">
              <w:rPr>
                <w:rFonts w:ascii="Times New Roman" w:eastAsia="Times New Roman" w:hAnsi="Times New Roman"/>
                <w:color w:val="000000" w:themeColor="text1"/>
                <w:szCs w:val="24"/>
              </w:rPr>
              <w:t>Note Series:</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000000" w:themeColor="text1"/>
                <w:szCs w:val="24"/>
              </w:rPr>
            </w:pPr>
            <w:r w:rsidRPr="00B75C34">
              <w:rPr>
                <w:rFonts w:ascii="Times New Roman" w:eastAsia="Times New Roman" w:hAnsi="Times New Roman"/>
                <w:color w:val="000000" w:themeColor="text1"/>
                <w:szCs w:val="24"/>
              </w:rPr>
              <w:t>2019A</w:t>
            </w: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000000" w:themeColor="text1"/>
                <w:szCs w:val="24"/>
              </w:rPr>
            </w:pPr>
          </w:p>
        </w:tc>
        <w:tc>
          <w:tcPr>
            <w:tcW w:w="2808" w:type="dxa"/>
            <w:tcBorders>
              <w:top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000000" w:themeColor="text1"/>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000000" w:themeColor="text1"/>
                <w:szCs w:val="24"/>
              </w:rPr>
            </w:pPr>
            <w:r w:rsidRPr="00B75C34">
              <w:rPr>
                <w:rFonts w:ascii="Times New Roman" w:eastAsia="Times New Roman" w:hAnsi="Times New Roman"/>
                <w:color w:val="000000" w:themeColor="text1"/>
                <w:szCs w:val="24"/>
              </w:rPr>
              <w:t>Date of Note:</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000000" w:themeColor="text1"/>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000000" w:themeColor="text1"/>
                <w:szCs w:val="24"/>
              </w:rPr>
            </w:pPr>
          </w:p>
        </w:tc>
        <w:tc>
          <w:tcPr>
            <w:tcW w:w="2808" w:type="dxa"/>
            <w:tcBorders>
              <w:top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000000" w:themeColor="text1"/>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000000" w:themeColor="text1"/>
                <w:szCs w:val="24"/>
              </w:rPr>
            </w:pPr>
            <w:r w:rsidRPr="00B75C34">
              <w:rPr>
                <w:rFonts w:ascii="Times New Roman" w:eastAsia="Times New Roman" w:hAnsi="Times New Roman"/>
                <w:color w:val="000000" w:themeColor="text1"/>
                <w:szCs w:val="24"/>
              </w:rPr>
              <w:t>Principal Amount of Note:</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000000" w:themeColor="text1"/>
                <w:szCs w:val="24"/>
              </w:rPr>
            </w:pPr>
            <w:r w:rsidRPr="00B75C34">
              <w:rPr>
                <w:rFonts w:ascii="Times New Roman" w:eastAsia="Times New Roman" w:hAnsi="Times New Roman"/>
                <w:color w:val="000000" w:themeColor="text1"/>
                <w:szCs w:val="24"/>
              </w:rPr>
              <w:t>$</w:t>
            </w:r>
          </w:p>
        </w:tc>
      </w:tr>
    </w:tbl>
    <w:p w:rsidR="00B75C34" w:rsidRPr="00B75C34" w:rsidRDefault="00B75C34" w:rsidP="00B75C34">
      <w:pPr>
        <w:pStyle w:val="form"/>
        <w:spacing w:before="0" w:beforeAutospacing="0" w:after="0" w:afterAutospacing="0"/>
        <w:rPr>
          <w:color w:val="000000" w:themeColor="text1"/>
        </w:rPr>
      </w:pPr>
    </w:p>
    <w:p w:rsidR="00B75C34" w:rsidRPr="00B75C34" w:rsidRDefault="00B75C34" w:rsidP="00B75C34">
      <w:pPr>
        <w:pStyle w:val="form"/>
        <w:spacing w:before="0" w:beforeAutospacing="0" w:after="0" w:afterAutospacing="0"/>
        <w:rPr>
          <w:color w:val="000000" w:themeColor="text1"/>
        </w:rPr>
      </w:pPr>
    </w:p>
    <w:p w:rsidR="00B75C34" w:rsidRPr="00B75C34" w:rsidRDefault="00B75C34" w:rsidP="00B75C34">
      <w:pPr>
        <w:pStyle w:val="form"/>
        <w:spacing w:before="0" w:beforeAutospacing="0" w:after="0" w:afterAutospacing="0"/>
        <w:ind w:firstLine="720"/>
        <w:jc w:val="both"/>
        <w:rPr>
          <w:color w:val="000000" w:themeColor="text1"/>
        </w:rPr>
      </w:pPr>
      <w:r w:rsidRPr="00B75C34">
        <w:rPr>
          <w:color w:val="000000" w:themeColor="text1"/>
        </w:rPr>
        <w:t>FOR VALUE RECEIVED, the undersigned, TopHap, Inc., a Delaware corporation (“</w:t>
      </w:r>
      <w:r w:rsidRPr="00B75C34">
        <w:rPr>
          <w:b/>
          <w:color w:val="000000" w:themeColor="text1"/>
        </w:rPr>
        <w:t>Borrower</w:t>
      </w:r>
      <w:r w:rsidRPr="00B75C34">
        <w:rPr>
          <w:color w:val="000000" w:themeColor="text1"/>
        </w:rPr>
        <w:t>” or the “</w:t>
      </w:r>
      <w:r w:rsidRPr="00B75C34">
        <w:rPr>
          <w:b/>
          <w:color w:val="000000" w:themeColor="text1"/>
        </w:rPr>
        <w:t>Company</w:t>
      </w:r>
      <w:r w:rsidRPr="00B75C34">
        <w:rPr>
          <w:color w:val="000000" w:themeColor="text1"/>
        </w:rPr>
        <w:t>”), hereby promises to pay to XXXXXXX (“</w:t>
      </w:r>
      <w:r w:rsidRPr="00B75C34">
        <w:rPr>
          <w:b/>
          <w:color w:val="000000" w:themeColor="text1"/>
        </w:rPr>
        <w:t>Lender</w:t>
      </w:r>
      <w:r w:rsidRPr="00B75C34">
        <w:rPr>
          <w:color w:val="000000" w:themeColor="text1"/>
        </w:rPr>
        <w:t>”), the principal sum of XXX thousand dollars ($XX,000), together with interest on the unpaid principal balance of this Convertible Promissory Note (the “</w:t>
      </w:r>
      <w:r w:rsidRPr="00B75C34">
        <w:rPr>
          <w:b/>
          <w:color w:val="000000" w:themeColor="text1"/>
        </w:rPr>
        <w:t>Note</w:t>
      </w:r>
      <w:r w:rsidRPr="00B75C34">
        <w:rPr>
          <w:color w:val="000000" w:themeColor="text1"/>
        </w:rPr>
        <w:t>”), as follows in this agreement (the “</w:t>
      </w:r>
      <w:r w:rsidRPr="00B75C34">
        <w:rPr>
          <w:b/>
          <w:color w:val="000000" w:themeColor="text1"/>
        </w:rPr>
        <w:t>Agreement</w:t>
      </w:r>
      <w:r w:rsidRPr="00B75C34">
        <w:rPr>
          <w:color w:val="000000" w:themeColor="text1"/>
        </w:rPr>
        <w:t>”) by and between the parties hereof:</w:t>
      </w:r>
    </w:p>
    <w:p w:rsidR="00B75C34" w:rsidRPr="00B75C34" w:rsidRDefault="00B75C34" w:rsidP="00B75C34">
      <w:pPr>
        <w:pStyle w:val="form"/>
        <w:spacing w:before="0" w:beforeAutospacing="0" w:after="0" w:afterAutospacing="0"/>
        <w:jc w:val="both"/>
        <w:rPr>
          <w:color w:val="000000" w:themeColor="text1"/>
        </w:rPr>
      </w:pPr>
    </w:p>
    <w:p w:rsidR="00B75C34" w:rsidRPr="00B75C34" w:rsidRDefault="00B75C34" w:rsidP="00B75C34">
      <w:pPr>
        <w:spacing w:line="240" w:lineRule="auto"/>
        <w:ind w:firstLine="720"/>
        <w:jc w:val="both"/>
        <w:rPr>
          <w:rFonts w:ascii="Times New Roman" w:hAnsi="Times New Roman"/>
          <w:b/>
          <w:color w:val="000000" w:themeColor="text1"/>
          <w:sz w:val="24"/>
          <w:szCs w:val="24"/>
        </w:rPr>
      </w:pPr>
      <w:r w:rsidRPr="00B75C34">
        <w:rPr>
          <w:rFonts w:ascii="Times New Roman" w:hAnsi="Times New Roman"/>
          <w:b/>
          <w:color w:val="000000" w:themeColor="text1"/>
          <w:sz w:val="24"/>
          <w:szCs w:val="24"/>
        </w:rPr>
        <w:tab/>
        <w:t>1.</w:t>
      </w:r>
      <w:r w:rsidRPr="00B75C34">
        <w:rPr>
          <w:rFonts w:ascii="Times New Roman" w:hAnsi="Times New Roman"/>
          <w:b/>
          <w:color w:val="000000" w:themeColor="text1"/>
          <w:sz w:val="24"/>
          <w:szCs w:val="24"/>
        </w:rPr>
        <w:tab/>
      </w:r>
      <w:r w:rsidRPr="00B75C34">
        <w:rPr>
          <w:rFonts w:ascii="Times New Roman" w:hAnsi="Times New Roman"/>
          <w:b/>
          <w:color w:val="000000" w:themeColor="text1"/>
          <w:sz w:val="24"/>
          <w:szCs w:val="24"/>
          <w:u w:val="single"/>
        </w:rPr>
        <w:t>Basic Terms</w:t>
      </w:r>
      <w:r w:rsidRPr="00B75C34">
        <w:rPr>
          <w:rFonts w:ascii="Times New Roman" w:hAnsi="Times New Roman"/>
          <w:b/>
          <w:color w:val="000000" w:themeColor="text1"/>
          <w:sz w:val="24"/>
          <w:szCs w:val="24"/>
        </w:rPr>
        <w:t>.</w:t>
      </w:r>
    </w:p>
    <w:p w:rsidR="00B75C34" w:rsidRPr="00B75C34" w:rsidRDefault="00B75C34" w:rsidP="00B75C34">
      <w:pPr>
        <w:spacing w:after="0" w:line="240" w:lineRule="auto"/>
        <w:ind w:firstLine="1440"/>
        <w:jc w:val="both"/>
        <w:rPr>
          <w:rFonts w:ascii="Times New Roman" w:hAnsi="Times New Roman"/>
          <w:b/>
          <w:color w:val="000000" w:themeColor="text1"/>
          <w:sz w:val="24"/>
          <w:szCs w:val="24"/>
        </w:rPr>
      </w:pPr>
      <w:r w:rsidRPr="00B75C34">
        <w:rPr>
          <w:rFonts w:ascii="Times New Roman" w:hAnsi="Times New Roman"/>
          <w:b/>
          <w:color w:val="000000" w:themeColor="text1"/>
          <w:sz w:val="24"/>
          <w:szCs w:val="24"/>
        </w:rPr>
        <w:t>1.1</w:t>
      </w:r>
      <w:r w:rsidRPr="00B75C34">
        <w:rPr>
          <w:rFonts w:ascii="Times New Roman" w:hAnsi="Times New Roman"/>
          <w:b/>
          <w:color w:val="000000" w:themeColor="text1"/>
          <w:sz w:val="24"/>
          <w:szCs w:val="24"/>
        </w:rPr>
        <w:tab/>
        <w:t xml:space="preserve">Series of Notes. </w:t>
      </w:r>
      <w:r w:rsidRPr="00B75C34">
        <w:rPr>
          <w:rFonts w:ascii="Times New Roman" w:hAnsi="Times New Roman"/>
          <w:color w:val="000000" w:themeColor="text1"/>
          <w:sz w:val="24"/>
          <w:szCs w:val="24"/>
        </w:rPr>
        <w:t>This Note is issued as part of a series of notes designated by the Note Series above (collectively, the “</w:t>
      </w:r>
      <w:r w:rsidRPr="00B75C34">
        <w:rPr>
          <w:rFonts w:ascii="Times New Roman" w:hAnsi="Times New Roman"/>
          <w:b/>
          <w:color w:val="000000" w:themeColor="text1"/>
          <w:sz w:val="24"/>
          <w:szCs w:val="24"/>
        </w:rPr>
        <w:t>Notes</w:t>
      </w:r>
      <w:r w:rsidRPr="00B75C34">
        <w:rPr>
          <w:rFonts w:ascii="Times New Roman" w:hAnsi="Times New Roman"/>
          <w:color w:val="000000" w:themeColor="text1"/>
          <w:sz w:val="24"/>
          <w:szCs w:val="24"/>
        </w:rPr>
        <w:t>”) and issued in a series of multiple closings to certain persons and entities (collectively, the “</w:t>
      </w:r>
      <w:r w:rsidRPr="00B75C34">
        <w:rPr>
          <w:rFonts w:ascii="Times New Roman" w:hAnsi="Times New Roman"/>
          <w:b/>
          <w:color w:val="000000" w:themeColor="text1"/>
          <w:sz w:val="24"/>
          <w:szCs w:val="24"/>
        </w:rPr>
        <w:t>Holders</w:t>
      </w:r>
      <w:r w:rsidRPr="00B75C34">
        <w:rPr>
          <w:rFonts w:ascii="Times New Roman" w:hAnsi="Times New Roman"/>
          <w:color w:val="000000" w:themeColor="text1"/>
          <w:sz w:val="24"/>
          <w:szCs w:val="24"/>
        </w:rPr>
        <w:t>”).  The Company shall maintain a ledger of all Holders.</w:t>
      </w:r>
    </w:p>
    <w:p w:rsidR="00B75C34" w:rsidRPr="00B75C34" w:rsidRDefault="00B75C34" w:rsidP="00B75C34">
      <w:pPr>
        <w:spacing w:after="0" w:line="240" w:lineRule="auto"/>
        <w:ind w:left="720" w:firstLine="720"/>
        <w:jc w:val="both"/>
        <w:rPr>
          <w:rFonts w:ascii="Times New Roman" w:hAnsi="Times New Roman"/>
          <w:b/>
          <w:color w:val="000000" w:themeColor="text1"/>
          <w:sz w:val="24"/>
          <w:szCs w:val="24"/>
        </w:rPr>
      </w:pPr>
    </w:p>
    <w:p w:rsidR="00B75C34" w:rsidRPr="00B75C34" w:rsidRDefault="00B75C34" w:rsidP="00B75C34">
      <w:pPr>
        <w:spacing w:after="0" w:line="240" w:lineRule="auto"/>
        <w:ind w:firstLine="1440"/>
        <w:jc w:val="both"/>
        <w:rPr>
          <w:rFonts w:ascii="Times New Roman" w:eastAsia="Times New Roman" w:hAnsi="Times New Roman"/>
          <w:color w:val="000000" w:themeColor="text1"/>
          <w:sz w:val="24"/>
          <w:szCs w:val="24"/>
          <w:lang w:eastAsia="ar-SA"/>
        </w:rPr>
      </w:pPr>
      <w:r w:rsidRPr="00B75C34">
        <w:rPr>
          <w:rFonts w:ascii="Times New Roman" w:hAnsi="Times New Roman"/>
          <w:b/>
          <w:color w:val="000000" w:themeColor="text1"/>
          <w:sz w:val="24"/>
          <w:szCs w:val="24"/>
        </w:rPr>
        <w:t>1.2</w:t>
      </w:r>
      <w:r w:rsidRPr="00B75C34">
        <w:rPr>
          <w:rFonts w:ascii="Times New Roman" w:hAnsi="Times New Roman"/>
          <w:b/>
          <w:color w:val="000000" w:themeColor="text1"/>
          <w:sz w:val="24"/>
          <w:szCs w:val="24"/>
        </w:rPr>
        <w:tab/>
      </w:r>
      <w:r w:rsidRPr="00B75C34">
        <w:rPr>
          <w:rFonts w:ascii="Times New Roman" w:hAnsi="Times New Roman"/>
          <w:b/>
          <w:color w:val="000000" w:themeColor="text1"/>
          <w:sz w:val="24"/>
          <w:szCs w:val="24"/>
          <w:u w:val="single"/>
        </w:rPr>
        <w:t>Interest</w:t>
      </w:r>
      <w:r w:rsidRPr="00B75C34">
        <w:rPr>
          <w:rFonts w:ascii="Times New Roman" w:hAnsi="Times New Roman"/>
          <w:color w:val="000000" w:themeColor="text1"/>
          <w:sz w:val="24"/>
          <w:szCs w:val="24"/>
        </w:rPr>
        <w:t xml:space="preserve">.  </w:t>
      </w:r>
      <w:r w:rsidRPr="00B75C34">
        <w:rPr>
          <w:rFonts w:ascii="Times New Roman" w:eastAsia="Times New Roman" w:hAnsi="Times New Roman"/>
          <w:color w:val="000000" w:themeColor="text1"/>
          <w:sz w:val="24"/>
          <w:szCs w:val="24"/>
          <w:lang w:eastAsia="ar-SA"/>
        </w:rPr>
        <w:t xml:space="preserve">The </w:t>
      </w:r>
      <w:r w:rsidRPr="00B75C34">
        <w:rPr>
          <w:rFonts w:ascii="Times New Roman" w:eastAsia="Times New Roman" w:hAnsi="Times New Roman"/>
          <w:color w:val="000000" w:themeColor="text1"/>
          <w:sz w:val="24"/>
          <w:szCs w:val="24"/>
        </w:rPr>
        <w:t>rate of interest under this Notes shall be a fixed interest rate of five percent (5.00%) per annum, payable in arrears on the Maturity Date.  Interest shall be calculated monthly on the basis of the actual number of full calendar months elapsed.  Interest on the unpaid principal balance will accrue interest starting on the later of the date of this agreement or the date in which the investment proceeds have been distributed by the Lender to, or on behalf of, the Borrower following the mutual acceptance and execution of the Note by both parties hereof (the “</w:t>
      </w:r>
      <w:r w:rsidRPr="00B75C34">
        <w:rPr>
          <w:rFonts w:ascii="Times New Roman" w:eastAsia="Times New Roman" w:hAnsi="Times New Roman"/>
          <w:b/>
          <w:color w:val="000000" w:themeColor="text1"/>
          <w:sz w:val="24"/>
          <w:szCs w:val="24"/>
        </w:rPr>
        <w:t>Effective Date</w:t>
      </w:r>
      <w:r w:rsidRPr="00B75C34">
        <w:rPr>
          <w:rFonts w:ascii="Times New Roman" w:eastAsia="Times New Roman" w:hAnsi="Times New Roman"/>
          <w:color w:val="000000" w:themeColor="text1"/>
          <w:sz w:val="24"/>
          <w:szCs w:val="24"/>
        </w:rPr>
        <w:t>”).  Interest payments will continue until the Note is fully paid, with any unpaid principal and interest due and payable on the date that is exactly two years from the Effective Date of the Note (the “</w:t>
      </w:r>
      <w:r w:rsidRPr="00B75C34">
        <w:rPr>
          <w:rFonts w:ascii="Times New Roman" w:eastAsia="Times New Roman" w:hAnsi="Times New Roman"/>
          <w:b/>
          <w:color w:val="000000" w:themeColor="text1"/>
          <w:sz w:val="24"/>
          <w:szCs w:val="24"/>
        </w:rPr>
        <w:t>Maturity Date</w:t>
      </w:r>
      <w:r w:rsidRPr="00B75C34">
        <w:rPr>
          <w:rFonts w:ascii="Times New Roman" w:eastAsia="Times New Roman" w:hAnsi="Times New Roman"/>
          <w:color w:val="000000" w:themeColor="text1"/>
          <w:sz w:val="24"/>
          <w:szCs w:val="24"/>
        </w:rPr>
        <w:t>”), unless such Maturity Date is extended as provided in this Note (or the Note is converted, as provided herein).</w:t>
      </w:r>
    </w:p>
    <w:p w:rsidR="00B75C34" w:rsidRPr="00B75C34" w:rsidRDefault="00B75C34" w:rsidP="00B75C34">
      <w:pPr>
        <w:spacing w:after="0" w:line="240" w:lineRule="auto"/>
        <w:jc w:val="both"/>
        <w:rPr>
          <w:rFonts w:ascii="Times New Roman" w:eastAsia="Times New Roman" w:hAnsi="Times New Roman"/>
          <w:color w:val="000000" w:themeColor="text1"/>
          <w:sz w:val="24"/>
          <w:szCs w:val="24"/>
          <w:lang w:eastAsia="ar-SA"/>
        </w:rPr>
      </w:pPr>
    </w:p>
    <w:p w:rsidR="00B75C34" w:rsidRPr="00B75C34" w:rsidRDefault="00B75C34" w:rsidP="00B75C34">
      <w:pPr>
        <w:pStyle w:val="form"/>
        <w:spacing w:before="0" w:beforeAutospacing="0" w:after="0" w:afterAutospacing="0"/>
        <w:jc w:val="both"/>
        <w:rPr>
          <w:color w:val="000000" w:themeColor="text1"/>
        </w:rPr>
      </w:pPr>
      <w:r w:rsidRPr="00B75C34">
        <w:rPr>
          <w:color w:val="000000" w:themeColor="text1"/>
        </w:rPr>
        <w:lastRenderedPageBreak/>
        <w:tab/>
        <w:t>If any interest payment under this Note is not paid when due, the unpaid interest shall be added to the principal of this Note, shall become and be treated as principal, and shall thereafter bear like interest.  For the avoidance of doubt, such additions to the principal of this Note shall not be deemed to constitute the original principal balance of this Note as such term is referenced in Section 6 hereof.</w:t>
      </w:r>
    </w:p>
    <w:p w:rsidR="00B75C34" w:rsidRPr="00B75C34" w:rsidRDefault="00B75C34" w:rsidP="00B75C34">
      <w:pPr>
        <w:spacing w:after="0" w:line="240" w:lineRule="auto"/>
        <w:jc w:val="both"/>
        <w:rPr>
          <w:rFonts w:ascii="Times New Roman" w:hAnsi="Times New Roman"/>
          <w:color w:val="000000" w:themeColor="text1"/>
          <w:sz w:val="24"/>
          <w:szCs w:val="24"/>
        </w:rPr>
      </w:pPr>
    </w:p>
    <w:p w:rsidR="00B75C34" w:rsidRPr="00B75C34" w:rsidRDefault="00B75C34" w:rsidP="00B75C34">
      <w:pPr>
        <w:pStyle w:val="form"/>
        <w:spacing w:before="0" w:beforeAutospacing="0" w:after="0" w:afterAutospacing="0"/>
        <w:rPr>
          <w:b/>
          <w:color w:val="000000" w:themeColor="text1"/>
        </w:rPr>
      </w:pPr>
      <w:r w:rsidRPr="00B75C34">
        <w:rPr>
          <w:b/>
          <w:color w:val="000000" w:themeColor="text1"/>
        </w:rPr>
        <w:tab/>
        <w:t>2.</w:t>
      </w:r>
      <w:r w:rsidRPr="00B75C34">
        <w:rPr>
          <w:b/>
          <w:color w:val="000000" w:themeColor="text1"/>
        </w:rPr>
        <w:tab/>
        <w:t xml:space="preserve"> </w:t>
      </w:r>
      <w:r w:rsidRPr="00B75C34">
        <w:rPr>
          <w:rFonts w:ascii="ZWAdobeF" w:hAnsi="ZWAdobeF" w:cs="ZWAdobeF"/>
          <w:color w:val="000000" w:themeColor="text1"/>
          <w:sz w:val="10"/>
          <w:szCs w:val="2"/>
        </w:rPr>
        <w:t>U</w:t>
      </w:r>
      <w:r w:rsidRPr="00B75C34">
        <w:rPr>
          <w:b/>
          <w:color w:val="000000" w:themeColor="text1"/>
          <w:u w:val="single"/>
        </w:rPr>
        <w:t>Payment of Principal and Interest</w:t>
      </w:r>
      <w:r w:rsidRPr="00B75C34">
        <w:rPr>
          <w:rFonts w:ascii="ZWAdobeF" w:hAnsi="ZWAdobeF" w:cs="ZWAdobeF"/>
          <w:color w:val="000000" w:themeColor="text1"/>
          <w:sz w:val="10"/>
          <w:szCs w:val="2"/>
        </w:rPr>
        <w:t>U</w:t>
      </w:r>
      <w:r w:rsidRPr="00B75C34">
        <w:rPr>
          <w:b/>
          <w:color w:val="000000" w:themeColor="text1"/>
        </w:rPr>
        <w:t xml:space="preserve">. </w:t>
      </w:r>
    </w:p>
    <w:p w:rsidR="00B75C34" w:rsidRPr="00B75C34" w:rsidRDefault="00B75C34" w:rsidP="00B75C34">
      <w:pPr>
        <w:autoSpaceDE w:val="0"/>
        <w:autoSpaceDN w:val="0"/>
        <w:adjustRightInd w:val="0"/>
        <w:spacing w:after="0" w:line="240" w:lineRule="auto"/>
        <w:ind w:firstLine="720"/>
        <w:rPr>
          <w:rFonts w:ascii="Times New Roman" w:hAnsi="Times New Roman"/>
          <w:b/>
          <w:color w:val="000000" w:themeColor="text1"/>
          <w:sz w:val="24"/>
          <w:szCs w:val="24"/>
        </w:rPr>
      </w:pPr>
    </w:p>
    <w:p w:rsidR="00B75C34" w:rsidRPr="00B75C34" w:rsidRDefault="00B75C34" w:rsidP="00B75C34">
      <w:pPr>
        <w:autoSpaceDE w:val="0"/>
        <w:autoSpaceDN w:val="0"/>
        <w:adjustRightInd w:val="0"/>
        <w:spacing w:after="0" w:line="240" w:lineRule="auto"/>
        <w:ind w:firstLine="720"/>
        <w:jc w:val="both"/>
        <w:rPr>
          <w:rFonts w:ascii="Times New Roman" w:hAnsi="Times New Roman"/>
          <w:color w:val="000000" w:themeColor="text1"/>
          <w:sz w:val="24"/>
          <w:szCs w:val="24"/>
        </w:rPr>
      </w:pPr>
      <w:r w:rsidRPr="00B75C34">
        <w:rPr>
          <w:rFonts w:ascii="Times New Roman" w:hAnsi="Times New Roman"/>
          <w:b/>
          <w:color w:val="000000" w:themeColor="text1"/>
          <w:sz w:val="24"/>
          <w:szCs w:val="24"/>
        </w:rPr>
        <w:t xml:space="preserve">2.1 </w:t>
      </w:r>
      <w:r w:rsidRPr="00B75C34">
        <w:rPr>
          <w:rFonts w:ascii="Times New Roman" w:hAnsi="Times New Roman"/>
          <w:b/>
          <w:color w:val="000000" w:themeColor="text1"/>
          <w:sz w:val="24"/>
          <w:szCs w:val="24"/>
        </w:rPr>
        <w:tab/>
      </w:r>
      <w:r w:rsidRPr="00B75C34">
        <w:rPr>
          <w:rFonts w:ascii="ZWAdobeF" w:hAnsi="ZWAdobeF" w:cs="ZWAdobeF"/>
          <w:color w:val="000000" w:themeColor="text1"/>
          <w:sz w:val="10"/>
          <w:szCs w:val="2"/>
        </w:rPr>
        <w:t>U</w:t>
      </w:r>
      <w:r w:rsidRPr="00B75C34">
        <w:rPr>
          <w:rFonts w:ascii="Times New Roman" w:hAnsi="Times New Roman"/>
          <w:b/>
          <w:color w:val="000000" w:themeColor="text1"/>
          <w:sz w:val="24"/>
          <w:szCs w:val="24"/>
          <w:u w:val="single"/>
        </w:rPr>
        <w:t>Payments</w:t>
      </w:r>
      <w:r w:rsidRPr="00B75C34">
        <w:rPr>
          <w:rFonts w:ascii="ZWAdobeF" w:hAnsi="ZWAdobeF" w:cs="ZWAdobeF"/>
          <w:color w:val="000000" w:themeColor="text1"/>
          <w:sz w:val="10"/>
          <w:szCs w:val="2"/>
        </w:rPr>
        <w:t>U</w:t>
      </w:r>
      <w:r w:rsidRPr="00B75C34">
        <w:rPr>
          <w:rFonts w:ascii="Times New Roman" w:hAnsi="Times New Roman"/>
          <w:b/>
          <w:color w:val="000000" w:themeColor="text1"/>
          <w:sz w:val="24"/>
          <w:szCs w:val="24"/>
        </w:rPr>
        <w:t>.</w:t>
      </w:r>
      <w:r w:rsidRPr="00B75C34">
        <w:rPr>
          <w:rFonts w:ascii="Times New Roman" w:hAnsi="Times New Roman"/>
          <w:color w:val="000000" w:themeColor="text1"/>
          <w:sz w:val="24"/>
          <w:szCs w:val="24"/>
        </w:rPr>
        <w:t xml:space="preserve">  Lender will receive his, her or its principal and interest payments by the fifteenth (15th) day of the calendar month that follows when such payment(s) are due.  The Company may choose to make any payment(s) in-kind (in shares of its capital stock) in its sole and absolute discretion.</w:t>
      </w:r>
    </w:p>
    <w:p w:rsidR="00B75C34" w:rsidRPr="00B75C34" w:rsidRDefault="00B75C34" w:rsidP="00B75C34">
      <w:pPr>
        <w:pStyle w:val="form"/>
        <w:spacing w:before="0" w:beforeAutospacing="0" w:after="0" w:afterAutospacing="0"/>
        <w:jc w:val="both"/>
        <w:rPr>
          <w:color w:val="000000" w:themeColor="text1"/>
        </w:rPr>
      </w:pPr>
    </w:p>
    <w:p w:rsidR="00B75C34" w:rsidRPr="00B75C34" w:rsidRDefault="00B75C34" w:rsidP="00B75C34">
      <w:pPr>
        <w:pStyle w:val="form"/>
        <w:spacing w:before="0" w:beforeAutospacing="0" w:after="0" w:afterAutospacing="0"/>
        <w:ind w:firstLine="720"/>
        <w:jc w:val="both"/>
        <w:rPr>
          <w:color w:val="000000" w:themeColor="text1"/>
        </w:rPr>
      </w:pPr>
      <w:r w:rsidRPr="00B75C34">
        <w:rPr>
          <w:b/>
          <w:color w:val="000000" w:themeColor="text1"/>
        </w:rPr>
        <w:t>2.2</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Order of Application of Payments</w:t>
      </w:r>
      <w:r w:rsidRPr="00B75C34">
        <w:rPr>
          <w:rFonts w:ascii="ZWAdobeF" w:hAnsi="ZWAdobeF" w:cs="ZWAdobeF"/>
          <w:color w:val="000000" w:themeColor="text1"/>
          <w:sz w:val="10"/>
          <w:szCs w:val="2"/>
        </w:rPr>
        <w:t>U</w:t>
      </w:r>
      <w:r w:rsidRPr="00B75C34">
        <w:rPr>
          <w:b/>
          <w:color w:val="000000" w:themeColor="text1"/>
        </w:rPr>
        <w:t>.</w:t>
      </w:r>
      <w:r w:rsidRPr="00B75C34">
        <w:rPr>
          <w:color w:val="000000" w:themeColor="text1"/>
        </w:rPr>
        <w:t xml:space="preserve">  Unless otherwise agreed to in writing by the parties or required by applicable law, each payment under this Note shall be credited in the following order: (a) Late Charges and/or collection fees that are due to Lender; (b) interest payable under the Note, including accrued but unpaid interest, and (c) principal amount outstanding under the Note.</w:t>
      </w:r>
    </w:p>
    <w:p w:rsidR="00B75C34" w:rsidRPr="00B75C34" w:rsidRDefault="00B75C34" w:rsidP="00B75C34">
      <w:pPr>
        <w:pStyle w:val="form"/>
        <w:spacing w:before="0" w:beforeAutospacing="0" w:after="0" w:afterAutospacing="0"/>
        <w:ind w:firstLine="720"/>
        <w:jc w:val="both"/>
        <w:rPr>
          <w:color w:val="000000" w:themeColor="text1"/>
        </w:rPr>
      </w:pPr>
    </w:p>
    <w:p w:rsidR="00B75C34" w:rsidRPr="00B75C34" w:rsidRDefault="00B75C34" w:rsidP="00B75C34">
      <w:pPr>
        <w:pStyle w:val="form"/>
        <w:spacing w:before="0" w:beforeAutospacing="0" w:after="0" w:afterAutospacing="0"/>
        <w:ind w:firstLine="720"/>
        <w:jc w:val="both"/>
        <w:rPr>
          <w:color w:val="000000" w:themeColor="text1"/>
        </w:rPr>
      </w:pPr>
      <w:r w:rsidRPr="00B75C34">
        <w:rPr>
          <w:b/>
          <w:color w:val="000000" w:themeColor="text1"/>
        </w:rPr>
        <w:t>2.3</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Delivery of Payments</w:t>
      </w:r>
      <w:r w:rsidRPr="00B75C34">
        <w:rPr>
          <w:rFonts w:ascii="ZWAdobeF" w:hAnsi="ZWAdobeF" w:cs="ZWAdobeF"/>
          <w:color w:val="000000" w:themeColor="text1"/>
          <w:sz w:val="10"/>
          <w:szCs w:val="2"/>
        </w:rPr>
        <w:t>U</w:t>
      </w:r>
      <w:r w:rsidRPr="00B75C34">
        <w:rPr>
          <w:b/>
          <w:color w:val="000000" w:themeColor="text1"/>
        </w:rPr>
        <w:t>.</w:t>
      </w:r>
      <w:r w:rsidRPr="00B75C34">
        <w:rPr>
          <w:color w:val="000000" w:themeColor="text1"/>
        </w:rPr>
        <w:t xml:space="preserve">  Payments shall be made to Lender at his, her or its address, which is provided in Section 10 below, or to another address if so designated in writing by Lender.</w:t>
      </w:r>
    </w:p>
    <w:p w:rsidR="00B75C34" w:rsidRPr="00B75C34" w:rsidRDefault="00B75C34" w:rsidP="00B75C34">
      <w:pPr>
        <w:pStyle w:val="form"/>
        <w:spacing w:before="0" w:beforeAutospacing="0" w:after="0" w:afterAutospacing="0"/>
        <w:ind w:firstLine="1440"/>
        <w:jc w:val="both"/>
        <w:rPr>
          <w:color w:val="000000" w:themeColor="text1"/>
        </w:rPr>
      </w:pPr>
    </w:p>
    <w:p w:rsidR="00B75C34" w:rsidRPr="00B75C34" w:rsidRDefault="00B75C34" w:rsidP="00B75C34">
      <w:pPr>
        <w:spacing w:after="0" w:line="240" w:lineRule="auto"/>
        <w:jc w:val="both"/>
        <w:rPr>
          <w:rFonts w:ascii="Times New Roman" w:hAnsi="Times New Roman"/>
          <w:color w:val="000000" w:themeColor="text1"/>
          <w:sz w:val="24"/>
          <w:szCs w:val="24"/>
        </w:rPr>
      </w:pPr>
      <w:r w:rsidRPr="00B75C34">
        <w:rPr>
          <w:rFonts w:ascii="Times New Roman" w:eastAsia="Times New Roman" w:hAnsi="Times New Roman"/>
          <w:b/>
          <w:color w:val="000000" w:themeColor="text1"/>
          <w:sz w:val="24"/>
          <w:szCs w:val="24"/>
        </w:rPr>
        <w:tab/>
        <w:t>3</w:t>
      </w:r>
      <w:r w:rsidRPr="00B75C34">
        <w:rPr>
          <w:rFonts w:ascii="Times New Roman" w:hAnsi="Times New Roman"/>
          <w:b/>
          <w:color w:val="000000" w:themeColor="text1"/>
          <w:sz w:val="24"/>
          <w:szCs w:val="24"/>
        </w:rPr>
        <w:t xml:space="preserve">. </w:t>
      </w:r>
      <w:r w:rsidRPr="00B75C34">
        <w:rPr>
          <w:rFonts w:ascii="Times New Roman" w:hAnsi="Times New Roman"/>
          <w:b/>
          <w:color w:val="000000" w:themeColor="text1"/>
          <w:sz w:val="24"/>
          <w:szCs w:val="24"/>
        </w:rPr>
        <w:tab/>
      </w:r>
      <w:r w:rsidRPr="00B75C34">
        <w:rPr>
          <w:rFonts w:ascii="ZWAdobeF" w:hAnsi="ZWAdobeF" w:cs="ZWAdobeF"/>
          <w:color w:val="000000" w:themeColor="text1"/>
          <w:sz w:val="10"/>
          <w:szCs w:val="2"/>
        </w:rPr>
        <w:t>U</w:t>
      </w:r>
      <w:r w:rsidRPr="00B75C34">
        <w:rPr>
          <w:rFonts w:ascii="Times New Roman" w:hAnsi="Times New Roman"/>
          <w:b/>
          <w:color w:val="000000" w:themeColor="text1"/>
          <w:sz w:val="24"/>
          <w:szCs w:val="24"/>
          <w:u w:val="single"/>
        </w:rPr>
        <w:t>Late Charge</w:t>
      </w:r>
      <w:r w:rsidRPr="00B75C34">
        <w:rPr>
          <w:rFonts w:ascii="ZWAdobeF" w:hAnsi="ZWAdobeF" w:cs="ZWAdobeF"/>
          <w:color w:val="000000" w:themeColor="text1"/>
          <w:sz w:val="10"/>
          <w:szCs w:val="2"/>
        </w:rPr>
        <w:t>U</w:t>
      </w:r>
      <w:r w:rsidRPr="00B75C34">
        <w:rPr>
          <w:rFonts w:ascii="Times New Roman" w:hAnsi="Times New Roman"/>
          <w:b/>
          <w:color w:val="000000" w:themeColor="text1"/>
          <w:sz w:val="24"/>
          <w:szCs w:val="24"/>
        </w:rPr>
        <w:t>.</w:t>
      </w:r>
      <w:r w:rsidRPr="00B75C34">
        <w:rPr>
          <w:rFonts w:ascii="Times New Roman" w:hAnsi="Times New Roman"/>
          <w:color w:val="000000" w:themeColor="text1"/>
          <w:sz w:val="24"/>
          <w:szCs w:val="24"/>
        </w:rPr>
        <w:t xml:space="preserve">  Borrower acknowledges and agrees that default in the payment of any sum due under this Note will result in losses and additional expenses to Lender in servicing the indebtedness evidenced by this Note, handling such delinquent payments, and meeting its other financial obligations.  </w:t>
      </w:r>
    </w:p>
    <w:p w:rsidR="00B75C34" w:rsidRPr="00B75C34" w:rsidRDefault="00B75C34" w:rsidP="00B75C34">
      <w:pPr>
        <w:pStyle w:val="form"/>
        <w:spacing w:before="0" w:beforeAutospacing="0" w:after="0" w:afterAutospacing="0"/>
        <w:jc w:val="both"/>
        <w:rPr>
          <w:b/>
          <w:color w:val="000000" w:themeColor="text1"/>
        </w:rPr>
      </w:pPr>
    </w:p>
    <w:p w:rsidR="00B75C34" w:rsidRPr="00B75C34" w:rsidRDefault="00B75C34" w:rsidP="00B75C34">
      <w:pPr>
        <w:pStyle w:val="form"/>
        <w:spacing w:before="0" w:beforeAutospacing="0" w:after="0" w:afterAutospacing="0"/>
        <w:jc w:val="both"/>
        <w:rPr>
          <w:color w:val="000000" w:themeColor="text1"/>
        </w:rPr>
      </w:pPr>
      <w:r w:rsidRPr="00B75C34">
        <w:rPr>
          <w:b/>
          <w:color w:val="000000" w:themeColor="text1"/>
        </w:rPr>
        <w:tab/>
        <w:t>4.</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Default</w:t>
      </w:r>
      <w:r w:rsidRPr="00B75C34">
        <w:rPr>
          <w:rFonts w:ascii="ZWAdobeF" w:hAnsi="ZWAdobeF" w:cs="ZWAdobeF"/>
          <w:color w:val="000000" w:themeColor="text1"/>
          <w:sz w:val="10"/>
          <w:szCs w:val="2"/>
        </w:rPr>
        <w:t>U</w:t>
      </w:r>
      <w:r w:rsidRPr="00B75C34">
        <w:rPr>
          <w:b/>
          <w:color w:val="000000" w:themeColor="text1"/>
        </w:rPr>
        <w:t>.</w:t>
      </w:r>
      <w:r w:rsidRPr="00B75C34">
        <w:rPr>
          <w:color w:val="000000" w:themeColor="text1"/>
        </w:rPr>
        <w:t xml:space="preserve">  </w:t>
      </w:r>
    </w:p>
    <w:p w:rsidR="00B75C34" w:rsidRPr="00B75C34" w:rsidRDefault="00B75C34" w:rsidP="00B75C34">
      <w:pPr>
        <w:pStyle w:val="form"/>
        <w:spacing w:before="0" w:beforeAutospacing="0" w:after="0" w:afterAutospacing="0"/>
        <w:jc w:val="both"/>
        <w:rPr>
          <w:color w:val="000000" w:themeColor="text1"/>
        </w:rPr>
      </w:pPr>
    </w:p>
    <w:p w:rsidR="00B75C34" w:rsidRPr="00B75C34" w:rsidRDefault="00B75C34" w:rsidP="00B75C34">
      <w:pPr>
        <w:pStyle w:val="form"/>
        <w:spacing w:before="0" w:beforeAutospacing="0" w:after="0" w:afterAutospacing="0"/>
        <w:ind w:firstLine="720"/>
        <w:jc w:val="both"/>
        <w:rPr>
          <w:color w:val="000000" w:themeColor="text1"/>
        </w:rPr>
      </w:pPr>
      <w:r w:rsidRPr="00B75C34">
        <w:rPr>
          <w:b/>
          <w:color w:val="000000" w:themeColor="text1"/>
        </w:rPr>
        <w:t>4.1</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Events of Default</w:t>
      </w:r>
      <w:r w:rsidRPr="00B75C34">
        <w:rPr>
          <w:rFonts w:ascii="ZWAdobeF" w:hAnsi="ZWAdobeF" w:cs="ZWAdobeF"/>
          <w:color w:val="000000" w:themeColor="text1"/>
          <w:sz w:val="10"/>
          <w:szCs w:val="2"/>
        </w:rPr>
        <w:t>U</w:t>
      </w:r>
      <w:r w:rsidRPr="00B75C34">
        <w:rPr>
          <w:b/>
          <w:color w:val="000000" w:themeColor="text1"/>
        </w:rPr>
        <w:t>.</w:t>
      </w:r>
      <w:r w:rsidRPr="00B75C34">
        <w:rPr>
          <w:color w:val="000000" w:themeColor="text1"/>
        </w:rPr>
        <w:t xml:space="preserve">  On (a) Borrower's failure to make any payments due under this Note when due and payable, upon receipt of written notice from Lender of such failure, (b) any breach of any other material covenant or obligation in this Note, or (c) the occurrence of events specified in Section 8 below, an event of default (“</w:t>
      </w:r>
      <w:r w:rsidRPr="00B75C34">
        <w:rPr>
          <w:b/>
          <w:color w:val="000000" w:themeColor="text1"/>
        </w:rPr>
        <w:t>Event of Default</w:t>
      </w:r>
      <w:r w:rsidRPr="00B75C34">
        <w:rPr>
          <w:color w:val="000000" w:themeColor="text1"/>
        </w:rPr>
        <w:t>”) shall have occurred.  If an Event of Default occurs that remains uncured after written notice of such Event of Default from Lender to Borrower, then Lender may, at its option, declare this Note (including, without limitation, all accrued interest) due and payable immediately regardless of the Maturity Date.  If an Event of Default occurs that remains uncured, in lieu of payment in full to Lender, Borrower may, at its sole option, assign the income stream secured by certain assets that it holds directly to Lender.</w:t>
      </w:r>
    </w:p>
    <w:p w:rsidR="00B75C34" w:rsidRPr="00B75C34" w:rsidRDefault="00B75C34" w:rsidP="00B75C34">
      <w:pPr>
        <w:pStyle w:val="form"/>
        <w:spacing w:before="0" w:beforeAutospacing="0" w:after="0" w:afterAutospacing="0"/>
        <w:ind w:firstLine="720"/>
        <w:jc w:val="both"/>
        <w:rPr>
          <w:color w:val="000000" w:themeColor="text1"/>
        </w:rPr>
      </w:pPr>
    </w:p>
    <w:p w:rsidR="00B75C34" w:rsidRPr="00B75C34" w:rsidDel="002A7612" w:rsidRDefault="00B75C34" w:rsidP="00B75C34">
      <w:pPr>
        <w:pStyle w:val="form"/>
        <w:spacing w:before="0" w:beforeAutospacing="0" w:after="0" w:afterAutospacing="0"/>
        <w:ind w:firstLine="720"/>
        <w:jc w:val="both"/>
        <w:rPr>
          <w:color w:val="000000" w:themeColor="text1"/>
        </w:rPr>
      </w:pPr>
      <w:r w:rsidRPr="00B75C34">
        <w:rPr>
          <w:b/>
          <w:color w:val="000000" w:themeColor="text1"/>
        </w:rPr>
        <w:t>4.2</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Cure</w:t>
      </w:r>
      <w:r w:rsidRPr="00B75C34">
        <w:rPr>
          <w:rFonts w:ascii="ZWAdobeF" w:hAnsi="ZWAdobeF" w:cs="ZWAdobeF"/>
          <w:color w:val="000000" w:themeColor="text1"/>
          <w:sz w:val="10"/>
          <w:szCs w:val="2"/>
        </w:rPr>
        <w:t>U</w:t>
      </w:r>
      <w:r w:rsidRPr="00B75C34">
        <w:rPr>
          <w:b/>
          <w:color w:val="000000" w:themeColor="text1"/>
        </w:rPr>
        <w:t>.</w:t>
      </w:r>
      <w:r w:rsidRPr="00B75C34">
        <w:rPr>
          <w:color w:val="000000" w:themeColor="text1"/>
        </w:rPr>
        <w:t xml:space="preserve">  Upon the occurrence of any Event of Default, the Borrower shall have sixty (60) days from the date of written notice from Lender of such Event of Default to cure such Event of Default; </w:t>
      </w:r>
      <w:r w:rsidRPr="00B75C34">
        <w:rPr>
          <w:rFonts w:ascii="ZWAdobeF" w:hAnsi="ZWAdobeF" w:cs="ZWAdobeF"/>
          <w:color w:val="000000" w:themeColor="text1"/>
          <w:sz w:val="10"/>
          <w:szCs w:val="2"/>
        </w:rPr>
        <w:t>U</w:t>
      </w:r>
      <w:r w:rsidRPr="00B75C34">
        <w:rPr>
          <w:color w:val="000000" w:themeColor="text1"/>
          <w:u w:val="single"/>
        </w:rPr>
        <w:t>provided</w:t>
      </w:r>
      <w:r w:rsidRPr="00B75C34">
        <w:rPr>
          <w:rFonts w:ascii="ZWAdobeF" w:hAnsi="ZWAdobeF" w:cs="ZWAdobeF"/>
          <w:color w:val="000000" w:themeColor="text1"/>
          <w:sz w:val="10"/>
          <w:szCs w:val="2"/>
        </w:rPr>
        <w:t>U</w:t>
      </w:r>
      <w:r w:rsidRPr="00B75C34">
        <w:rPr>
          <w:color w:val="000000" w:themeColor="text1"/>
        </w:rPr>
        <w:t>, that if the cure is of a nature that reasonably requires under the circumstances greater than sixty (60) days to cure such Event of Default, then Borrower shall only have the obligation to have initiated within sixty (60) days of Lender’s notice of the Event of Default reasonable steps to produce a cure.</w:t>
      </w:r>
    </w:p>
    <w:p w:rsidR="00B75C34" w:rsidRPr="00B75C34" w:rsidRDefault="00B75C34" w:rsidP="00B75C34">
      <w:pPr>
        <w:pStyle w:val="form"/>
        <w:spacing w:before="0" w:beforeAutospacing="0" w:after="0" w:afterAutospacing="0"/>
        <w:jc w:val="both"/>
        <w:rPr>
          <w:color w:val="000000" w:themeColor="text1"/>
        </w:rPr>
      </w:pPr>
    </w:p>
    <w:p w:rsidR="00B75C34" w:rsidRDefault="00B75C34" w:rsidP="00B75C34">
      <w:pPr>
        <w:pStyle w:val="form"/>
        <w:spacing w:before="0" w:beforeAutospacing="0" w:after="0" w:afterAutospacing="0"/>
        <w:jc w:val="both"/>
        <w:rPr>
          <w:b/>
          <w:color w:val="000000" w:themeColor="text1"/>
        </w:rPr>
      </w:pPr>
      <w:r w:rsidRPr="00B75C34">
        <w:rPr>
          <w:b/>
          <w:color w:val="000000" w:themeColor="text1"/>
        </w:rPr>
        <w:tab/>
        <w:t xml:space="preserve">5. </w:t>
      </w:r>
      <w:r w:rsidRPr="00B75C34">
        <w:rPr>
          <w:b/>
          <w:color w:val="000000" w:themeColor="text1"/>
        </w:rPr>
        <w:tab/>
      </w:r>
      <w:r w:rsidRPr="00B75C34">
        <w:rPr>
          <w:rFonts w:ascii="ZWAdobeF" w:hAnsi="ZWAdobeF" w:cs="ZWAdobeF"/>
          <w:color w:val="000000" w:themeColor="text1"/>
          <w:sz w:val="10"/>
          <w:szCs w:val="2"/>
        </w:rPr>
        <w:t>U</w:t>
      </w:r>
      <w:r w:rsidRPr="00B75C34">
        <w:rPr>
          <w:b/>
          <w:color w:val="000000" w:themeColor="text1"/>
          <w:u w:val="single"/>
        </w:rPr>
        <w:t>Prepayment Option</w:t>
      </w:r>
      <w:r w:rsidRPr="00B75C34">
        <w:rPr>
          <w:rFonts w:ascii="ZWAdobeF" w:hAnsi="ZWAdobeF" w:cs="ZWAdobeF"/>
          <w:color w:val="000000" w:themeColor="text1"/>
          <w:sz w:val="10"/>
          <w:szCs w:val="2"/>
        </w:rPr>
        <w:t>U</w:t>
      </w:r>
      <w:r w:rsidRPr="00B75C34">
        <w:rPr>
          <w:b/>
          <w:color w:val="000000" w:themeColor="text1"/>
        </w:rPr>
        <w:t>.</w:t>
      </w:r>
    </w:p>
    <w:p w:rsidR="00B75C34" w:rsidRDefault="00B75C34" w:rsidP="00B75C34">
      <w:pPr>
        <w:pStyle w:val="form"/>
        <w:spacing w:before="0" w:beforeAutospacing="0" w:after="0" w:afterAutospacing="0"/>
        <w:jc w:val="both"/>
        <w:rPr>
          <w:b/>
          <w:color w:val="000000" w:themeColor="text1"/>
        </w:rPr>
      </w:pPr>
    </w:p>
    <w:p w:rsidR="00B75C34" w:rsidRDefault="00B75C34" w:rsidP="00B75C34">
      <w:pPr>
        <w:pStyle w:val="form"/>
        <w:spacing w:before="0" w:beforeAutospacing="0" w:after="0" w:afterAutospacing="0"/>
        <w:jc w:val="both"/>
        <w:rPr>
          <w:b/>
          <w:color w:val="000000" w:themeColor="text1"/>
        </w:rPr>
      </w:pPr>
    </w:p>
    <w:p w:rsidR="00B75C34" w:rsidRDefault="00B75C34" w:rsidP="00B75C34">
      <w:pPr>
        <w:pStyle w:val="form"/>
        <w:spacing w:before="0" w:beforeAutospacing="0" w:after="0" w:afterAutospacing="0"/>
        <w:jc w:val="both"/>
        <w:rPr>
          <w:b/>
          <w:color w:val="000000" w:themeColor="text1"/>
        </w:rPr>
      </w:pPr>
    </w:p>
    <w:p w:rsidR="00B75C34" w:rsidRPr="00B75C34" w:rsidRDefault="00B75C34" w:rsidP="00B75C34">
      <w:pPr>
        <w:pStyle w:val="formcen"/>
        <w:spacing w:before="0" w:beforeAutospacing="0" w:after="0" w:afterAutospacing="0"/>
        <w:jc w:val="center"/>
        <w:rPr>
          <w:b/>
          <w:color w:val="984806" w:themeColor="accent6" w:themeShade="80"/>
          <w:u w:val="single"/>
          <w:lang w:val="ru-RU"/>
        </w:rPr>
      </w:pPr>
      <w:r w:rsidRPr="00B75C34">
        <w:rPr>
          <w:b/>
          <w:color w:val="984806" w:themeColor="accent6" w:themeShade="80"/>
          <w:u w:val="single"/>
          <w:lang w:val="ru-RU"/>
        </w:rPr>
        <w:lastRenderedPageBreak/>
        <w:t>ПРИМЕЧАНИЕ КОНВЕРТИРУЕМОЙ</w:t>
      </w:r>
      <w:r w:rsidRPr="00B75C34">
        <w:rPr>
          <w:rFonts w:ascii="Cambria" w:hAnsi="Cambria" w:cs="ZWAdobeF"/>
          <w:color w:val="984806" w:themeColor="accent6" w:themeShade="80"/>
          <w:sz w:val="10"/>
          <w:szCs w:val="2"/>
          <w:lang w:val="ru-RU"/>
        </w:rPr>
        <w:t xml:space="preserve"> </w:t>
      </w:r>
      <w:r w:rsidRPr="00B75C34">
        <w:rPr>
          <w:b/>
          <w:color w:val="984806" w:themeColor="accent6" w:themeShade="80"/>
          <w:u w:val="single"/>
          <w:lang w:val="ru-RU"/>
        </w:rPr>
        <w:t xml:space="preserve"> ПРОМИССИИ</w:t>
      </w:r>
    </w:p>
    <w:p w:rsidR="00B75C34" w:rsidRPr="00B75C34" w:rsidRDefault="00B75C34" w:rsidP="00B75C34">
      <w:pPr>
        <w:pStyle w:val="formcen"/>
        <w:spacing w:before="0" w:beforeAutospacing="0" w:after="0" w:afterAutospacing="0"/>
        <w:jc w:val="center"/>
        <w:rPr>
          <w:b/>
          <w:color w:val="984806" w:themeColor="accent6" w:themeShade="80"/>
          <w:lang w:val="ru-RU"/>
        </w:rPr>
      </w:pP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r w:rsidRPr="00B75C34">
        <w:rPr>
          <w:rFonts w:ascii="Times New Roman" w:hAnsi="Times New Roman"/>
          <w:color w:val="984806" w:themeColor="accent6" w:themeShade="80"/>
          <w:sz w:val="24"/>
          <w:szCs w:val="24"/>
          <w:lang w:val="ru-RU"/>
        </w:rPr>
        <w:t xml:space="preserve">ПРОДАЖА ЭТИХ КОНВЕРТИРУЕМЫХ ВЕКСЕЛЕЙ НЕ БЫЛА ЗАРЕГИСТРИРОВАНА В КОМИССИИ ПО ЦЕННЫМ БУМАГАМ И БИРЖАМ В СООТВЕТСТВИИ С ЗАКОНОМ О ЦЕННЫХ БУМАГАХ 1933 ГОДА С ВНЕСЕННЫМИ В НЕГО ПОПРАВКАМИ, В ЗАВИСИМОСТИ ОТ ИЗЛОЖЕННЫХ В НЕМ ИСКЛЮЧЕНИЙ ИЗ ТРЕБОВАНИЙ О РЕГИСТРАЦИИ, В ТОМ ЧИСЛЕ (БЕЗ ОГРАНИЧЕНИЙ) В РАЗДЕЛЕ 4(2) ЗАКОНА И/ИЛИ ПРАВИЛА 506 ПРАВИЛА </w:t>
      </w:r>
      <w:r w:rsidRPr="00B75C34">
        <w:rPr>
          <w:rFonts w:ascii="Times New Roman" w:hAnsi="Times New Roman"/>
          <w:color w:val="984806" w:themeColor="accent6" w:themeShade="80"/>
          <w:sz w:val="24"/>
          <w:szCs w:val="24"/>
        </w:rPr>
        <w:t>D</w:t>
      </w:r>
      <w:r w:rsidRPr="00B75C34">
        <w:rPr>
          <w:rFonts w:ascii="Times New Roman" w:hAnsi="Times New Roman"/>
          <w:color w:val="984806" w:themeColor="accent6" w:themeShade="80"/>
          <w:sz w:val="24"/>
          <w:szCs w:val="24"/>
          <w:lang w:val="ru-RU"/>
        </w:rPr>
        <w:t xml:space="preserve">, ОБНАРОДОВАННОГО В СООТВЕТСТВИИ С НИМ (В ЗАВИСИМОСТИ ОТ ОБСТОЯТЕЛЬСТВ). ЭТИ ВЕКСЕЛЯ НЕ БЫЛИ КВАЛИФИЦИРОВАНЫ ИЛИ ЗАРЕГИСТРИРОВАНЫ В КАКОМ-ЛИБО ШТАТЕ В ЗАВИСИМОСТИ ОТ ПРИМЕНИМЫХ ИСКЛЮЧЕНИЙ ИЗ ТАКОЙ КВАЛИФИКАЦИИ ИЛИ РЕГИСТРАЦИИ В СООТВЕТСТВИИ С ПРИМЕНИМЫМ ЗАКОНОДАТЕЛЬСТВОМ ШТАТА. </w:t>
      </w: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r w:rsidRPr="00B75C34">
        <w:rPr>
          <w:rFonts w:ascii="Times New Roman" w:hAnsi="Times New Roman"/>
          <w:color w:val="984806" w:themeColor="accent6" w:themeShade="80"/>
          <w:sz w:val="24"/>
          <w:szCs w:val="24"/>
          <w:lang w:val="ru-RU"/>
        </w:rPr>
        <w:t>ЭТИ ВЕКСЕЛЯ ЯВЛЯЮТСЯ "ЦЕННЫМИ БУМАГАМИ С ОГРАНИЧЕННОЙ ОТВЕТСТВЕННОСТЬЮ". И НЕ МОЖЕТ БЫТЬ ПЕРЕПРОДАН ИЛИ ИНЫМ ОБРАЗОМ УТИЛИЗИРОВАН, ЗА ИСКЛЮЧЕНИЕМ СЛУЧАЕВ, КОГДА В ЭТОМ СЛУЧАЕ ДЕЙСТВУЕТ РЕГИСТРАЦИОННОЕ ЗАЯВЛЕНИЕ ОБ УТИЛИЗИРОВАНИИ ТАКИХ ВЕКСЕЛЕЙ ИЛИ КОГДА ИМЕЕТСЯ ОСВОБОЖДЕНИЕ ОТ ТАКОЙ РЕГИСТРАЦИИ. ЛЮБОЙ ПОКУПАТЕЛЬ ЭТИХ ВЕКСЕЛЕЙ ДОЛЖЕН ПРОЧИТАТЬ И ПОНЯТЬ ЧАСТНЫЙ МЕМОРАНДУМ О РАЗМЕЩЕНИИ НИЖЕПОДПИСАВШЕГОСЯ ЗАЕМЩИКА, ЧЕРЕЗ КОТОРОГО ДОЛЖНЫ БЫТЬ ВЫПУЩЕНЫ ЭТИ ВЕКСЕЛЯ.</w:t>
      </w: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p>
    <w:tbl>
      <w:tblPr>
        <w:tblW w:w="0" w:type="auto"/>
        <w:tblLook w:val="04A0" w:firstRow="1" w:lastRow="0" w:firstColumn="1" w:lastColumn="0" w:noHBand="0" w:noVBand="1"/>
      </w:tblPr>
      <w:tblGrid>
        <w:gridCol w:w="6764"/>
        <w:gridCol w:w="2807"/>
      </w:tblGrid>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984806" w:themeColor="accent6" w:themeShade="80"/>
                <w:szCs w:val="24"/>
              </w:rPr>
            </w:pPr>
            <w:r w:rsidRPr="00B75C34">
              <w:rPr>
                <w:rFonts w:ascii="Times New Roman" w:eastAsia="Times New Roman" w:hAnsi="Times New Roman"/>
                <w:color w:val="984806" w:themeColor="accent6" w:themeShade="80"/>
                <w:szCs w:val="24"/>
              </w:rPr>
              <w:t>Серия примечаний:</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984806" w:themeColor="accent6" w:themeShade="80"/>
                <w:szCs w:val="24"/>
              </w:rPr>
            </w:pPr>
            <w:r w:rsidRPr="00B75C34">
              <w:rPr>
                <w:rFonts w:ascii="Times New Roman" w:eastAsia="Times New Roman" w:hAnsi="Times New Roman"/>
                <w:color w:val="984806" w:themeColor="accent6" w:themeShade="80"/>
                <w:szCs w:val="24"/>
              </w:rPr>
              <w:t>2019A</w:t>
            </w: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984806" w:themeColor="accent6" w:themeShade="80"/>
                <w:szCs w:val="24"/>
              </w:rPr>
            </w:pPr>
          </w:p>
        </w:tc>
        <w:tc>
          <w:tcPr>
            <w:tcW w:w="2808" w:type="dxa"/>
            <w:tcBorders>
              <w:top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984806" w:themeColor="accent6" w:themeShade="80"/>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984806" w:themeColor="accent6" w:themeShade="80"/>
                <w:szCs w:val="24"/>
              </w:rPr>
            </w:pPr>
            <w:r w:rsidRPr="00B75C34">
              <w:rPr>
                <w:rFonts w:ascii="Times New Roman" w:eastAsia="Times New Roman" w:hAnsi="Times New Roman"/>
                <w:color w:val="984806" w:themeColor="accent6" w:themeShade="80"/>
                <w:szCs w:val="24"/>
              </w:rPr>
              <w:t>Дата примечания:</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984806" w:themeColor="accent6" w:themeShade="80"/>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984806" w:themeColor="accent6" w:themeShade="80"/>
                <w:szCs w:val="24"/>
              </w:rPr>
            </w:pPr>
          </w:p>
        </w:tc>
        <w:tc>
          <w:tcPr>
            <w:tcW w:w="2808" w:type="dxa"/>
            <w:tcBorders>
              <w:top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984806" w:themeColor="accent6" w:themeShade="80"/>
                <w:szCs w:val="24"/>
              </w:rPr>
            </w:pPr>
          </w:p>
        </w:tc>
      </w:tr>
      <w:tr w:rsidR="00B75C34" w:rsidRPr="00B75C34" w:rsidTr="00E521A4">
        <w:tc>
          <w:tcPr>
            <w:tcW w:w="6768" w:type="dxa"/>
          </w:tcPr>
          <w:p w:rsidR="00B75C34" w:rsidRPr="00B75C34" w:rsidRDefault="00B75C34" w:rsidP="00E521A4">
            <w:pPr>
              <w:tabs>
                <w:tab w:val="right" w:pos="9360"/>
              </w:tabs>
              <w:spacing w:after="0" w:line="240" w:lineRule="auto"/>
              <w:jc w:val="right"/>
              <w:rPr>
                <w:rFonts w:ascii="Times New Roman" w:eastAsia="Times New Roman" w:hAnsi="Times New Roman"/>
                <w:color w:val="984806" w:themeColor="accent6" w:themeShade="80"/>
                <w:szCs w:val="24"/>
              </w:rPr>
            </w:pPr>
            <w:r w:rsidRPr="00B75C34">
              <w:rPr>
                <w:rFonts w:ascii="Times New Roman" w:eastAsia="Times New Roman" w:hAnsi="Times New Roman"/>
                <w:color w:val="984806" w:themeColor="accent6" w:themeShade="80"/>
                <w:szCs w:val="24"/>
              </w:rPr>
              <w:t>Основная сумма примечаний:</w:t>
            </w:r>
          </w:p>
        </w:tc>
        <w:tc>
          <w:tcPr>
            <w:tcW w:w="2808" w:type="dxa"/>
            <w:tcBorders>
              <w:bottom w:val="single" w:sz="4" w:space="0" w:color="auto"/>
            </w:tcBorders>
          </w:tcPr>
          <w:p w:rsidR="00B75C34" w:rsidRPr="00B75C34" w:rsidRDefault="00B75C34" w:rsidP="00E521A4">
            <w:pPr>
              <w:tabs>
                <w:tab w:val="right" w:pos="9360"/>
              </w:tabs>
              <w:spacing w:after="0" w:line="240" w:lineRule="auto"/>
              <w:rPr>
                <w:rFonts w:ascii="Times New Roman" w:eastAsia="Times New Roman" w:hAnsi="Times New Roman"/>
                <w:color w:val="984806" w:themeColor="accent6" w:themeShade="80"/>
                <w:szCs w:val="24"/>
              </w:rPr>
            </w:pPr>
            <w:r w:rsidRPr="00B75C34">
              <w:rPr>
                <w:rFonts w:ascii="Times New Roman" w:eastAsia="Times New Roman" w:hAnsi="Times New Roman"/>
                <w:color w:val="984806" w:themeColor="accent6" w:themeShade="80"/>
                <w:szCs w:val="24"/>
              </w:rPr>
              <w:t>$</w:t>
            </w:r>
          </w:p>
        </w:tc>
      </w:tr>
    </w:tbl>
    <w:p w:rsidR="00B75C34" w:rsidRPr="00B75C34" w:rsidRDefault="00B75C34" w:rsidP="00B75C34">
      <w:pPr>
        <w:pStyle w:val="form"/>
        <w:spacing w:before="0" w:beforeAutospacing="0" w:after="0" w:afterAutospacing="0"/>
        <w:rPr>
          <w:color w:val="984806" w:themeColor="accent6" w:themeShade="80"/>
        </w:rPr>
      </w:pPr>
    </w:p>
    <w:p w:rsidR="00B75C34" w:rsidRPr="00B75C34" w:rsidRDefault="00B75C34" w:rsidP="00B75C34">
      <w:pPr>
        <w:pStyle w:val="form"/>
        <w:spacing w:before="0" w:beforeAutospacing="0" w:after="0" w:afterAutospacing="0"/>
        <w:rPr>
          <w:color w:val="984806" w:themeColor="accent6" w:themeShade="80"/>
        </w:rPr>
      </w:pPr>
    </w:p>
    <w:p w:rsidR="00B75C34" w:rsidRPr="00B75C34" w:rsidRDefault="00B75C34" w:rsidP="00B75C34">
      <w:pPr>
        <w:pStyle w:val="form"/>
        <w:spacing w:before="0" w:beforeAutospacing="0" w:after="0" w:afterAutospacing="0"/>
        <w:ind w:firstLine="720"/>
        <w:jc w:val="both"/>
        <w:rPr>
          <w:color w:val="984806" w:themeColor="accent6" w:themeShade="80"/>
          <w:lang w:val="ru-RU"/>
        </w:rPr>
      </w:pPr>
      <w:r w:rsidRPr="00B75C34">
        <w:rPr>
          <w:color w:val="984806" w:themeColor="accent6" w:themeShade="80"/>
          <w:lang w:val="ru-RU"/>
        </w:rPr>
        <w:t xml:space="preserve">ЗА ПОЛУЧЕНИЕ ЦЕННОСТИ нижеподписавшаяся компания </w:t>
      </w:r>
      <w:r w:rsidRPr="00B75C34">
        <w:rPr>
          <w:color w:val="984806" w:themeColor="accent6" w:themeShade="80"/>
        </w:rPr>
        <w:t>TopHap</w:t>
      </w:r>
      <w:r w:rsidRPr="00B75C34">
        <w:rPr>
          <w:color w:val="984806" w:themeColor="accent6" w:themeShade="80"/>
          <w:lang w:val="ru-RU"/>
        </w:rPr>
        <w:t xml:space="preserve">, </w:t>
      </w:r>
      <w:r w:rsidRPr="00B75C34">
        <w:rPr>
          <w:color w:val="984806" w:themeColor="accent6" w:themeShade="80"/>
        </w:rPr>
        <w:t>Inc</w:t>
      </w:r>
      <w:r w:rsidRPr="00B75C34">
        <w:rPr>
          <w:color w:val="984806" w:themeColor="accent6" w:themeShade="80"/>
          <w:lang w:val="ru-RU"/>
        </w:rPr>
        <w:t>., корпорация штата Делавэр ("</w:t>
      </w:r>
      <w:r w:rsidRPr="00B75C34">
        <w:rPr>
          <w:b/>
          <w:color w:val="984806" w:themeColor="accent6" w:themeShade="80"/>
          <w:lang w:val="ru-RU"/>
        </w:rPr>
        <w:t>Заемщик</w:t>
      </w:r>
      <w:r w:rsidRPr="00B75C34">
        <w:rPr>
          <w:color w:val="984806" w:themeColor="accent6" w:themeShade="80"/>
          <w:lang w:val="ru-RU"/>
        </w:rPr>
        <w:t>" или "</w:t>
      </w:r>
      <w:r w:rsidRPr="00B75C34">
        <w:rPr>
          <w:b/>
          <w:color w:val="984806" w:themeColor="accent6" w:themeShade="80"/>
          <w:lang w:val="ru-RU"/>
        </w:rPr>
        <w:t>Компания</w:t>
      </w:r>
      <w:r w:rsidRPr="00B75C34">
        <w:rPr>
          <w:color w:val="984806" w:themeColor="accent6" w:themeShade="80"/>
          <w:lang w:val="ru-RU"/>
        </w:rPr>
        <w:t xml:space="preserve">"), настоящим обещает выплатить </w:t>
      </w:r>
      <w:r w:rsidRPr="00B75C34">
        <w:rPr>
          <w:color w:val="984806" w:themeColor="accent6" w:themeShade="80"/>
        </w:rPr>
        <w:t>XXXXXXX</w:t>
      </w:r>
      <w:r w:rsidRPr="00B75C34">
        <w:rPr>
          <w:color w:val="984806" w:themeColor="accent6" w:themeShade="80"/>
          <w:lang w:val="ru-RU"/>
        </w:rPr>
        <w:t xml:space="preserve"> ("</w:t>
      </w:r>
      <w:r w:rsidRPr="00B75C34">
        <w:rPr>
          <w:b/>
          <w:color w:val="984806" w:themeColor="accent6" w:themeShade="80"/>
          <w:lang w:val="ru-RU"/>
        </w:rPr>
        <w:t>Кредитор</w:t>
      </w:r>
      <w:r w:rsidRPr="00B75C34">
        <w:rPr>
          <w:color w:val="984806" w:themeColor="accent6" w:themeShade="80"/>
          <w:lang w:val="ru-RU"/>
        </w:rPr>
        <w:t xml:space="preserve"> ") основную сумму в размере </w:t>
      </w:r>
      <w:r w:rsidRPr="00B75C34">
        <w:rPr>
          <w:color w:val="984806" w:themeColor="accent6" w:themeShade="80"/>
        </w:rPr>
        <w:t>XXX</w:t>
      </w:r>
      <w:r w:rsidRPr="00B75C34">
        <w:rPr>
          <w:color w:val="984806" w:themeColor="accent6" w:themeShade="80"/>
          <w:lang w:val="ru-RU"/>
        </w:rPr>
        <w:t xml:space="preserve"> тысяч долларов (ХХХ 000 долл. США) вместе с процентами по непогашенному основному остатку данного конвертируемого примечание ("</w:t>
      </w:r>
      <w:r w:rsidRPr="00B75C34">
        <w:rPr>
          <w:b/>
          <w:color w:val="984806" w:themeColor="accent6" w:themeShade="80"/>
          <w:lang w:val="ru-RU"/>
        </w:rPr>
        <w:t>Примечание</w:t>
      </w:r>
      <w:r w:rsidRPr="00B75C34">
        <w:rPr>
          <w:color w:val="984806" w:themeColor="accent6" w:themeShade="80"/>
          <w:lang w:val="ru-RU"/>
        </w:rPr>
        <w:t>"), как указано ниже в настоящем соглашении ("</w:t>
      </w:r>
      <w:r w:rsidRPr="00B75C34">
        <w:rPr>
          <w:b/>
          <w:color w:val="984806" w:themeColor="accent6" w:themeShade="80"/>
          <w:lang w:val="ru-RU"/>
        </w:rPr>
        <w:t>Соглашение"</w:t>
      </w:r>
      <w:r w:rsidRPr="00B75C34">
        <w:rPr>
          <w:color w:val="984806" w:themeColor="accent6" w:themeShade="80"/>
          <w:lang w:val="ru-RU"/>
        </w:rPr>
        <w:t>), как сторонами, так и между сторонами настоящего Соглашения:</w:t>
      </w:r>
    </w:p>
    <w:p w:rsidR="00B75C34" w:rsidRPr="00B75C34" w:rsidRDefault="00B75C34" w:rsidP="00B75C34">
      <w:pPr>
        <w:pStyle w:val="form"/>
        <w:spacing w:before="0" w:beforeAutospacing="0" w:after="0" w:afterAutospacing="0"/>
        <w:jc w:val="both"/>
        <w:rPr>
          <w:color w:val="984806" w:themeColor="accent6" w:themeShade="80"/>
          <w:lang w:val="ru-RU"/>
        </w:rPr>
      </w:pPr>
    </w:p>
    <w:p w:rsidR="00B75C34" w:rsidRPr="00B75C34" w:rsidRDefault="00B75C34" w:rsidP="00B75C34">
      <w:pPr>
        <w:spacing w:line="240" w:lineRule="auto"/>
        <w:ind w:firstLine="720"/>
        <w:jc w:val="both"/>
        <w:rPr>
          <w:rFonts w:ascii="Times New Roman" w:hAnsi="Times New Roman"/>
          <w:b/>
          <w:color w:val="984806" w:themeColor="accent6" w:themeShade="80"/>
          <w:sz w:val="24"/>
          <w:szCs w:val="24"/>
          <w:lang w:val="ru-RU"/>
        </w:rPr>
      </w:pPr>
      <w:r w:rsidRPr="00B75C34">
        <w:rPr>
          <w:rFonts w:ascii="Times New Roman" w:hAnsi="Times New Roman"/>
          <w:b/>
          <w:color w:val="984806" w:themeColor="accent6" w:themeShade="80"/>
          <w:sz w:val="24"/>
          <w:szCs w:val="24"/>
          <w:lang w:val="ru-RU"/>
        </w:rPr>
        <w:tab/>
        <w:t>1.</w:t>
      </w:r>
      <w:r w:rsidRPr="00B75C34">
        <w:rPr>
          <w:rFonts w:ascii="Times New Roman" w:hAnsi="Times New Roman"/>
          <w:b/>
          <w:color w:val="984806" w:themeColor="accent6" w:themeShade="80"/>
          <w:sz w:val="24"/>
          <w:szCs w:val="24"/>
          <w:lang w:val="ru-RU"/>
        </w:rPr>
        <w:tab/>
      </w:r>
      <w:r w:rsidRPr="00B75C34">
        <w:rPr>
          <w:rFonts w:ascii="Times New Roman" w:hAnsi="Times New Roman"/>
          <w:b/>
          <w:color w:val="984806" w:themeColor="accent6" w:themeShade="80"/>
          <w:sz w:val="24"/>
          <w:szCs w:val="24"/>
          <w:u w:val="single"/>
          <w:lang w:val="ru-RU"/>
        </w:rPr>
        <w:t>Основные термины</w:t>
      </w:r>
      <w:r w:rsidRPr="00B75C34">
        <w:rPr>
          <w:rFonts w:ascii="Times New Roman" w:hAnsi="Times New Roman"/>
          <w:b/>
          <w:color w:val="984806" w:themeColor="accent6" w:themeShade="80"/>
          <w:sz w:val="24"/>
          <w:szCs w:val="24"/>
          <w:lang w:val="ru-RU"/>
        </w:rPr>
        <w:t>.</w:t>
      </w:r>
    </w:p>
    <w:p w:rsidR="00B75C34" w:rsidRPr="00B75C34" w:rsidRDefault="00B75C34" w:rsidP="00B75C34">
      <w:pPr>
        <w:spacing w:after="0" w:line="240" w:lineRule="auto"/>
        <w:ind w:firstLine="1440"/>
        <w:jc w:val="both"/>
        <w:rPr>
          <w:rFonts w:ascii="Times New Roman" w:hAnsi="Times New Roman"/>
          <w:b/>
          <w:color w:val="984806" w:themeColor="accent6" w:themeShade="80"/>
          <w:sz w:val="24"/>
          <w:szCs w:val="24"/>
          <w:lang w:val="ru-RU"/>
        </w:rPr>
      </w:pPr>
      <w:r w:rsidRPr="00B75C34">
        <w:rPr>
          <w:rFonts w:ascii="Times New Roman" w:hAnsi="Times New Roman"/>
          <w:b/>
          <w:color w:val="984806" w:themeColor="accent6" w:themeShade="80"/>
          <w:sz w:val="24"/>
          <w:szCs w:val="24"/>
          <w:lang w:val="ru-RU"/>
        </w:rPr>
        <w:t>1.1</w:t>
      </w:r>
      <w:r w:rsidRPr="00B75C34">
        <w:rPr>
          <w:rFonts w:ascii="Times New Roman" w:hAnsi="Times New Roman"/>
          <w:b/>
          <w:color w:val="984806" w:themeColor="accent6" w:themeShade="80"/>
          <w:sz w:val="24"/>
          <w:szCs w:val="24"/>
          <w:lang w:val="ru-RU"/>
        </w:rPr>
        <w:tab/>
        <w:t xml:space="preserve">Серия примечаний. </w:t>
      </w:r>
      <w:r w:rsidRPr="00B75C34">
        <w:rPr>
          <w:rFonts w:ascii="Times New Roman" w:hAnsi="Times New Roman"/>
          <w:color w:val="984806" w:themeColor="accent6" w:themeShade="80"/>
          <w:sz w:val="24"/>
          <w:szCs w:val="24"/>
          <w:lang w:val="ru-RU"/>
        </w:rPr>
        <w:t>Настоящая записка выпускается в составе серии примечаний, обозначенных выше в Серии Примечаний (совместно именуемой "Примечание"), и выпускается в виде серии нескольких закрываний для определенных физических и юридических лиц (совместно именуемых "Держатели"). Компания ведет реестр всех Держателей.</w:t>
      </w:r>
    </w:p>
    <w:p w:rsidR="00B75C34" w:rsidRPr="00B75C34" w:rsidRDefault="00B75C34" w:rsidP="00B75C34">
      <w:pPr>
        <w:spacing w:after="0" w:line="240" w:lineRule="auto"/>
        <w:ind w:firstLine="1440"/>
        <w:jc w:val="both"/>
        <w:rPr>
          <w:rFonts w:ascii="Times New Roman" w:eastAsia="Times New Roman" w:hAnsi="Times New Roman"/>
          <w:color w:val="984806" w:themeColor="accent6" w:themeShade="80"/>
          <w:sz w:val="24"/>
          <w:szCs w:val="24"/>
          <w:lang w:val="ru-RU" w:eastAsia="ar-SA"/>
        </w:rPr>
      </w:pPr>
      <w:r w:rsidRPr="00B75C34">
        <w:rPr>
          <w:rFonts w:ascii="Times New Roman" w:hAnsi="Times New Roman"/>
          <w:b/>
          <w:color w:val="984806" w:themeColor="accent6" w:themeShade="80"/>
          <w:sz w:val="24"/>
          <w:szCs w:val="24"/>
          <w:lang w:val="ru-RU"/>
        </w:rPr>
        <w:t>1.2</w:t>
      </w:r>
      <w:r w:rsidRPr="00B75C34">
        <w:rPr>
          <w:rFonts w:ascii="Times New Roman" w:hAnsi="Times New Roman"/>
          <w:b/>
          <w:color w:val="984806" w:themeColor="accent6" w:themeShade="80"/>
          <w:sz w:val="24"/>
          <w:szCs w:val="24"/>
          <w:lang w:val="ru-RU"/>
        </w:rPr>
        <w:tab/>
      </w:r>
      <w:r w:rsidRPr="00B75C34">
        <w:rPr>
          <w:rFonts w:ascii="Times New Roman" w:hAnsi="Times New Roman"/>
          <w:b/>
          <w:color w:val="984806" w:themeColor="accent6" w:themeShade="80"/>
          <w:sz w:val="24"/>
          <w:szCs w:val="24"/>
          <w:u w:val="single"/>
          <w:lang w:val="ru-RU"/>
        </w:rPr>
        <w:t>Интерес</w:t>
      </w:r>
      <w:r w:rsidRPr="00B75C34">
        <w:rPr>
          <w:rFonts w:ascii="Times New Roman" w:hAnsi="Times New Roman"/>
          <w:color w:val="984806" w:themeColor="accent6" w:themeShade="80"/>
          <w:sz w:val="24"/>
          <w:szCs w:val="24"/>
          <w:lang w:val="ru-RU"/>
        </w:rPr>
        <w:t xml:space="preserve">. </w:t>
      </w:r>
      <w:r w:rsidRPr="00B75C34">
        <w:rPr>
          <w:rFonts w:ascii="Times New Roman" w:eastAsia="Times New Roman" w:hAnsi="Times New Roman"/>
          <w:color w:val="984806" w:themeColor="accent6" w:themeShade="80"/>
          <w:sz w:val="24"/>
          <w:szCs w:val="24"/>
          <w:lang w:val="ru-RU"/>
        </w:rPr>
        <w:t xml:space="preserve">Процентная ставка по настоящим примечаниям представляет собой фиксированную процентную ставку в размере пяти процентов (5,00 процента) в год, подлежащую выплате на дату погашения задолженности. Проценты начисляются ежемесячно, исходя из фактического количества полных календарных месяцев, прошедших.  Проценты по непогашенному остатку основной суммы будут начисляться, начиная с более поздней из дат настоящего договора или даты, в которую доходы от инвестиций были распределены Кредитором среди или от имени Заемщика </w:t>
      </w:r>
      <w:r w:rsidRPr="00B75C34">
        <w:rPr>
          <w:rFonts w:ascii="Times New Roman" w:eastAsia="Times New Roman" w:hAnsi="Times New Roman"/>
          <w:color w:val="984806" w:themeColor="accent6" w:themeShade="80"/>
          <w:sz w:val="24"/>
          <w:szCs w:val="24"/>
          <w:lang w:val="ru-RU"/>
        </w:rPr>
        <w:lastRenderedPageBreak/>
        <w:t>после взаимного принятия и исполнения Примечания обеими сторонами ("</w:t>
      </w:r>
      <w:r w:rsidRPr="00B75C34">
        <w:rPr>
          <w:rFonts w:ascii="Times New Roman" w:eastAsia="Times New Roman" w:hAnsi="Times New Roman"/>
          <w:b/>
          <w:color w:val="984806" w:themeColor="accent6" w:themeShade="80"/>
          <w:sz w:val="24"/>
          <w:szCs w:val="24"/>
          <w:lang w:val="ru-RU"/>
        </w:rPr>
        <w:t>Дата вступления в силу</w:t>
      </w:r>
      <w:r w:rsidRPr="00B75C34">
        <w:rPr>
          <w:rFonts w:ascii="Times New Roman" w:eastAsia="Times New Roman" w:hAnsi="Times New Roman"/>
          <w:color w:val="984806" w:themeColor="accent6" w:themeShade="80"/>
          <w:sz w:val="24"/>
          <w:szCs w:val="24"/>
          <w:lang w:val="ru-RU"/>
        </w:rPr>
        <w:t>"). Процентные платежи будут продолжаться до тех пор, пока Примечание не будет полностью погашено, при этом непогашенная основная сумма и проценты причитаются и подлежат выплате на дату, которая наступает ровно через два года после Даты вступления Примечания в силу ("</w:t>
      </w:r>
      <w:r w:rsidRPr="00B75C34">
        <w:rPr>
          <w:rFonts w:ascii="Times New Roman" w:eastAsia="Times New Roman" w:hAnsi="Times New Roman"/>
          <w:b/>
          <w:color w:val="984806" w:themeColor="accent6" w:themeShade="80"/>
          <w:sz w:val="24"/>
          <w:szCs w:val="24"/>
          <w:lang w:val="ru-RU"/>
        </w:rPr>
        <w:t>Дата погашения</w:t>
      </w:r>
      <w:r w:rsidRPr="00B75C34">
        <w:rPr>
          <w:rFonts w:ascii="Times New Roman" w:eastAsia="Times New Roman" w:hAnsi="Times New Roman"/>
          <w:color w:val="984806" w:themeColor="accent6" w:themeShade="80"/>
          <w:sz w:val="24"/>
          <w:szCs w:val="24"/>
          <w:lang w:val="ru-RU"/>
        </w:rPr>
        <w:t>"), за исключением случаев, когда такая Дата погашения продлевается, как предусмотрено в настоящем Примечании (или когда Примечания конвертируются, как предусмотрено в настоящем Примечании).</w:t>
      </w:r>
    </w:p>
    <w:p w:rsidR="00B75C34" w:rsidRPr="00B75C34" w:rsidRDefault="00B75C34" w:rsidP="00B75C34">
      <w:pPr>
        <w:spacing w:after="0" w:line="240" w:lineRule="auto"/>
        <w:jc w:val="both"/>
        <w:rPr>
          <w:rFonts w:ascii="Times New Roman" w:eastAsia="Times New Roman" w:hAnsi="Times New Roman"/>
          <w:color w:val="984806" w:themeColor="accent6" w:themeShade="80"/>
          <w:sz w:val="24"/>
          <w:szCs w:val="24"/>
          <w:lang w:val="ru-RU" w:eastAsia="ar-SA"/>
        </w:rPr>
      </w:pPr>
    </w:p>
    <w:p w:rsidR="00B75C34" w:rsidRPr="00B75C34" w:rsidRDefault="00B75C34" w:rsidP="00B75C34">
      <w:pPr>
        <w:pStyle w:val="form"/>
        <w:spacing w:before="0" w:beforeAutospacing="0" w:after="0" w:afterAutospacing="0"/>
        <w:jc w:val="both"/>
        <w:rPr>
          <w:color w:val="984806" w:themeColor="accent6" w:themeShade="80"/>
          <w:lang w:val="ru-RU"/>
        </w:rPr>
      </w:pPr>
      <w:r w:rsidRPr="00B75C34">
        <w:rPr>
          <w:color w:val="984806" w:themeColor="accent6" w:themeShade="80"/>
          <w:lang w:val="ru-RU"/>
        </w:rPr>
        <w:tab/>
        <w:t>Если какие-либо проценты, выплачиваемые в соответствии с настоящей запиской, не выплачиваются в срок, то невыплаченные проценты добавляются к основной сумме настоящей записки, становятся и рассматриваются как основная сумма, а затем по ним начисляются такие же проценты. Во избежание сомнений, такие дополнения к основному тексту настоящей записки не считаются первоначальным основным текстом настоящей записки, поскольку такой термин упоминается в разделе 6 настоящего документа.</w:t>
      </w: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p>
    <w:p w:rsidR="00B75C34" w:rsidRPr="00B75C34" w:rsidRDefault="00B75C34" w:rsidP="00B75C34">
      <w:pPr>
        <w:pStyle w:val="form"/>
        <w:spacing w:before="0" w:beforeAutospacing="0" w:after="0" w:afterAutospacing="0"/>
        <w:rPr>
          <w:b/>
          <w:color w:val="984806" w:themeColor="accent6" w:themeShade="80"/>
          <w:lang w:val="ru-RU"/>
        </w:rPr>
      </w:pPr>
      <w:r w:rsidRPr="00B75C34">
        <w:rPr>
          <w:b/>
          <w:color w:val="984806" w:themeColor="accent6" w:themeShade="80"/>
          <w:lang w:val="ru-RU"/>
        </w:rPr>
        <w:tab/>
        <w:t xml:space="preserve">2. </w:t>
      </w:r>
      <w:r w:rsidRPr="00B75C34">
        <w:rPr>
          <w:rFonts w:ascii="ZWAdobeF" w:hAnsi="ZWAdobeF" w:cs="ZWAdobeF"/>
          <w:b/>
          <w:color w:val="984806" w:themeColor="accent6" w:themeShade="80"/>
          <w:lang w:val="ru-RU"/>
        </w:rPr>
        <w:t>Выплата основной суммы и процентов</w:t>
      </w:r>
    </w:p>
    <w:p w:rsidR="00B75C34" w:rsidRPr="00B75C34" w:rsidRDefault="00B75C34" w:rsidP="00B75C34">
      <w:pPr>
        <w:autoSpaceDE w:val="0"/>
        <w:autoSpaceDN w:val="0"/>
        <w:adjustRightInd w:val="0"/>
        <w:spacing w:after="0" w:line="240" w:lineRule="auto"/>
        <w:ind w:firstLine="720"/>
        <w:rPr>
          <w:rFonts w:ascii="Times New Roman" w:hAnsi="Times New Roman"/>
          <w:b/>
          <w:color w:val="984806" w:themeColor="accent6" w:themeShade="80"/>
          <w:sz w:val="24"/>
          <w:szCs w:val="24"/>
          <w:lang w:val="ru-RU"/>
        </w:rPr>
      </w:pPr>
    </w:p>
    <w:p w:rsidR="00B75C34" w:rsidRPr="00B75C34" w:rsidRDefault="00B75C34" w:rsidP="00B75C34">
      <w:pPr>
        <w:autoSpaceDE w:val="0"/>
        <w:autoSpaceDN w:val="0"/>
        <w:adjustRightInd w:val="0"/>
        <w:spacing w:after="0" w:line="240" w:lineRule="auto"/>
        <w:ind w:firstLine="720"/>
        <w:jc w:val="both"/>
        <w:rPr>
          <w:rFonts w:ascii="Times New Roman" w:hAnsi="Times New Roman"/>
          <w:color w:val="984806" w:themeColor="accent6" w:themeShade="80"/>
          <w:sz w:val="24"/>
          <w:szCs w:val="24"/>
          <w:lang w:val="ru-RU"/>
        </w:rPr>
      </w:pPr>
      <w:r w:rsidRPr="00B75C34">
        <w:rPr>
          <w:rFonts w:ascii="Times New Roman" w:hAnsi="Times New Roman"/>
          <w:b/>
          <w:color w:val="984806" w:themeColor="accent6" w:themeShade="80"/>
          <w:sz w:val="24"/>
          <w:szCs w:val="24"/>
          <w:lang w:val="ru-RU"/>
        </w:rPr>
        <w:t xml:space="preserve">2.1 </w:t>
      </w:r>
      <w:r w:rsidRPr="00B75C34">
        <w:rPr>
          <w:rFonts w:ascii="Times New Roman" w:hAnsi="Times New Roman"/>
          <w:b/>
          <w:color w:val="984806" w:themeColor="accent6" w:themeShade="80"/>
          <w:sz w:val="24"/>
          <w:szCs w:val="24"/>
          <w:lang w:val="ru-RU"/>
        </w:rPr>
        <w:tab/>
      </w:r>
      <w:r w:rsidRPr="00B75C34">
        <w:rPr>
          <w:rFonts w:ascii="ZWAdobeF" w:hAnsi="ZWAdobeF" w:cs="ZWAdobeF"/>
          <w:b/>
          <w:color w:val="984806" w:themeColor="accent6" w:themeShade="80"/>
          <w:sz w:val="24"/>
          <w:szCs w:val="24"/>
          <w:lang w:val="ru-RU"/>
        </w:rPr>
        <w:t>Платежи .</w:t>
      </w:r>
      <w:r w:rsidRPr="00B75C34">
        <w:rPr>
          <w:rFonts w:ascii="Times New Roman" w:hAnsi="Times New Roman"/>
          <w:color w:val="984806" w:themeColor="accent6" w:themeShade="80"/>
          <w:sz w:val="24"/>
          <w:szCs w:val="24"/>
          <w:lang w:val="ru-RU"/>
        </w:rPr>
        <w:t>Кредитор получит свою основную сумму и проценты до пятнадцатого (15) дня календарного месяца, следующего за днем наступления срока платежа (выплат). Компания может по своему усмотрению осуществлять любые платежи (выплаты) в натуральной форме (в виде долей в уставном капитале).</w:t>
      </w:r>
    </w:p>
    <w:p w:rsidR="00B75C34" w:rsidRPr="00B75C34" w:rsidRDefault="00B75C34" w:rsidP="00B75C34">
      <w:pPr>
        <w:pStyle w:val="form"/>
        <w:spacing w:before="0" w:beforeAutospacing="0" w:after="0" w:afterAutospacing="0"/>
        <w:jc w:val="both"/>
        <w:rPr>
          <w:color w:val="984806" w:themeColor="accent6" w:themeShade="80"/>
          <w:lang w:val="ru-RU"/>
        </w:rPr>
      </w:pPr>
    </w:p>
    <w:p w:rsidR="00B75C34" w:rsidRPr="00B75C34" w:rsidRDefault="00B75C34" w:rsidP="00B75C34">
      <w:pPr>
        <w:pStyle w:val="form"/>
        <w:spacing w:before="0" w:beforeAutospacing="0" w:after="0" w:afterAutospacing="0"/>
        <w:ind w:firstLine="720"/>
        <w:jc w:val="both"/>
        <w:rPr>
          <w:color w:val="984806" w:themeColor="accent6" w:themeShade="80"/>
          <w:lang w:val="ru-RU"/>
        </w:rPr>
      </w:pPr>
      <w:r w:rsidRPr="00B75C34">
        <w:rPr>
          <w:b/>
          <w:color w:val="984806" w:themeColor="accent6" w:themeShade="80"/>
          <w:lang w:val="ru-RU"/>
        </w:rPr>
        <w:t>2.2</w:t>
      </w:r>
      <w:r w:rsidRPr="00B75C34">
        <w:rPr>
          <w:b/>
          <w:color w:val="984806" w:themeColor="accent6" w:themeShade="80"/>
          <w:lang w:val="ru-RU"/>
        </w:rPr>
        <w:tab/>
      </w:r>
      <w:r w:rsidRPr="00B75C34">
        <w:rPr>
          <w:rFonts w:ascii="ZWAdobeF" w:hAnsi="ZWAdobeF" w:cs="ZWAdobeF"/>
          <w:b/>
          <w:color w:val="984806" w:themeColor="accent6" w:themeShade="80"/>
          <w:lang w:val="ru-RU"/>
        </w:rPr>
        <w:t>Заказ на</w:t>
      </w:r>
      <w:r w:rsidRPr="00B75C34">
        <w:rPr>
          <w:b/>
          <w:color w:val="984806" w:themeColor="accent6" w:themeShade="80"/>
          <w:u w:val="single"/>
          <w:lang w:val="ru-RU"/>
        </w:rPr>
        <w:t xml:space="preserve"> применение платежей</w:t>
      </w:r>
      <w:r w:rsidRPr="00B75C34">
        <w:rPr>
          <w:b/>
          <w:color w:val="984806" w:themeColor="accent6" w:themeShade="80"/>
          <w:lang w:val="ru-RU"/>
        </w:rPr>
        <w:t xml:space="preserve">. </w:t>
      </w:r>
      <w:r w:rsidRPr="00B75C34">
        <w:rPr>
          <w:color w:val="984806" w:themeColor="accent6" w:themeShade="80"/>
          <w:lang w:val="ru-RU"/>
        </w:rPr>
        <w:t xml:space="preserve">Если иное не согласовано сторонами в письменной форме или не предусмотрено применимым законодательством, каждый платеж, произведенный в соответствии с настоящей запиской, зачисляется на счет в следующем порядке: </w:t>
      </w:r>
      <w:r w:rsidRPr="00B75C34">
        <w:rPr>
          <w:color w:val="984806" w:themeColor="accent6" w:themeShade="80"/>
        </w:rPr>
        <w:t>a</w:t>
      </w:r>
      <w:r w:rsidRPr="00B75C34">
        <w:rPr>
          <w:color w:val="984806" w:themeColor="accent6" w:themeShade="80"/>
          <w:lang w:val="ru-RU"/>
        </w:rPr>
        <w:t xml:space="preserve">) несвоевременные платежи и/или сборы, причитающиеся Кредитору; </w:t>
      </w:r>
      <w:r w:rsidRPr="00B75C34">
        <w:rPr>
          <w:color w:val="984806" w:themeColor="accent6" w:themeShade="80"/>
        </w:rPr>
        <w:t>b</w:t>
      </w:r>
      <w:r w:rsidRPr="00B75C34">
        <w:rPr>
          <w:color w:val="984806" w:themeColor="accent6" w:themeShade="80"/>
          <w:lang w:val="ru-RU"/>
        </w:rPr>
        <w:t xml:space="preserve">) проценты, подлежащие уплате в соответствии с Примечанием, включая начисленные, но неуплаченные проценты; и </w:t>
      </w:r>
      <w:r w:rsidRPr="00B75C34">
        <w:rPr>
          <w:color w:val="984806" w:themeColor="accent6" w:themeShade="80"/>
        </w:rPr>
        <w:t>c</w:t>
      </w:r>
      <w:r w:rsidRPr="00B75C34">
        <w:rPr>
          <w:color w:val="984806" w:themeColor="accent6" w:themeShade="80"/>
          <w:lang w:val="ru-RU"/>
        </w:rPr>
        <w:t>) основная сумма, непогашенная в соответствии с Примечанием.</w:t>
      </w:r>
    </w:p>
    <w:p w:rsidR="00B75C34" w:rsidRPr="00B75C34" w:rsidRDefault="00B75C34" w:rsidP="00B75C34">
      <w:pPr>
        <w:pStyle w:val="form"/>
        <w:spacing w:before="0" w:beforeAutospacing="0" w:after="0" w:afterAutospacing="0"/>
        <w:ind w:firstLine="720"/>
        <w:jc w:val="both"/>
        <w:rPr>
          <w:color w:val="984806" w:themeColor="accent6" w:themeShade="80"/>
          <w:lang w:val="ru-RU"/>
        </w:rPr>
      </w:pPr>
    </w:p>
    <w:p w:rsidR="00B75C34" w:rsidRPr="00B75C34" w:rsidRDefault="00B75C34" w:rsidP="00B75C34">
      <w:pPr>
        <w:pStyle w:val="form"/>
        <w:spacing w:before="0" w:beforeAutospacing="0" w:after="0" w:afterAutospacing="0"/>
        <w:ind w:firstLine="720"/>
        <w:jc w:val="both"/>
        <w:rPr>
          <w:color w:val="984806" w:themeColor="accent6" w:themeShade="80"/>
          <w:lang w:val="ru-RU"/>
        </w:rPr>
      </w:pPr>
      <w:r w:rsidRPr="00B75C34">
        <w:rPr>
          <w:b/>
          <w:color w:val="984806" w:themeColor="accent6" w:themeShade="80"/>
          <w:lang w:val="ru-RU"/>
        </w:rPr>
        <w:t>2.3</w:t>
      </w:r>
      <w:r w:rsidRPr="00B75C34">
        <w:rPr>
          <w:b/>
          <w:color w:val="984806" w:themeColor="accent6" w:themeShade="80"/>
          <w:lang w:val="ru-RU"/>
        </w:rPr>
        <w:tab/>
      </w:r>
      <w:r w:rsidRPr="00B75C34">
        <w:rPr>
          <w:b/>
          <w:color w:val="984806" w:themeColor="accent6" w:themeShade="80"/>
          <w:u w:val="single"/>
          <w:lang w:val="ru-RU"/>
        </w:rPr>
        <w:t>Поставка платежей</w:t>
      </w:r>
      <w:r w:rsidRPr="00B75C34">
        <w:rPr>
          <w:b/>
          <w:color w:val="984806" w:themeColor="accent6" w:themeShade="80"/>
          <w:lang w:val="ru-RU"/>
        </w:rPr>
        <w:t xml:space="preserve">. </w:t>
      </w:r>
      <w:r w:rsidRPr="00B75C34">
        <w:rPr>
          <w:color w:val="984806" w:themeColor="accent6" w:themeShade="80"/>
          <w:lang w:val="ru-RU"/>
        </w:rPr>
        <w:t>Платежи производятся Кредитору по его/ее адресу, указанному в разделе 10 ниже, или по другому адресу, если он/она указан(а) Кредитором в письменном виде.</w:t>
      </w:r>
    </w:p>
    <w:p w:rsidR="00B75C34" w:rsidRPr="00B75C34" w:rsidRDefault="00B75C34" w:rsidP="00B75C34">
      <w:pPr>
        <w:pStyle w:val="form"/>
        <w:spacing w:before="0" w:beforeAutospacing="0" w:after="0" w:afterAutospacing="0"/>
        <w:ind w:firstLine="1440"/>
        <w:jc w:val="both"/>
        <w:rPr>
          <w:color w:val="984806" w:themeColor="accent6" w:themeShade="80"/>
          <w:lang w:val="ru-RU"/>
        </w:rPr>
      </w:pPr>
    </w:p>
    <w:p w:rsidR="00B75C34" w:rsidRPr="00B75C34" w:rsidRDefault="00B75C34" w:rsidP="00B75C34">
      <w:pPr>
        <w:spacing w:after="0" w:line="240" w:lineRule="auto"/>
        <w:jc w:val="both"/>
        <w:rPr>
          <w:rFonts w:ascii="Times New Roman" w:hAnsi="Times New Roman"/>
          <w:color w:val="984806" w:themeColor="accent6" w:themeShade="80"/>
          <w:sz w:val="24"/>
          <w:szCs w:val="24"/>
          <w:lang w:val="ru-RU"/>
        </w:rPr>
      </w:pPr>
      <w:r w:rsidRPr="00B75C34">
        <w:rPr>
          <w:rFonts w:ascii="Times New Roman" w:eastAsia="Times New Roman" w:hAnsi="Times New Roman"/>
          <w:b/>
          <w:color w:val="984806" w:themeColor="accent6" w:themeShade="80"/>
          <w:sz w:val="24"/>
          <w:szCs w:val="24"/>
          <w:lang w:val="ru-RU"/>
        </w:rPr>
        <w:tab/>
        <w:t>3</w:t>
      </w:r>
      <w:r w:rsidRPr="00B75C34">
        <w:rPr>
          <w:rFonts w:ascii="Times New Roman" w:hAnsi="Times New Roman"/>
          <w:b/>
          <w:color w:val="984806" w:themeColor="accent6" w:themeShade="80"/>
          <w:sz w:val="24"/>
          <w:szCs w:val="24"/>
          <w:lang w:val="ru-RU"/>
        </w:rPr>
        <w:t xml:space="preserve">. </w:t>
      </w:r>
      <w:r w:rsidRPr="00B75C34">
        <w:rPr>
          <w:rFonts w:ascii="Times New Roman" w:hAnsi="Times New Roman"/>
          <w:b/>
          <w:color w:val="984806" w:themeColor="accent6" w:themeShade="80"/>
          <w:sz w:val="24"/>
          <w:szCs w:val="24"/>
          <w:lang w:val="ru-RU"/>
        </w:rPr>
        <w:tab/>
      </w:r>
      <w:r w:rsidRPr="00B75C34">
        <w:rPr>
          <w:rFonts w:ascii="ZWAdobeF" w:hAnsi="ZWAdobeF" w:cs="ZWAdobeF"/>
          <w:b/>
          <w:color w:val="984806" w:themeColor="accent6" w:themeShade="80"/>
          <w:sz w:val="28"/>
          <w:szCs w:val="28"/>
          <w:lang w:val="ru-RU"/>
        </w:rPr>
        <w:t>Штраф за просрочку</w:t>
      </w:r>
      <w:r w:rsidRPr="00B75C34">
        <w:rPr>
          <w:rFonts w:ascii="Times New Roman" w:hAnsi="Times New Roman"/>
          <w:b/>
          <w:color w:val="984806" w:themeColor="accent6" w:themeShade="80"/>
          <w:sz w:val="24"/>
          <w:szCs w:val="24"/>
          <w:lang w:val="ru-RU"/>
        </w:rPr>
        <w:t xml:space="preserve">. </w:t>
      </w:r>
      <w:r w:rsidRPr="00B75C34">
        <w:rPr>
          <w:rFonts w:ascii="Times New Roman" w:hAnsi="Times New Roman"/>
          <w:color w:val="984806" w:themeColor="accent6" w:themeShade="80"/>
          <w:sz w:val="24"/>
          <w:szCs w:val="24"/>
          <w:lang w:val="ru-RU"/>
        </w:rPr>
        <w:t xml:space="preserve">Заемщик признает и соглашается с тем, что невыплата любой суммы, причитающейся по данному Облигационному договору, приведет к убыткам и дополнительным расходам Кредитора по обслуживанию задолженности, о чем свидетельствует данное Облигационное письмо, по обработке таких просроченных платежей и по выполнению прочих финансовых обязательств. </w:t>
      </w:r>
    </w:p>
    <w:p w:rsidR="00B75C34" w:rsidRPr="00B75C34" w:rsidRDefault="00B75C34" w:rsidP="00B75C34">
      <w:pPr>
        <w:pStyle w:val="form"/>
        <w:spacing w:before="0" w:beforeAutospacing="0" w:after="0" w:afterAutospacing="0"/>
        <w:jc w:val="both"/>
        <w:rPr>
          <w:b/>
          <w:color w:val="984806" w:themeColor="accent6" w:themeShade="80"/>
          <w:lang w:val="ru-RU"/>
        </w:rPr>
      </w:pPr>
    </w:p>
    <w:p w:rsidR="00B75C34" w:rsidRPr="00B75C34" w:rsidRDefault="00B75C34" w:rsidP="00B75C34">
      <w:pPr>
        <w:pStyle w:val="form"/>
        <w:spacing w:before="0" w:beforeAutospacing="0" w:after="0" w:afterAutospacing="0"/>
        <w:jc w:val="both"/>
        <w:rPr>
          <w:color w:val="984806" w:themeColor="accent6" w:themeShade="80"/>
          <w:lang w:val="ru-RU"/>
        </w:rPr>
      </w:pPr>
      <w:r w:rsidRPr="00B75C34">
        <w:rPr>
          <w:b/>
          <w:color w:val="984806" w:themeColor="accent6" w:themeShade="80"/>
          <w:lang w:val="ru-RU"/>
        </w:rPr>
        <w:tab/>
        <w:t>4.</w:t>
      </w:r>
      <w:r w:rsidRPr="00B75C34">
        <w:rPr>
          <w:b/>
          <w:color w:val="984806" w:themeColor="accent6" w:themeShade="80"/>
          <w:lang w:val="ru-RU"/>
        </w:rPr>
        <w:tab/>
      </w:r>
      <w:r w:rsidRPr="00B75C34">
        <w:rPr>
          <w:rFonts w:ascii="ZWAdobeF" w:hAnsi="ZWAdobeF" w:cs="ZWAdobeF"/>
          <w:b/>
          <w:color w:val="984806" w:themeColor="accent6" w:themeShade="80"/>
          <w:sz w:val="28"/>
          <w:szCs w:val="28"/>
          <w:lang w:val="ru-RU"/>
        </w:rPr>
        <w:t>По умолчанию.</w:t>
      </w:r>
    </w:p>
    <w:p w:rsidR="00B75C34" w:rsidRPr="00B75C34" w:rsidRDefault="00B75C34" w:rsidP="00B75C34">
      <w:pPr>
        <w:pStyle w:val="form"/>
        <w:spacing w:before="0" w:beforeAutospacing="0" w:after="0" w:afterAutospacing="0"/>
        <w:jc w:val="both"/>
        <w:rPr>
          <w:color w:val="984806" w:themeColor="accent6" w:themeShade="80"/>
          <w:lang w:val="ru-RU"/>
        </w:rPr>
      </w:pPr>
    </w:p>
    <w:p w:rsidR="00B75C34" w:rsidRPr="00B75C34" w:rsidRDefault="00B75C34" w:rsidP="00B75C34">
      <w:pPr>
        <w:pStyle w:val="form"/>
        <w:spacing w:before="0" w:beforeAutospacing="0" w:after="0" w:afterAutospacing="0"/>
        <w:ind w:firstLine="720"/>
        <w:jc w:val="both"/>
        <w:rPr>
          <w:color w:val="984806" w:themeColor="accent6" w:themeShade="80"/>
          <w:lang w:val="ru-RU"/>
        </w:rPr>
      </w:pPr>
      <w:r w:rsidRPr="00B75C34">
        <w:rPr>
          <w:b/>
          <w:color w:val="984806" w:themeColor="accent6" w:themeShade="80"/>
          <w:lang w:val="ru-RU"/>
        </w:rPr>
        <w:t>4.1</w:t>
      </w:r>
      <w:r w:rsidRPr="00B75C34">
        <w:rPr>
          <w:b/>
          <w:color w:val="984806" w:themeColor="accent6" w:themeShade="80"/>
          <w:lang w:val="ru-RU"/>
        </w:rPr>
        <w:tab/>
      </w:r>
      <w:r w:rsidRPr="00B75C34">
        <w:rPr>
          <w:b/>
          <w:color w:val="984806" w:themeColor="accent6" w:themeShade="80"/>
          <w:u w:val="single"/>
          <w:lang w:val="ru-RU"/>
        </w:rPr>
        <w:t>Устройства по умолчанию</w:t>
      </w:r>
      <w:r w:rsidRPr="00B75C34">
        <w:rPr>
          <w:b/>
          <w:color w:val="984806" w:themeColor="accent6" w:themeShade="80"/>
          <w:lang w:val="ru-RU"/>
        </w:rPr>
        <w:t xml:space="preserve">. </w:t>
      </w:r>
      <w:r w:rsidRPr="00B75C34">
        <w:rPr>
          <w:color w:val="984806" w:themeColor="accent6" w:themeShade="80"/>
          <w:lang w:val="ru-RU"/>
        </w:rPr>
        <w:t>В случае (</w:t>
      </w:r>
      <w:r w:rsidRPr="00B75C34">
        <w:rPr>
          <w:color w:val="984806" w:themeColor="accent6" w:themeShade="80"/>
        </w:rPr>
        <w:t>a</w:t>
      </w:r>
      <w:r w:rsidRPr="00B75C34">
        <w:rPr>
          <w:color w:val="984806" w:themeColor="accent6" w:themeShade="80"/>
          <w:lang w:val="ru-RU"/>
        </w:rPr>
        <w:t>) невыполнения Заемщиком любых платежей, подлежащих оплате в соответствии с настоящим Облигацией, когда они подлежат оплате, после получения письменного уведомления от Кредитора о таком невыполнении, (</w:t>
      </w:r>
      <w:r w:rsidRPr="00B75C34">
        <w:rPr>
          <w:color w:val="984806" w:themeColor="accent6" w:themeShade="80"/>
        </w:rPr>
        <w:t>b</w:t>
      </w:r>
      <w:r w:rsidRPr="00B75C34">
        <w:rPr>
          <w:color w:val="984806" w:themeColor="accent6" w:themeShade="80"/>
          <w:lang w:val="ru-RU"/>
        </w:rPr>
        <w:t>) любого нарушения любого другого существенного обязательства или обязательства, указанного в настоящем Облигации, или (</w:t>
      </w:r>
      <w:r w:rsidRPr="00B75C34">
        <w:rPr>
          <w:color w:val="984806" w:themeColor="accent6" w:themeShade="80"/>
        </w:rPr>
        <w:t>c</w:t>
      </w:r>
      <w:r w:rsidRPr="00B75C34">
        <w:rPr>
          <w:color w:val="984806" w:themeColor="accent6" w:themeShade="80"/>
          <w:lang w:val="ru-RU"/>
        </w:rPr>
        <w:t>) наступления событий, указанных в Разделе 8 ниже, произойдет случай невыполнения ("</w:t>
      </w:r>
      <w:r w:rsidRPr="00B75C34">
        <w:rPr>
          <w:b/>
          <w:color w:val="984806" w:themeColor="accent6" w:themeShade="80"/>
          <w:lang w:val="ru-RU"/>
        </w:rPr>
        <w:t>Случай невыполнения обязательств</w:t>
      </w:r>
      <w:r w:rsidRPr="00B75C34">
        <w:rPr>
          <w:color w:val="984806" w:themeColor="accent6" w:themeShade="80"/>
          <w:lang w:val="ru-RU"/>
        </w:rPr>
        <w:t xml:space="preserve">"). Если происходит случай невыполнения обязательств, который остается неурегулированным после письменного уведомления Кредитора Заемщику о таком случае невыполнения обязательств, то Кредитор по своему усмотрению может объявить данное </w:t>
      </w:r>
      <w:r w:rsidRPr="00B75C34">
        <w:rPr>
          <w:color w:val="984806" w:themeColor="accent6" w:themeShade="80"/>
          <w:lang w:val="ru-RU"/>
        </w:rPr>
        <w:lastRenderedPageBreak/>
        <w:t>Облигационное письмо (включая, без ограничений, все начисленные проценты) подлежащим немедленной оплате, независимо от Даты погашения. Если происходит случай невыполнения обязательств, который остается неустранимым, вместо полного платежа Кредитору, Заемщик может по своему усмотрению переуступить поток доходов, обеспеченный определенными активами, которыми он непосредственно владеет, Кредитору.</w:t>
      </w:r>
    </w:p>
    <w:p w:rsidR="00B75C34" w:rsidRPr="00B75C34" w:rsidRDefault="00B75C34" w:rsidP="00B75C34">
      <w:pPr>
        <w:pStyle w:val="form"/>
        <w:spacing w:before="0" w:beforeAutospacing="0" w:after="0" w:afterAutospacing="0"/>
        <w:ind w:firstLine="720"/>
        <w:jc w:val="both"/>
        <w:rPr>
          <w:color w:val="984806" w:themeColor="accent6" w:themeShade="80"/>
          <w:lang w:val="ru-RU"/>
        </w:rPr>
      </w:pPr>
    </w:p>
    <w:p w:rsidR="00B75C34" w:rsidRPr="00B75C34" w:rsidDel="002A7612" w:rsidRDefault="00B75C34" w:rsidP="00B75C34">
      <w:pPr>
        <w:pStyle w:val="form"/>
        <w:spacing w:before="0" w:beforeAutospacing="0" w:after="0" w:afterAutospacing="0"/>
        <w:ind w:firstLine="720"/>
        <w:jc w:val="both"/>
        <w:rPr>
          <w:color w:val="984806" w:themeColor="accent6" w:themeShade="80"/>
          <w:lang w:val="ru-RU"/>
        </w:rPr>
      </w:pPr>
      <w:r w:rsidRPr="00B75C34">
        <w:rPr>
          <w:b/>
          <w:color w:val="984806" w:themeColor="accent6" w:themeShade="80"/>
          <w:lang w:val="ru-RU"/>
        </w:rPr>
        <w:t>4.2</w:t>
      </w:r>
      <w:r w:rsidRPr="00B75C34">
        <w:rPr>
          <w:b/>
          <w:color w:val="984806" w:themeColor="accent6" w:themeShade="80"/>
          <w:lang w:val="ru-RU"/>
        </w:rPr>
        <w:tab/>
      </w:r>
      <w:r w:rsidRPr="00B75C34">
        <w:rPr>
          <w:rFonts w:ascii="ZWAdobeF" w:hAnsi="ZWAdobeF" w:cs="ZWAdobeF"/>
          <w:b/>
          <w:color w:val="984806" w:themeColor="accent6" w:themeShade="80"/>
          <w:sz w:val="28"/>
          <w:szCs w:val="28"/>
          <w:lang w:val="ru-RU"/>
        </w:rPr>
        <w:t>Учебно-курортное отделение</w:t>
      </w:r>
      <w:r w:rsidRPr="00B75C34">
        <w:rPr>
          <w:b/>
          <w:color w:val="984806" w:themeColor="accent6" w:themeShade="80"/>
          <w:lang w:val="ru-RU"/>
        </w:rPr>
        <w:t xml:space="preserve">. </w:t>
      </w:r>
      <w:r w:rsidRPr="00B75C34">
        <w:rPr>
          <w:color w:val="984806" w:themeColor="accent6" w:themeShade="80"/>
          <w:lang w:val="ru-RU"/>
        </w:rPr>
        <w:t xml:space="preserve">При возникновении случая дефолта Заемщик обязан в течение 60 (шестидесяти) дней с даты письменного уведомления Кредитора о таком случае дефолта излечить его; </w:t>
      </w:r>
      <w:r w:rsidRPr="00B75C34">
        <w:rPr>
          <w:rFonts w:ascii="ZWAdobeF" w:hAnsi="ZWAdobeF" w:cs="ZWAdobeF"/>
          <w:color w:val="984806" w:themeColor="accent6" w:themeShade="80"/>
          <w:sz w:val="10"/>
          <w:szCs w:val="2"/>
          <w:lang w:val="ru-RU"/>
        </w:rPr>
        <w:t>при условии,</w:t>
      </w:r>
      <w:r w:rsidRPr="00B75C34">
        <w:rPr>
          <w:color w:val="984806" w:themeColor="accent6" w:themeShade="80"/>
          <w:lang w:val="ru-RU"/>
        </w:rPr>
        <w:t xml:space="preserve"> что если случай дефолта носит характер, который разумно требует в обстоятельствах, превышающих 60 (шестьдесят) дней для его излечения, Заемщик обязан инициировать только в течение 60 (шестидесяти) дней с даты уведомления Кредитора о случае дефолта разумные меры для его излечения.</w:t>
      </w:r>
    </w:p>
    <w:p w:rsidR="00B75C34" w:rsidRPr="00B75C34" w:rsidRDefault="00B75C34" w:rsidP="00B75C34">
      <w:pPr>
        <w:pStyle w:val="form"/>
        <w:spacing w:before="0" w:beforeAutospacing="0" w:after="0" w:afterAutospacing="0"/>
        <w:jc w:val="both"/>
        <w:rPr>
          <w:color w:val="984806" w:themeColor="accent6" w:themeShade="80"/>
          <w:lang w:val="ru-RU"/>
        </w:rPr>
      </w:pPr>
    </w:p>
    <w:p w:rsidR="00B75C34" w:rsidRPr="00B75C34" w:rsidRDefault="00B75C34" w:rsidP="00B75C34">
      <w:pPr>
        <w:pStyle w:val="form"/>
        <w:spacing w:before="0" w:beforeAutospacing="0" w:after="0" w:afterAutospacing="0"/>
        <w:jc w:val="both"/>
        <w:rPr>
          <w:b/>
          <w:color w:val="984806" w:themeColor="accent6" w:themeShade="80"/>
          <w:lang w:val="ru-RU"/>
        </w:rPr>
      </w:pPr>
      <w:r w:rsidRPr="00B75C34">
        <w:rPr>
          <w:b/>
          <w:color w:val="984806" w:themeColor="accent6" w:themeShade="80"/>
          <w:lang w:val="ru-RU"/>
        </w:rPr>
        <w:tab/>
        <w:t xml:space="preserve">5. </w:t>
      </w:r>
      <w:r w:rsidRPr="00B75C34">
        <w:rPr>
          <w:b/>
          <w:color w:val="984806" w:themeColor="accent6" w:themeShade="80"/>
          <w:lang w:val="ru-RU"/>
        </w:rPr>
        <w:tab/>
      </w:r>
      <w:r w:rsidRPr="00B75C34">
        <w:rPr>
          <w:b/>
          <w:color w:val="984806" w:themeColor="accent6" w:themeShade="80"/>
          <w:u w:val="single"/>
          <w:lang w:val="ru-RU"/>
        </w:rPr>
        <w:t>Выбор предварительной оплаты.</w:t>
      </w:r>
    </w:p>
    <w:p w:rsidR="00B75C34" w:rsidRPr="00B75C34" w:rsidRDefault="00B75C34" w:rsidP="00B75C34">
      <w:pPr>
        <w:pStyle w:val="form"/>
        <w:spacing w:before="0" w:beforeAutospacing="0" w:after="0" w:afterAutospacing="0"/>
        <w:jc w:val="both"/>
        <w:rPr>
          <w:b/>
          <w:color w:val="984806" w:themeColor="accent6" w:themeShade="80"/>
        </w:rPr>
      </w:pPr>
    </w:p>
    <w:p w:rsidR="00B75C34" w:rsidRPr="00B75C34" w:rsidRDefault="00B75C34" w:rsidP="00B75C34">
      <w:pPr>
        <w:pStyle w:val="form"/>
        <w:spacing w:before="0" w:beforeAutospacing="0" w:after="0" w:afterAutospacing="0"/>
        <w:ind w:firstLine="720"/>
        <w:jc w:val="both"/>
        <w:rPr>
          <w:b/>
          <w:color w:val="000000" w:themeColor="text1"/>
        </w:rPr>
      </w:pPr>
    </w:p>
    <w:p w:rsidR="00114D64" w:rsidRDefault="00114D64">
      <w:bookmarkStart w:id="0" w:name="_GoBack"/>
      <w:bookmarkEnd w:id="0"/>
    </w:p>
    <w:sectPr w:rsidR="00114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ZWAdobeF">
    <w:altName w:val="Times New Roman"/>
    <w:charset w:val="00"/>
    <w:family w:val="auto"/>
    <w:pitch w:val="variable"/>
    <w:sig w:usb0="00000000"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EF"/>
    <w:rsid w:val="00114D64"/>
    <w:rsid w:val="005A17EF"/>
    <w:rsid w:val="00B7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34"/>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cen">
    <w:name w:val="formcen"/>
    <w:basedOn w:val="a"/>
    <w:rsid w:val="00B75C34"/>
    <w:pPr>
      <w:spacing w:before="100" w:beforeAutospacing="1" w:after="100" w:afterAutospacing="1" w:line="240" w:lineRule="auto"/>
    </w:pPr>
    <w:rPr>
      <w:rFonts w:ascii="Times New Roman" w:eastAsia="Times New Roman" w:hAnsi="Times New Roman"/>
      <w:sz w:val="24"/>
      <w:szCs w:val="24"/>
    </w:rPr>
  </w:style>
  <w:style w:type="paragraph" w:customStyle="1" w:styleId="form">
    <w:name w:val="form"/>
    <w:basedOn w:val="a"/>
    <w:rsid w:val="00B75C34"/>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34"/>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cen">
    <w:name w:val="formcen"/>
    <w:basedOn w:val="a"/>
    <w:rsid w:val="00B75C34"/>
    <w:pPr>
      <w:spacing w:before="100" w:beforeAutospacing="1" w:after="100" w:afterAutospacing="1" w:line="240" w:lineRule="auto"/>
    </w:pPr>
    <w:rPr>
      <w:rFonts w:ascii="Times New Roman" w:eastAsia="Times New Roman" w:hAnsi="Times New Roman"/>
      <w:sz w:val="24"/>
      <w:szCs w:val="24"/>
    </w:rPr>
  </w:style>
  <w:style w:type="paragraph" w:customStyle="1" w:styleId="form">
    <w:name w:val="form"/>
    <w:basedOn w:val="a"/>
    <w:rsid w:val="00B75C3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1853</Words>
  <Characters>10564</Characters>
  <Application>Microsoft Office Word</Application>
  <DocSecurity>0</DocSecurity>
  <Lines>88</Lines>
  <Paragraphs>24</Paragraphs>
  <ScaleCrop>false</ScaleCrop>
  <Company>SPecialiST RePack</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dc:creator>
  <cp:keywords/>
  <dc:description/>
  <cp:lastModifiedBy>Hotel</cp:lastModifiedBy>
  <cp:revision>2</cp:revision>
  <dcterms:created xsi:type="dcterms:W3CDTF">2020-02-13T14:08:00Z</dcterms:created>
  <dcterms:modified xsi:type="dcterms:W3CDTF">2020-02-13T14:11:00Z</dcterms:modified>
</cp:coreProperties>
</file>