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037460" w14:textId="77777777" w:rsidR="00E677AF" w:rsidRDefault="00E677AF" w:rsidP="00E677AF">
      <w:pPr>
        <w:rPr>
          <w:rFonts w:cs="Arial"/>
        </w:rPr>
      </w:pPr>
    </w:p>
    <w:p w14:paraId="43947E89" w14:textId="77777777" w:rsidR="00E677AF" w:rsidRDefault="00E677AF" w:rsidP="00E677AF">
      <w:pPr>
        <w:rPr>
          <w:rFonts w:cs="Arial"/>
        </w:rPr>
      </w:pPr>
    </w:p>
    <w:p w14:paraId="32C72AC2" w14:textId="77777777" w:rsidR="00E677AF" w:rsidRDefault="00E677AF" w:rsidP="00E677AF">
      <w:pPr>
        <w:rPr>
          <w:rFonts w:cs="Arial"/>
        </w:rPr>
      </w:pPr>
    </w:p>
    <w:p w14:paraId="1DC017EA" w14:textId="77777777" w:rsidR="00E677AF" w:rsidRPr="00E677AF" w:rsidRDefault="00E677AF" w:rsidP="00E677AF">
      <w:pPr>
        <w:pStyle w:val="Heading2"/>
        <w:tabs>
          <w:tab w:val="clear" w:pos="1277"/>
          <w:tab w:val="num" w:pos="0"/>
        </w:tabs>
        <w:ind w:left="0" w:firstLine="0"/>
        <w:jc w:val="left"/>
        <w:rPr>
          <w:rFonts w:cs="Arial"/>
          <w:sz w:val="24"/>
          <w:szCs w:val="24"/>
        </w:rPr>
      </w:pPr>
      <w:r w:rsidRPr="00E677AF">
        <w:rPr>
          <w:rFonts w:cs="Arial"/>
          <w:sz w:val="24"/>
          <w:szCs w:val="24"/>
        </w:rPr>
        <w:t>Проект ХОЯТ-2 предусматривает обеспечение годовой производительности по обработке и помещению на хранение 2500 ОТВС или ОДП. Отработавшие тепловыделяющие сборки и дополнительные поглотители доставляются на УПОТХ в вагон-контейнере (транспортном упаковочном комплекте на транспортном средстве, предназначенном для перевозки ОТВС/ОДП реакторов типа РБМК-1000 Чернобыльской АЭС).</w:t>
      </w:r>
    </w:p>
    <w:p w14:paraId="6D6231C3" w14:textId="77777777" w:rsidR="00E677AF" w:rsidRPr="002C4420" w:rsidRDefault="00E677AF" w:rsidP="00E677AF">
      <w:pPr>
        <w:tabs>
          <w:tab w:val="num" w:pos="0"/>
        </w:tabs>
        <w:rPr>
          <w:rFonts w:ascii="Arial" w:hAnsi="Arial" w:cs="Arial"/>
        </w:rPr>
      </w:pPr>
      <w:r w:rsidRPr="002C4420">
        <w:rPr>
          <w:rFonts w:ascii="Arial" w:hAnsi="Arial" w:cs="Arial"/>
        </w:rPr>
        <w:t xml:space="preserve">ХОЯТ-2 </w:t>
      </w:r>
      <w:proofErr w:type="spellStart"/>
      <w:r w:rsidRPr="002C4420">
        <w:rPr>
          <w:rFonts w:ascii="Arial" w:hAnsi="Arial" w:cs="Arial"/>
        </w:rPr>
        <w:t>предназначено</w:t>
      </w:r>
      <w:proofErr w:type="spellEnd"/>
      <w:r w:rsidRPr="002C4420">
        <w:rPr>
          <w:rFonts w:ascii="Arial" w:hAnsi="Arial" w:cs="Arial"/>
        </w:rPr>
        <w:t xml:space="preserve"> для </w:t>
      </w:r>
      <w:proofErr w:type="spellStart"/>
      <w:r w:rsidRPr="002C4420">
        <w:rPr>
          <w:rFonts w:ascii="Arial" w:hAnsi="Arial" w:cs="Arial"/>
        </w:rPr>
        <w:t>приема</w:t>
      </w:r>
      <w:proofErr w:type="spellEnd"/>
      <w:r w:rsidRPr="002C4420">
        <w:rPr>
          <w:rFonts w:ascii="Arial" w:hAnsi="Arial" w:cs="Arial"/>
        </w:rPr>
        <w:t xml:space="preserve"> и </w:t>
      </w:r>
      <w:proofErr w:type="spellStart"/>
      <w:r w:rsidRPr="002C4420">
        <w:rPr>
          <w:rFonts w:ascii="Arial" w:hAnsi="Arial" w:cs="Arial"/>
        </w:rPr>
        <w:t>подготовки</w:t>
      </w:r>
      <w:proofErr w:type="spellEnd"/>
      <w:r w:rsidRPr="002C4420">
        <w:rPr>
          <w:rFonts w:ascii="Arial" w:hAnsi="Arial" w:cs="Arial"/>
        </w:rPr>
        <w:t xml:space="preserve"> к </w:t>
      </w:r>
      <w:proofErr w:type="spellStart"/>
      <w:r w:rsidRPr="002C4420">
        <w:rPr>
          <w:rFonts w:ascii="Arial" w:hAnsi="Arial" w:cs="Arial"/>
        </w:rPr>
        <w:t>хранению</w:t>
      </w:r>
      <w:proofErr w:type="spellEnd"/>
      <w:r w:rsidRPr="002C4420">
        <w:rPr>
          <w:rFonts w:ascii="Arial" w:hAnsi="Arial" w:cs="Arial"/>
        </w:rPr>
        <w:t xml:space="preserve">, а </w:t>
      </w:r>
      <w:proofErr w:type="spellStart"/>
      <w:r w:rsidRPr="002C4420">
        <w:rPr>
          <w:rFonts w:ascii="Arial" w:hAnsi="Arial" w:cs="Arial"/>
        </w:rPr>
        <w:t>также</w:t>
      </w:r>
      <w:proofErr w:type="spellEnd"/>
      <w:r w:rsidRPr="002C4420">
        <w:rPr>
          <w:rFonts w:ascii="Arial" w:hAnsi="Arial" w:cs="Arial"/>
        </w:rPr>
        <w:t xml:space="preserve"> </w:t>
      </w:r>
      <w:proofErr w:type="spellStart"/>
      <w:r w:rsidRPr="002C4420">
        <w:rPr>
          <w:rFonts w:ascii="Arial" w:hAnsi="Arial" w:cs="Arial"/>
        </w:rPr>
        <w:t>хранения</w:t>
      </w:r>
      <w:proofErr w:type="spellEnd"/>
      <w:r w:rsidRPr="002C4420">
        <w:rPr>
          <w:rFonts w:ascii="Arial" w:hAnsi="Arial" w:cs="Arial"/>
        </w:rPr>
        <w:t>:</w:t>
      </w:r>
    </w:p>
    <w:p w14:paraId="6B1C0A29" w14:textId="77777777" w:rsidR="00E677AF" w:rsidRPr="002C4420" w:rsidRDefault="00E677AF" w:rsidP="00E677AF">
      <w:pPr>
        <w:pStyle w:val="1"/>
        <w:tabs>
          <w:tab w:val="clear" w:pos="1571"/>
          <w:tab w:val="num" w:pos="0"/>
          <w:tab w:val="num" w:pos="1540"/>
        </w:tabs>
        <w:ind w:left="0" w:firstLine="0"/>
        <w:jc w:val="left"/>
        <w:rPr>
          <w:rFonts w:cs="Arial"/>
          <w:sz w:val="24"/>
          <w:szCs w:val="24"/>
        </w:rPr>
      </w:pPr>
      <w:r w:rsidRPr="002C4420">
        <w:rPr>
          <w:rFonts w:cs="Arial"/>
          <w:sz w:val="24"/>
          <w:szCs w:val="24"/>
        </w:rPr>
        <w:t>21297* ОТВС;</w:t>
      </w:r>
    </w:p>
    <w:p w14:paraId="2DBEBEB5" w14:textId="77777777" w:rsidR="00E677AF" w:rsidRPr="002C4420" w:rsidRDefault="00E677AF" w:rsidP="00E677AF">
      <w:pPr>
        <w:pStyle w:val="1"/>
        <w:tabs>
          <w:tab w:val="clear" w:pos="1571"/>
          <w:tab w:val="num" w:pos="0"/>
          <w:tab w:val="num" w:pos="1540"/>
        </w:tabs>
        <w:ind w:left="0" w:firstLine="0"/>
        <w:jc w:val="left"/>
        <w:rPr>
          <w:rFonts w:cs="Arial"/>
          <w:sz w:val="24"/>
          <w:szCs w:val="24"/>
        </w:rPr>
      </w:pPr>
      <w:r w:rsidRPr="002C4420">
        <w:rPr>
          <w:rFonts w:cs="Arial"/>
          <w:sz w:val="24"/>
          <w:szCs w:val="24"/>
        </w:rPr>
        <w:t>1704 ОДП;</w:t>
      </w:r>
    </w:p>
    <w:p w14:paraId="09A6EA51" w14:textId="77777777" w:rsidR="00E677AF" w:rsidRPr="002C4420" w:rsidRDefault="00E677AF" w:rsidP="00E677AF">
      <w:pPr>
        <w:pStyle w:val="1"/>
        <w:tabs>
          <w:tab w:val="clear" w:pos="1571"/>
          <w:tab w:val="num" w:pos="0"/>
          <w:tab w:val="num" w:pos="1540"/>
        </w:tabs>
        <w:ind w:left="0" w:firstLine="0"/>
        <w:jc w:val="left"/>
        <w:rPr>
          <w:rFonts w:cs="Arial"/>
          <w:sz w:val="24"/>
          <w:szCs w:val="24"/>
        </w:rPr>
      </w:pPr>
      <w:r w:rsidRPr="002C4420">
        <w:rPr>
          <w:rFonts w:cs="Arial"/>
          <w:sz w:val="24"/>
          <w:szCs w:val="24"/>
        </w:rPr>
        <w:t>22921 УС, отделенных от ОТВС и ОДП в процессе их подготовки к хранению.</w:t>
      </w:r>
    </w:p>
    <w:p w14:paraId="6377E09E" w14:textId="77777777" w:rsidR="00E677AF" w:rsidRPr="002C4420" w:rsidRDefault="00E677AF" w:rsidP="00E677AF">
      <w:pPr>
        <w:pStyle w:val="1"/>
        <w:numPr>
          <w:ilvl w:val="0"/>
          <w:numId w:val="0"/>
        </w:numPr>
        <w:tabs>
          <w:tab w:val="num" w:pos="0"/>
        </w:tabs>
        <w:spacing w:before="120" w:after="120"/>
        <w:jc w:val="left"/>
        <w:rPr>
          <w:rFonts w:cs="Arial"/>
          <w:i/>
          <w:sz w:val="24"/>
          <w:szCs w:val="24"/>
        </w:rPr>
      </w:pPr>
      <w:r w:rsidRPr="002C4420">
        <w:rPr>
          <w:rFonts w:cs="Arial"/>
          <w:b/>
          <w:sz w:val="24"/>
          <w:szCs w:val="24"/>
        </w:rPr>
        <w:t>*Примечание:</w:t>
      </w:r>
      <w:r w:rsidRPr="002C4420">
        <w:rPr>
          <w:rFonts w:cs="Arial"/>
          <w:sz w:val="24"/>
          <w:szCs w:val="24"/>
        </w:rPr>
        <w:t xml:space="preserve"> </w:t>
      </w:r>
      <w:r w:rsidRPr="002C4420">
        <w:rPr>
          <w:rFonts w:cs="Arial"/>
          <w:i/>
          <w:sz w:val="24"/>
          <w:szCs w:val="24"/>
        </w:rPr>
        <w:t xml:space="preserve">Данное значение получено из расчета полной загрузки 229 ДСЭП, размещаемых на хранение. Таким образом, требование Технической спецификации (Дополнение №2) об обеспечении безопасного хранения 21 217 ОТВС соблюдено. Согласно проекту предусматривается поставка 231 ДСЭП, при этом 2 ДСЭП остаются в резерве. </w:t>
      </w:r>
    </w:p>
    <w:p w14:paraId="08F0FA46" w14:textId="77777777" w:rsidR="00E677AF" w:rsidRPr="002C4420" w:rsidRDefault="00E677AF" w:rsidP="00E677AF">
      <w:pPr>
        <w:tabs>
          <w:tab w:val="num" w:pos="0"/>
        </w:tabs>
        <w:rPr>
          <w:rFonts w:ascii="Arial" w:hAnsi="Arial" w:cs="Arial"/>
        </w:rPr>
      </w:pPr>
      <w:r w:rsidRPr="002C4420">
        <w:rPr>
          <w:rFonts w:ascii="Arial" w:hAnsi="Arial" w:cs="Arial"/>
        </w:rPr>
        <w:t xml:space="preserve">Система </w:t>
      </w:r>
      <w:proofErr w:type="spellStart"/>
      <w:r w:rsidRPr="002C4420">
        <w:rPr>
          <w:rFonts w:ascii="Arial" w:hAnsi="Arial" w:cs="Arial"/>
        </w:rPr>
        <w:t>обращения</w:t>
      </w:r>
      <w:proofErr w:type="spellEnd"/>
      <w:r w:rsidRPr="002C4420">
        <w:rPr>
          <w:rFonts w:ascii="Arial" w:hAnsi="Arial" w:cs="Arial"/>
        </w:rPr>
        <w:t xml:space="preserve"> с ОДП </w:t>
      </w:r>
      <w:proofErr w:type="spellStart"/>
      <w:r w:rsidRPr="002C4420">
        <w:rPr>
          <w:rFonts w:ascii="Arial" w:hAnsi="Arial" w:cs="Arial"/>
        </w:rPr>
        <w:t>предназначена</w:t>
      </w:r>
      <w:proofErr w:type="spellEnd"/>
      <w:r w:rsidRPr="002C4420">
        <w:rPr>
          <w:rFonts w:ascii="Arial" w:hAnsi="Arial" w:cs="Arial"/>
        </w:rPr>
        <w:t xml:space="preserve"> для </w:t>
      </w:r>
      <w:proofErr w:type="spellStart"/>
      <w:r w:rsidRPr="002C4420">
        <w:rPr>
          <w:rFonts w:ascii="Arial" w:hAnsi="Arial" w:cs="Arial"/>
        </w:rPr>
        <w:t>подготовки</w:t>
      </w:r>
      <w:proofErr w:type="spellEnd"/>
      <w:r w:rsidRPr="002C4420">
        <w:rPr>
          <w:rFonts w:ascii="Arial" w:hAnsi="Arial" w:cs="Arial"/>
        </w:rPr>
        <w:t xml:space="preserve"> к </w:t>
      </w:r>
      <w:proofErr w:type="spellStart"/>
      <w:r w:rsidRPr="002C4420">
        <w:rPr>
          <w:rFonts w:ascii="Arial" w:hAnsi="Arial" w:cs="Arial"/>
        </w:rPr>
        <w:t>хранению</w:t>
      </w:r>
      <w:proofErr w:type="spellEnd"/>
      <w:r w:rsidRPr="002C4420">
        <w:rPr>
          <w:rFonts w:ascii="Arial" w:hAnsi="Arial" w:cs="Arial"/>
        </w:rPr>
        <w:t xml:space="preserve"> и </w:t>
      </w:r>
      <w:proofErr w:type="spellStart"/>
      <w:r w:rsidRPr="002C4420">
        <w:rPr>
          <w:rFonts w:ascii="Arial" w:hAnsi="Arial" w:cs="Arial"/>
        </w:rPr>
        <w:t>длительного</w:t>
      </w:r>
      <w:proofErr w:type="spellEnd"/>
      <w:r w:rsidRPr="002C4420">
        <w:rPr>
          <w:rFonts w:ascii="Arial" w:hAnsi="Arial" w:cs="Arial"/>
        </w:rPr>
        <w:t xml:space="preserve"> </w:t>
      </w:r>
      <w:proofErr w:type="spellStart"/>
      <w:r w:rsidRPr="002C4420">
        <w:rPr>
          <w:rFonts w:ascii="Arial" w:hAnsi="Arial" w:cs="Arial"/>
        </w:rPr>
        <w:t>хранения</w:t>
      </w:r>
      <w:proofErr w:type="spellEnd"/>
      <w:r w:rsidRPr="002C4420">
        <w:rPr>
          <w:rFonts w:ascii="Arial" w:hAnsi="Arial" w:cs="Arial"/>
        </w:rPr>
        <w:t xml:space="preserve"> (100 лет) </w:t>
      </w:r>
      <w:proofErr w:type="spellStart"/>
      <w:r w:rsidRPr="002C4420">
        <w:rPr>
          <w:rFonts w:ascii="Arial" w:hAnsi="Arial" w:cs="Arial"/>
        </w:rPr>
        <w:t>полученных</w:t>
      </w:r>
      <w:proofErr w:type="spellEnd"/>
      <w:r w:rsidRPr="002C4420">
        <w:rPr>
          <w:rFonts w:ascii="Arial" w:hAnsi="Arial" w:cs="Arial"/>
        </w:rPr>
        <w:t xml:space="preserve"> в результате </w:t>
      </w:r>
      <w:proofErr w:type="spellStart"/>
      <w:r w:rsidRPr="002C4420">
        <w:rPr>
          <w:rFonts w:ascii="Arial" w:hAnsi="Arial" w:cs="Arial"/>
        </w:rPr>
        <w:t>эксплуатации</w:t>
      </w:r>
      <w:proofErr w:type="spellEnd"/>
      <w:r w:rsidRPr="002C4420">
        <w:rPr>
          <w:rFonts w:ascii="Arial" w:hAnsi="Arial" w:cs="Arial"/>
        </w:rPr>
        <w:t xml:space="preserve"> </w:t>
      </w:r>
      <w:proofErr w:type="spellStart"/>
      <w:r w:rsidRPr="002C4420">
        <w:rPr>
          <w:rFonts w:ascii="Arial" w:hAnsi="Arial" w:cs="Arial"/>
        </w:rPr>
        <w:t>энергоблоков</w:t>
      </w:r>
      <w:proofErr w:type="spellEnd"/>
      <w:r w:rsidRPr="002C4420">
        <w:rPr>
          <w:rFonts w:ascii="Arial" w:hAnsi="Arial" w:cs="Arial"/>
        </w:rPr>
        <w:t xml:space="preserve"> ЧАЭС </w:t>
      </w:r>
      <w:proofErr w:type="spellStart"/>
      <w:r w:rsidRPr="002C4420">
        <w:rPr>
          <w:rFonts w:ascii="Arial" w:hAnsi="Arial" w:cs="Arial"/>
        </w:rPr>
        <w:t>отработавших</w:t>
      </w:r>
      <w:proofErr w:type="spellEnd"/>
      <w:r w:rsidRPr="002C4420">
        <w:rPr>
          <w:rFonts w:ascii="Arial" w:hAnsi="Arial" w:cs="Arial"/>
        </w:rPr>
        <w:t xml:space="preserve"> </w:t>
      </w:r>
      <w:proofErr w:type="spellStart"/>
      <w:r w:rsidRPr="002C4420">
        <w:rPr>
          <w:rFonts w:ascii="Arial" w:hAnsi="Arial" w:cs="Arial"/>
        </w:rPr>
        <w:t>дополнительных</w:t>
      </w:r>
      <w:proofErr w:type="spellEnd"/>
      <w:r w:rsidRPr="002C4420">
        <w:rPr>
          <w:rFonts w:ascii="Arial" w:hAnsi="Arial" w:cs="Arial"/>
        </w:rPr>
        <w:t xml:space="preserve"> </w:t>
      </w:r>
      <w:proofErr w:type="spellStart"/>
      <w:r w:rsidRPr="002C4420">
        <w:rPr>
          <w:rFonts w:ascii="Arial" w:hAnsi="Arial" w:cs="Arial"/>
        </w:rPr>
        <w:t>поглотителей</w:t>
      </w:r>
      <w:proofErr w:type="spellEnd"/>
      <w:r w:rsidRPr="002C4420">
        <w:rPr>
          <w:rFonts w:ascii="Arial" w:hAnsi="Arial" w:cs="Arial"/>
        </w:rPr>
        <w:t xml:space="preserve">, </w:t>
      </w:r>
      <w:proofErr w:type="spellStart"/>
      <w:r w:rsidRPr="002C4420">
        <w:rPr>
          <w:rFonts w:ascii="Arial" w:hAnsi="Arial" w:cs="Arial"/>
        </w:rPr>
        <w:t>которые</w:t>
      </w:r>
      <w:proofErr w:type="spellEnd"/>
      <w:r w:rsidRPr="002C4420">
        <w:rPr>
          <w:rFonts w:ascii="Arial" w:hAnsi="Arial" w:cs="Arial"/>
        </w:rPr>
        <w:t xml:space="preserve"> </w:t>
      </w:r>
      <w:proofErr w:type="spellStart"/>
      <w:r w:rsidRPr="002C4420">
        <w:rPr>
          <w:rFonts w:ascii="Arial" w:hAnsi="Arial" w:cs="Arial"/>
        </w:rPr>
        <w:t>использовались</w:t>
      </w:r>
      <w:proofErr w:type="spellEnd"/>
      <w:r w:rsidRPr="002C4420">
        <w:rPr>
          <w:rFonts w:ascii="Arial" w:hAnsi="Arial" w:cs="Arial"/>
        </w:rPr>
        <w:t xml:space="preserve"> для </w:t>
      </w:r>
      <w:proofErr w:type="spellStart"/>
      <w:r w:rsidRPr="002C4420">
        <w:rPr>
          <w:rFonts w:ascii="Arial" w:hAnsi="Arial" w:cs="Arial"/>
        </w:rPr>
        <w:t>снижения</w:t>
      </w:r>
      <w:proofErr w:type="spellEnd"/>
      <w:r w:rsidRPr="002C4420">
        <w:rPr>
          <w:rFonts w:ascii="Arial" w:hAnsi="Arial" w:cs="Arial"/>
        </w:rPr>
        <w:t xml:space="preserve"> парового </w:t>
      </w:r>
      <w:proofErr w:type="spellStart"/>
      <w:r w:rsidRPr="002C4420">
        <w:rPr>
          <w:rFonts w:ascii="Arial" w:hAnsi="Arial" w:cs="Arial"/>
        </w:rPr>
        <w:t>коэффициента</w:t>
      </w:r>
      <w:proofErr w:type="spellEnd"/>
      <w:r w:rsidRPr="002C4420">
        <w:rPr>
          <w:rFonts w:ascii="Arial" w:hAnsi="Arial" w:cs="Arial"/>
        </w:rPr>
        <w:t xml:space="preserve"> </w:t>
      </w:r>
      <w:proofErr w:type="spellStart"/>
      <w:r w:rsidRPr="002C4420">
        <w:rPr>
          <w:rFonts w:ascii="Arial" w:hAnsi="Arial" w:cs="Arial"/>
        </w:rPr>
        <w:t>реактивности</w:t>
      </w:r>
      <w:proofErr w:type="spellEnd"/>
      <w:r w:rsidRPr="002C4420">
        <w:rPr>
          <w:rFonts w:ascii="Arial" w:hAnsi="Arial" w:cs="Arial"/>
        </w:rPr>
        <w:t xml:space="preserve">. </w:t>
      </w:r>
    </w:p>
    <w:p w14:paraId="1FBDFFFC" w14:textId="77777777" w:rsidR="00E677AF" w:rsidRPr="002C4420" w:rsidRDefault="00E677AF" w:rsidP="00E677AF">
      <w:pPr>
        <w:tabs>
          <w:tab w:val="num" w:pos="0"/>
        </w:tabs>
        <w:rPr>
          <w:rFonts w:ascii="Arial" w:hAnsi="Arial" w:cs="Arial"/>
        </w:rPr>
      </w:pPr>
      <w:proofErr w:type="spellStart"/>
      <w:r w:rsidRPr="002C4420">
        <w:rPr>
          <w:rFonts w:ascii="Arial" w:hAnsi="Arial" w:cs="Arial"/>
        </w:rPr>
        <w:t>Дополнительные</w:t>
      </w:r>
      <w:proofErr w:type="spellEnd"/>
      <w:r w:rsidRPr="002C4420">
        <w:rPr>
          <w:rFonts w:ascii="Arial" w:hAnsi="Arial" w:cs="Arial"/>
        </w:rPr>
        <w:t xml:space="preserve"> </w:t>
      </w:r>
      <w:proofErr w:type="spellStart"/>
      <w:r w:rsidRPr="002C4420">
        <w:rPr>
          <w:rFonts w:ascii="Arial" w:hAnsi="Arial" w:cs="Arial"/>
        </w:rPr>
        <w:t>поглотители</w:t>
      </w:r>
      <w:proofErr w:type="spellEnd"/>
      <w:r w:rsidRPr="002C4420">
        <w:rPr>
          <w:rFonts w:ascii="Arial" w:hAnsi="Arial" w:cs="Arial"/>
        </w:rPr>
        <w:t xml:space="preserve"> не </w:t>
      </w:r>
      <w:proofErr w:type="spellStart"/>
      <w:r w:rsidRPr="002C4420">
        <w:rPr>
          <w:rFonts w:ascii="Arial" w:hAnsi="Arial" w:cs="Arial"/>
        </w:rPr>
        <w:t>содержат</w:t>
      </w:r>
      <w:proofErr w:type="spellEnd"/>
      <w:r w:rsidRPr="002C4420">
        <w:rPr>
          <w:rFonts w:ascii="Arial" w:hAnsi="Arial" w:cs="Arial"/>
        </w:rPr>
        <w:t xml:space="preserve"> </w:t>
      </w:r>
      <w:proofErr w:type="spellStart"/>
      <w:r w:rsidRPr="002C4420">
        <w:rPr>
          <w:rFonts w:ascii="Arial" w:hAnsi="Arial" w:cs="Arial"/>
        </w:rPr>
        <w:t>делящихся</w:t>
      </w:r>
      <w:proofErr w:type="spellEnd"/>
      <w:r w:rsidRPr="002C4420">
        <w:rPr>
          <w:rFonts w:ascii="Arial" w:hAnsi="Arial" w:cs="Arial"/>
        </w:rPr>
        <w:t xml:space="preserve"> </w:t>
      </w:r>
      <w:proofErr w:type="spellStart"/>
      <w:r w:rsidRPr="002C4420">
        <w:rPr>
          <w:rFonts w:ascii="Arial" w:hAnsi="Arial" w:cs="Arial"/>
        </w:rPr>
        <w:t>изотопов</w:t>
      </w:r>
      <w:proofErr w:type="spellEnd"/>
      <w:r w:rsidRPr="002C4420">
        <w:rPr>
          <w:rFonts w:ascii="Arial" w:hAnsi="Arial" w:cs="Arial"/>
        </w:rPr>
        <w:t xml:space="preserve">. При </w:t>
      </w:r>
      <w:proofErr w:type="spellStart"/>
      <w:r w:rsidRPr="002C4420">
        <w:rPr>
          <w:rFonts w:ascii="Arial" w:hAnsi="Arial" w:cs="Arial"/>
        </w:rPr>
        <w:t>нахождении</w:t>
      </w:r>
      <w:proofErr w:type="spellEnd"/>
      <w:r w:rsidRPr="002C4420">
        <w:rPr>
          <w:rFonts w:ascii="Arial" w:hAnsi="Arial" w:cs="Arial"/>
        </w:rPr>
        <w:t xml:space="preserve"> в </w:t>
      </w:r>
      <w:proofErr w:type="spellStart"/>
      <w:r w:rsidRPr="002C4420">
        <w:rPr>
          <w:rFonts w:ascii="Arial" w:hAnsi="Arial" w:cs="Arial"/>
        </w:rPr>
        <w:t>активной</w:t>
      </w:r>
      <w:proofErr w:type="spellEnd"/>
      <w:r w:rsidRPr="002C4420">
        <w:rPr>
          <w:rFonts w:ascii="Arial" w:hAnsi="Arial" w:cs="Arial"/>
        </w:rPr>
        <w:t xml:space="preserve"> </w:t>
      </w:r>
      <w:proofErr w:type="spellStart"/>
      <w:r w:rsidRPr="002C4420">
        <w:rPr>
          <w:rFonts w:ascii="Arial" w:hAnsi="Arial" w:cs="Arial"/>
        </w:rPr>
        <w:t>зоне</w:t>
      </w:r>
      <w:proofErr w:type="spellEnd"/>
      <w:r w:rsidRPr="002C4420">
        <w:rPr>
          <w:rFonts w:ascii="Arial" w:hAnsi="Arial" w:cs="Arial"/>
        </w:rPr>
        <w:t xml:space="preserve"> реактора </w:t>
      </w:r>
      <w:proofErr w:type="spellStart"/>
      <w:r w:rsidRPr="002C4420">
        <w:rPr>
          <w:rFonts w:ascii="Arial" w:hAnsi="Arial" w:cs="Arial"/>
        </w:rPr>
        <w:t>они</w:t>
      </w:r>
      <w:proofErr w:type="spellEnd"/>
      <w:r w:rsidRPr="002C4420">
        <w:rPr>
          <w:rFonts w:ascii="Arial" w:hAnsi="Arial" w:cs="Arial"/>
        </w:rPr>
        <w:t xml:space="preserve"> </w:t>
      </w:r>
      <w:proofErr w:type="spellStart"/>
      <w:r w:rsidRPr="002C4420">
        <w:rPr>
          <w:rFonts w:ascii="Arial" w:hAnsi="Arial" w:cs="Arial"/>
        </w:rPr>
        <w:t>активируются</w:t>
      </w:r>
      <w:proofErr w:type="spellEnd"/>
      <w:r w:rsidRPr="002C4420">
        <w:rPr>
          <w:rFonts w:ascii="Arial" w:hAnsi="Arial" w:cs="Arial"/>
        </w:rPr>
        <w:t xml:space="preserve"> за </w:t>
      </w:r>
      <w:proofErr w:type="spellStart"/>
      <w:r w:rsidRPr="002C4420">
        <w:rPr>
          <w:rFonts w:ascii="Arial" w:hAnsi="Arial" w:cs="Arial"/>
        </w:rPr>
        <w:t>счет</w:t>
      </w:r>
      <w:proofErr w:type="spellEnd"/>
      <w:r w:rsidRPr="002C4420">
        <w:rPr>
          <w:rFonts w:ascii="Arial" w:hAnsi="Arial" w:cs="Arial"/>
        </w:rPr>
        <w:t xml:space="preserve"> </w:t>
      </w:r>
      <w:proofErr w:type="spellStart"/>
      <w:r w:rsidRPr="002C4420">
        <w:rPr>
          <w:rFonts w:ascii="Arial" w:hAnsi="Arial" w:cs="Arial"/>
        </w:rPr>
        <w:t>облучения</w:t>
      </w:r>
      <w:proofErr w:type="spellEnd"/>
      <w:r w:rsidRPr="002C4420">
        <w:rPr>
          <w:rFonts w:ascii="Arial" w:hAnsi="Arial" w:cs="Arial"/>
        </w:rPr>
        <w:t xml:space="preserve"> и </w:t>
      </w:r>
      <w:proofErr w:type="spellStart"/>
      <w:r w:rsidRPr="002C4420">
        <w:rPr>
          <w:rFonts w:ascii="Arial" w:hAnsi="Arial" w:cs="Arial"/>
        </w:rPr>
        <w:t>осаждения</w:t>
      </w:r>
      <w:proofErr w:type="spellEnd"/>
      <w:r w:rsidRPr="002C4420">
        <w:rPr>
          <w:rFonts w:ascii="Arial" w:hAnsi="Arial" w:cs="Arial"/>
        </w:rPr>
        <w:t xml:space="preserve"> на </w:t>
      </w:r>
      <w:proofErr w:type="spellStart"/>
      <w:r w:rsidRPr="002C4420">
        <w:rPr>
          <w:rFonts w:ascii="Arial" w:hAnsi="Arial" w:cs="Arial"/>
        </w:rPr>
        <w:t>их</w:t>
      </w:r>
      <w:proofErr w:type="spellEnd"/>
      <w:r w:rsidRPr="002C4420">
        <w:rPr>
          <w:rFonts w:ascii="Arial" w:hAnsi="Arial" w:cs="Arial"/>
        </w:rPr>
        <w:t xml:space="preserve"> </w:t>
      </w:r>
      <w:proofErr w:type="spellStart"/>
      <w:r w:rsidRPr="002C4420">
        <w:rPr>
          <w:rFonts w:ascii="Arial" w:hAnsi="Arial" w:cs="Arial"/>
        </w:rPr>
        <w:t>поверхности</w:t>
      </w:r>
      <w:proofErr w:type="spellEnd"/>
      <w:r w:rsidRPr="002C4420">
        <w:rPr>
          <w:rFonts w:ascii="Arial" w:hAnsi="Arial" w:cs="Arial"/>
        </w:rPr>
        <w:t xml:space="preserve"> </w:t>
      </w:r>
      <w:proofErr w:type="spellStart"/>
      <w:r w:rsidRPr="002C4420">
        <w:rPr>
          <w:rFonts w:ascii="Arial" w:hAnsi="Arial" w:cs="Arial"/>
        </w:rPr>
        <w:t>радиоактивных</w:t>
      </w:r>
      <w:proofErr w:type="spellEnd"/>
      <w:r w:rsidRPr="002C4420">
        <w:rPr>
          <w:rFonts w:ascii="Arial" w:hAnsi="Arial" w:cs="Arial"/>
        </w:rPr>
        <w:t xml:space="preserve"> </w:t>
      </w:r>
      <w:proofErr w:type="spellStart"/>
      <w:r w:rsidRPr="002C4420">
        <w:rPr>
          <w:rFonts w:ascii="Arial" w:hAnsi="Arial" w:cs="Arial"/>
        </w:rPr>
        <w:t>продуктов</w:t>
      </w:r>
      <w:proofErr w:type="spellEnd"/>
      <w:r w:rsidRPr="002C4420">
        <w:rPr>
          <w:rFonts w:ascii="Arial" w:hAnsi="Arial" w:cs="Arial"/>
        </w:rPr>
        <w:t xml:space="preserve"> </w:t>
      </w:r>
      <w:proofErr w:type="spellStart"/>
      <w:r w:rsidRPr="002C4420">
        <w:rPr>
          <w:rFonts w:ascii="Arial" w:hAnsi="Arial" w:cs="Arial"/>
        </w:rPr>
        <w:t>коррозии</w:t>
      </w:r>
      <w:proofErr w:type="spellEnd"/>
      <w:r w:rsidRPr="002C4420">
        <w:rPr>
          <w:rFonts w:ascii="Arial" w:hAnsi="Arial" w:cs="Arial"/>
        </w:rPr>
        <w:t xml:space="preserve">. В ХОЯТ-2 </w:t>
      </w:r>
      <w:proofErr w:type="spellStart"/>
      <w:r w:rsidRPr="002C4420">
        <w:rPr>
          <w:rFonts w:ascii="Arial" w:hAnsi="Arial" w:cs="Arial"/>
        </w:rPr>
        <w:t>направляются</w:t>
      </w:r>
      <w:proofErr w:type="spellEnd"/>
      <w:r w:rsidRPr="002C4420">
        <w:rPr>
          <w:rFonts w:ascii="Arial" w:hAnsi="Arial" w:cs="Arial"/>
        </w:rPr>
        <w:t xml:space="preserve"> на </w:t>
      </w:r>
      <w:proofErr w:type="spellStart"/>
      <w:r w:rsidRPr="002C4420">
        <w:rPr>
          <w:rFonts w:ascii="Arial" w:hAnsi="Arial" w:cs="Arial"/>
        </w:rPr>
        <w:t>хранение</w:t>
      </w:r>
      <w:proofErr w:type="spellEnd"/>
      <w:r w:rsidRPr="002C4420">
        <w:rPr>
          <w:rFonts w:ascii="Arial" w:hAnsi="Arial" w:cs="Arial"/>
        </w:rPr>
        <w:t xml:space="preserve"> ОДП </w:t>
      </w:r>
      <w:proofErr w:type="spellStart"/>
      <w:r w:rsidRPr="002C4420">
        <w:rPr>
          <w:rFonts w:ascii="Arial" w:hAnsi="Arial" w:cs="Arial"/>
        </w:rPr>
        <w:t>двух</w:t>
      </w:r>
      <w:proofErr w:type="spellEnd"/>
      <w:r w:rsidRPr="002C4420">
        <w:rPr>
          <w:rFonts w:ascii="Arial" w:hAnsi="Arial" w:cs="Arial"/>
        </w:rPr>
        <w:t xml:space="preserve"> </w:t>
      </w:r>
      <w:proofErr w:type="spellStart"/>
      <w:r w:rsidRPr="002C4420">
        <w:rPr>
          <w:rFonts w:ascii="Arial" w:hAnsi="Arial" w:cs="Arial"/>
        </w:rPr>
        <w:t>типов</w:t>
      </w:r>
      <w:proofErr w:type="spellEnd"/>
      <w:r w:rsidRPr="002C4420">
        <w:rPr>
          <w:rFonts w:ascii="Arial" w:hAnsi="Arial" w:cs="Arial"/>
        </w:rPr>
        <w:t>:</w:t>
      </w:r>
    </w:p>
    <w:p w14:paraId="571234FF" w14:textId="77777777" w:rsidR="00E677AF" w:rsidRPr="002C4420" w:rsidRDefault="00E677AF" w:rsidP="00E677AF">
      <w:pPr>
        <w:pStyle w:val="1"/>
        <w:tabs>
          <w:tab w:val="num" w:pos="0"/>
        </w:tabs>
        <w:ind w:left="0" w:firstLine="0"/>
        <w:jc w:val="left"/>
        <w:rPr>
          <w:rFonts w:cs="Arial"/>
          <w:sz w:val="24"/>
          <w:szCs w:val="24"/>
        </w:rPr>
      </w:pPr>
      <w:r w:rsidRPr="002C4420">
        <w:rPr>
          <w:rFonts w:cs="Arial"/>
          <w:sz w:val="24"/>
          <w:szCs w:val="24"/>
        </w:rPr>
        <w:t>штатные ОДП в количестве 1610 шт.;</w:t>
      </w:r>
    </w:p>
    <w:p w14:paraId="7087FB4B" w14:textId="77777777" w:rsidR="00E677AF" w:rsidRPr="002C4420" w:rsidRDefault="00E677AF" w:rsidP="00E677AF">
      <w:pPr>
        <w:pStyle w:val="1"/>
        <w:tabs>
          <w:tab w:val="num" w:pos="0"/>
        </w:tabs>
        <w:ind w:left="0" w:firstLine="0"/>
        <w:jc w:val="left"/>
        <w:rPr>
          <w:rFonts w:cs="Arial"/>
          <w:sz w:val="24"/>
          <w:szCs w:val="24"/>
        </w:rPr>
      </w:pPr>
      <w:r w:rsidRPr="002C4420">
        <w:rPr>
          <w:rFonts w:cs="Arial"/>
          <w:sz w:val="24"/>
          <w:szCs w:val="24"/>
        </w:rPr>
        <w:t>ОДП кластерного типа в количестве 94 шт.</w:t>
      </w:r>
    </w:p>
    <w:p w14:paraId="2BC0523A" w14:textId="77777777" w:rsidR="00E677AF" w:rsidRDefault="00E677AF" w:rsidP="00E677AF">
      <w:pPr>
        <w:pStyle w:val="BodyText"/>
        <w:tabs>
          <w:tab w:val="num" w:pos="0"/>
        </w:tabs>
        <w:spacing w:before="120" w:after="220"/>
        <w:jc w:val="left"/>
        <w:rPr>
          <w:rFonts w:cs="Arial"/>
          <w:sz w:val="24"/>
          <w:szCs w:val="24"/>
        </w:rPr>
      </w:pPr>
      <w:r w:rsidRPr="002C4420">
        <w:rPr>
          <w:rFonts w:cs="Arial"/>
          <w:sz w:val="24"/>
          <w:szCs w:val="24"/>
        </w:rPr>
        <w:t>Доставка ОДП на ХОЯТ-2 осуществляется с помощью вагон-контейнера. В УПОТХ производится прием вагон-контейнера и выгрузка ЧТП в «горячую» камеру (пом. 501). ОДП при помощи крана размещается на поворотном столе, закрепляется и переводится в горизонтальное положение, после чего от него отделяется удлиняющий стержень. Далее ОДП загружается в горизонтально расположенную гильзу, установленную в северо-восточной части помещения 501. Гильза закрывается фильтрующими вентилируемыми крышками, что обеспечит возможность выхода водяных паров. После этого гильза отсоединяется, кантуется в вертикальное положение и опускается на специальную стойку в экранированном помещении ХОЯТ</w:t>
      </w:r>
      <w:r w:rsidRPr="002C4420">
        <w:rPr>
          <w:rFonts w:cs="Arial"/>
          <w:sz w:val="24"/>
          <w:szCs w:val="24"/>
        </w:rPr>
        <w:noBreakHyphen/>
        <w:t xml:space="preserve">2. Затем гильзу с загруженным ОДП снимают со стойки и по экранированному коридору перемещают в помещение со стеллажами для </w:t>
      </w:r>
    </w:p>
    <w:p w14:paraId="0C1F36CB" w14:textId="77777777" w:rsidR="00E677AF" w:rsidRDefault="00E677AF" w:rsidP="00E677AF">
      <w:pPr>
        <w:pStyle w:val="BodyText"/>
        <w:tabs>
          <w:tab w:val="num" w:pos="0"/>
        </w:tabs>
        <w:spacing w:before="120" w:after="220"/>
        <w:jc w:val="left"/>
        <w:rPr>
          <w:rFonts w:cs="Arial"/>
          <w:sz w:val="24"/>
          <w:szCs w:val="24"/>
        </w:rPr>
      </w:pPr>
    </w:p>
    <w:p w14:paraId="2485B44F" w14:textId="77777777" w:rsidR="00E677AF" w:rsidRDefault="00E677AF" w:rsidP="00E677AF">
      <w:pPr>
        <w:pStyle w:val="BodyText"/>
        <w:tabs>
          <w:tab w:val="num" w:pos="0"/>
        </w:tabs>
        <w:spacing w:before="120" w:after="220"/>
        <w:jc w:val="left"/>
        <w:rPr>
          <w:rFonts w:cs="Arial"/>
          <w:sz w:val="24"/>
          <w:szCs w:val="24"/>
        </w:rPr>
      </w:pPr>
    </w:p>
    <w:p w14:paraId="3862F4C5" w14:textId="77777777" w:rsidR="00E677AF" w:rsidRDefault="00E677AF" w:rsidP="00E677AF">
      <w:pPr>
        <w:pStyle w:val="BodyText"/>
        <w:tabs>
          <w:tab w:val="num" w:pos="0"/>
        </w:tabs>
        <w:spacing w:before="120" w:after="220"/>
        <w:jc w:val="left"/>
        <w:rPr>
          <w:rFonts w:cs="Arial"/>
          <w:sz w:val="24"/>
          <w:szCs w:val="24"/>
        </w:rPr>
      </w:pPr>
    </w:p>
    <w:p w14:paraId="4754FAA4" w14:textId="77777777" w:rsidR="00E677AF" w:rsidRDefault="00E677AF" w:rsidP="00E677AF">
      <w:pPr>
        <w:pStyle w:val="BodyText"/>
        <w:tabs>
          <w:tab w:val="num" w:pos="0"/>
        </w:tabs>
        <w:spacing w:before="120" w:after="220"/>
        <w:jc w:val="left"/>
        <w:rPr>
          <w:rFonts w:cs="Arial"/>
          <w:sz w:val="24"/>
          <w:szCs w:val="24"/>
        </w:rPr>
      </w:pPr>
    </w:p>
    <w:p w14:paraId="22202D96" w14:textId="77777777" w:rsidR="00E677AF" w:rsidRPr="002C4420" w:rsidRDefault="00E677AF" w:rsidP="00E677AF">
      <w:pPr>
        <w:pStyle w:val="BodyText"/>
        <w:tabs>
          <w:tab w:val="num" w:pos="0"/>
        </w:tabs>
        <w:spacing w:before="120" w:after="220"/>
        <w:jc w:val="left"/>
        <w:rPr>
          <w:rFonts w:cs="Arial"/>
          <w:sz w:val="24"/>
          <w:szCs w:val="24"/>
        </w:rPr>
      </w:pPr>
      <w:r w:rsidRPr="002C4420">
        <w:rPr>
          <w:rFonts w:cs="Arial"/>
          <w:sz w:val="24"/>
          <w:szCs w:val="24"/>
        </w:rPr>
        <w:t xml:space="preserve">хранения, где она хранится в вертикальном положении на стеллаже вместе с другими гильзами с ОДП в течение 100 лет. </w:t>
      </w:r>
    </w:p>
    <w:p w14:paraId="47819C53" w14:textId="77777777" w:rsidR="00E677AF" w:rsidRPr="002C4420" w:rsidRDefault="00E677AF" w:rsidP="00E677AF">
      <w:pPr>
        <w:pStyle w:val="Heading1"/>
        <w:pageBreakBefore w:val="0"/>
        <w:tabs>
          <w:tab w:val="clear" w:pos="851"/>
          <w:tab w:val="num" w:pos="0"/>
        </w:tabs>
        <w:spacing w:before="220"/>
        <w:ind w:left="0" w:firstLine="0"/>
        <w:rPr>
          <w:rFonts w:cs="Arial"/>
          <w:sz w:val="24"/>
          <w:szCs w:val="24"/>
        </w:rPr>
      </w:pPr>
      <w:bookmarkStart w:id="0" w:name="_Toc289937536"/>
      <w:bookmarkStart w:id="1" w:name="_Toc289944670"/>
      <w:bookmarkStart w:id="2" w:name="_Toc289944759"/>
      <w:bookmarkStart w:id="3" w:name="_Toc289944779"/>
      <w:bookmarkStart w:id="4" w:name="_Toc289950586"/>
      <w:bookmarkStart w:id="5" w:name="_Toc289950717"/>
      <w:bookmarkStart w:id="6" w:name="_Toc289937537"/>
      <w:bookmarkStart w:id="7" w:name="_Toc289944671"/>
      <w:bookmarkStart w:id="8" w:name="_Toc289944760"/>
      <w:bookmarkStart w:id="9" w:name="_Toc289944780"/>
      <w:bookmarkStart w:id="10" w:name="_Toc289950587"/>
      <w:bookmarkStart w:id="11" w:name="_Toc289950718"/>
      <w:bookmarkStart w:id="12" w:name="_Toc289859095"/>
      <w:bookmarkStart w:id="13" w:name="_Toc292781940"/>
      <w:bookmarkEnd w:id="0"/>
      <w:bookmarkEnd w:id="1"/>
      <w:bookmarkEnd w:id="2"/>
      <w:bookmarkEnd w:id="3"/>
      <w:bookmarkEnd w:id="4"/>
      <w:bookmarkEnd w:id="5"/>
      <w:bookmarkEnd w:id="6"/>
      <w:bookmarkEnd w:id="7"/>
      <w:bookmarkEnd w:id="8"/>
      <w:bookmarkEnd w:id="9"/>
      <w:bookmarkEnd w:id="10"/>
      <w:bookmarkEnd w:id="11"/>
      <w:r w:rsidRPr="002C4420">
        <w:rPr>
          <w:rFonts w:cs="Arial"/>
          <w:sz w:val="24"/>
          <w:szCs w:val="24"/>
        </w:rPr>
        <w:t>Цель модификации, обоснование необходимости ее выполнения</w:t>
      </w:r>
      <w:bookmarkEnd w:id="12"/>
      <w:bookmarkEnd w:id="13"/>
    </w:p>
    <w:p w14:paraId="5256E4E8" w14:textId="77777777" w:rsidR="00E677AF" w:rsidRPr="002C4420" w:rsidRDefault="00E677AF" w:rsidP="00E677AF">
      <w:pPr>
        <w:pStyle w:val="Heading2"/>
        <w:tabs>
          <w:tab w:val="clear" w:pos="1277"/>
          <w:tab w:val="num" w:pos="0"/>
        </w:tabs>
        <w:ind w:left="0" w:firstLine="0"/>
        <w:jc w:val="left"/>
        <w:rPr>
          <w:rFonts w:cs="Arial"/>
          <w:sz w:val="24"/>
          <w:szCs w:val="24"/>
        </w:rPr>
      </w:pPr>
      <w:bookmarkStart w:id="14" w:name="_Toc3964188"/>
      <w:r w:rsidRPr="002C4420">
        <w:rPr>
          <w:rFonts w:cs="Arial"/>
          <w:sz w:val="24"/>
          <w:szCs w:val="24"/>
        </w:rPr>
        <w:t xml:space="preserve">Целью модификации является повышение уровня безопасности ХОЯТ-2 и надежности его систем вследствие упрощения технологического процесса в УПОТХ. ХОЯТ-2 будет использовано только для обращения с отработавшим ядерным топливом Чернобыльской АЭС. </w:t>
      </w:r>
    </w:p>
    <w:p w14:paraId="6A98806E" w14:textId="77777777" w:rsidR="00E677AF" w:rsidRPr="002C4420" w:rsidRDefault="00E677AF" w:rsidP="00E677AF">
      <w:pPr>
        <w:pStyle w:val="Heading2"/>
        <w:tabs>
          <w:tab w:val="clear" w:pos="1277"/>
          <w:tab w:val="num" w:pos="0"/>
        </w:tabs>
        <w:ind w:left="0" w:firstLine="0"/>
        <w:jc w:val="left"/>
        <w:rPr>
          <w:rFonts w:cs="Arial"/>
          <w:sz w:val="24"/>
          <w:szCs w:val="24"/>
        </w:rPr>
      </w:pPr>
      <w:r w:rsidRPr="002C4420">
        <w:rPr>
          <w:rFonts w:cs="Arial"/>
          <w:sz w:val="24"/>
          <w:szCs w:val="24"/>
        </w:rPr>
        <w:t>Реализация модификации и, соответственно, исключение обращения с ОДП приведет к снижению рисков при эксплуатации ХОЯТ-2, вследствие:</w:t>
      </w:r>
    </w:p>
    <w:p w14:paraId="7783E83B" w14:textId="77777777" w:rsidR="00E677AF" w:rsidRPr="002C4420" w:rsidRDefault="00E677AF" w:rsidP="00E677AF">
      <w:pPr>
        <w:pStyle w:val="1"/>
        <w:tabs>
          <w:tab w:val="clear" w:pos="1571"/>
          <w:tab w:val="num" w:pos="0"/>
          <w:tab w:val="num" w:pos="1540"/>
        </w:tabs>
        <w:ind w:left="0" w:firstLine="0"/>
        <w:jc w:val="left"/>
        <w:rPr>
          <w:rFonts w:cs="Arial"/>
          <w:sz w:val="24"/>
          <w:szCs w:val="24"/>
        </w:rPr>
      </w:pPr>
      <w:r w:rsidRPr="002C4420">
        <w:rPr>
          <w:rFonts w:cs="Arial"/>
          <w:sz w:val="24"/>
          <w:szCs w:val="24"/>
        </w:rPr>
        <w:t>снижения дозовых нагрузок на персонал за счет уменьшения объемов выполняемых радиационно-опасных работ: основных технологических операций, ТО и Р, дезактивации оборудования (согласно п.15.3.4.3 ПОАБ ХОЯТ-2 ред.5 коллективная годовая доза облучения на рабочем месте оператора при обращении с ОДП составит 9,84 чел.</w:t>
      </w:r>
      <w:r w:rsidRPr="002C4420">
        <w:rPr>
          <w:rFonts w:cs="Arial"/>
          <w:sz w:val="24"/>
          <w:szCs w:val="24"/>
        </w:rPr>
        <w:noBreakHyphen/>
      </w:r>
      <w:proofErr w:type="spellStart"/>
      <w:r w:rsidRPr="002C4420">
        <w:rPr>
          <w:rFonts w:cs="Arial"/>
          <w:sz w:val="24"/>
          <w:szCs w:val="24"/>
        </w:rPr>
        <w:t>мЗв</w:t>
      </w:r>
      <w:proofErr w:type="spellEnd"/>
      <w:r w:rsidRPr="002C4420">
        <w:rPr>
          <w:rFonts w:cs="Arial"/>
          <w:sz w:val="24"/>
          <w:szCs w:val="24"/>
        </w:rPr>
        <w:t>);</w:t>
      </w:r>
    </w:p>
    <w:p w14:paraId="1A710B55" w14:textId="77777777" w:rsidR="00E677AF" w:rsidRPr="002C4420" w:rsidRDefault="00E677AF" w:rsidP="00E677AF">
      <w:pPr>
        <w:pStyle w:val="1"/>
        <w:tabs>
          <w:tab w:val="clear" w:pos="1571"/>
          <w:tab w:val="num" w:pos="0"/>
          <w:tab w:val="num" w:pos="1540"/>
        </w:tabs>
        <w:ind w:left="0" w:firstLine="0"/>
        <w:jc w:val="left"/>
        <w:rPr>
          <w:rFonts w:cs="Arial"/>
          <w:sz w:val="24"/>
          <w:szCs w:val="24"/>
        </w:rPr>
      </w:pPr>
      <w:r w:rsidRPr="002C4420">
        <w:rPr>
          <w:rFonts w:cs="Arial"/>
          <w:sz w:val="24"/>
          <w:szCs w:val="24"/>
        </w:rPr>
        <w:t>сокращения перечня исходных событий проектных аварий;</w:t>
      </w:r>
    </w:p>
    <w:p w14:paraId="7DCC84EE" w14:textId="77777777" w:rsidR="00E677AF" w:rsidRPr="002C4420" w:rsidRDefault="00E677AF" w:rsidP="00E677AF">
      <w:pPr>
        <w:pStyle w:val="1"/>
        <w:tabs>
          <w:tab w:val="clear" w:pos="1571"/>
          <w:tab w:val="num" w:pos="0"/>
          <w:tab w:val="num" w:pos="1540"/>
        </w:tabs>
        <w:ind w:left="0" w:firstLine="0"/>
        <w:jc w:val="left"/>
        <w:rPr>
          <w:rFonts w:cs="Arial"/>
          <w:sz w:val="24"/>
          <w:szCs w:val="24"/>
        </w:rPr>
      </w:pPr>
      <w:r w:rsidRPr="002C4420">
        <w:rPr>
          <w:rFonts w:cs="Arial"/>
          <w:sz w:val="24"/>
          <w:szCs w:val="24"/>
        </w:rPr>
        <w:t>повышения надежности установки за счет упрощения технологического процесса вследствие уменьшения выполняемых операций и возможности оптимального размещения оборудования по обращению с ОЯТ в помещении 501 УПОТХ за счет исключения оборудования по обращению с ОДП;</w:t>
      </w:r>
    </w:p>
    <w:p w14:paraId="2A14A27C" w14:textId="77777777" w:rsidR="00E677AF" w:rsidRPr="002C4420" w:rsidRDefault="00E677AF" w:rsidP="00E677AF">
      <w:pPr>
        <w:pStyle w:val="1"/>
        <w:tabs>
          <w:tab w:val="clear" w:pos="1571"/>
          <w:tab w:val="num" w:pos="0"/>
          <w:tab w:val="num" w:pos="1540"/>
        </w:tabs>
        <w:ind w:left="0" w:firstLine="0"/>
        <w:jc w:val="left"/>
        <w:rPr>
          <w:rFonts w:cs="Arial"/>
          <w:sz w:val="24"/>
          <w:szCs w:val="24"/>
        </w:rPr>
      </w:pPr>
      <w:r w:rsidRPr="002C4420">
        <w:rPr>
          <w:rFonts w:cs="Arial"/>
          <w:sz w:val="24"/>
          <w:szCs w:val="24"/>
        </w:rPr>
        <w:t>повышения степени управляемости и контролируемости технологического процесса;</w:t>
      </w:r>
    </w:p>
    <w:p w14:paraId="74AA4AFB" w14:textId="77777777" w:rsidR="00E677AF" w:rsidRPr="002C4420" w:rsidRDefault="00E677AF" w:rsidP="00E677AF">
      <w:pPr>
        <w:pStyle w:val="1"/>
        <w:tabs>
          <w:tab w:val="clear" w:pos="1571"/>
          <w:tab w:val="num" w:pos="0"/>
          <w:tab w:val="num" w:pos="1540"/>
        </w:tabs>
        <w:spacing w:after="220"/>
        <w:ind w:left="0" w:firstLine="0"/>
        <w:jc w:val="left"/>
        <w:rPr>
          <w:rFonts w:cs="Arial"/>
          <w:sz w:val="24"/>
          <w:szCs w:val="24"/>
        </w:rPr>
      </w:pPr>
      <w:r w:rsidRPr="002C4420">
        <w:rPr>
          <w:rFonts w:cs="Arial"/>
          <w:sz w:val="24"/>
          <w:szCs w:val="24"/>
        </w:rPr>
        <w:t>уменьшения объема работ по выводу из эксплуатации ХОЯТ-2 по истечении срока эксплуатации.</w:t>
      </w:r>
    </w:p>
    <w:p w14:paraId="440B7A84" w14:textId="77777777" w:rsidR="00742EE7" w:rsidRPr="00E677AF" w:rsidRDefault="00E677AF" w:rsidP="00E677AF">
      <w:pPr>
        <w:rPr>
          <w:b/>
          <w:sz w:val="32"/>
          <w:szCs w:val="32"/>
        </w:rPr>
      </w:pPr>
      <w:bookmarkStart w:id="15" w:name="_Toc289950589"/>
      <w:bookmarkStart w:id="16" w:name="_Toc289950720"/>
      <w:bookmarkEnd w:id="14"/>
      <w:bookmarkEnd w:id="15"/>
      <w:bookmarkEnd w:id="16"/>
      <w:proofErr w:type="spellStart"/>
      <w:r w:rsidRPr="00E677AF">
        <w:rPr>
          <w:b/>
          <w:sz w:val="32"/>
          <w:szCs w:val="32"/>
        </w:rPr>
        <w:t>Перевод</w:t>
      </w:r>
      <w:bookmarkStart w:id="17" w:name="_GoBack"/>
      <w:bookmarkEnd w:id="17"/>
      <w:proofErr w:type="spellEnd"/>
    </w:p>
    <w:p w14:paraId="0767F332" w14:textId="77777777" w:rsidR="00E677AF" w:rsidRDefault="00E677AF" w:rsidP="00E677AF"/>
    <w:p w14:paraId="39E98574" w14:textId="77777777" w:rsidR="00E677AF" w:rsidRPr="00E677AF" w:rsidRDefault="00E677AF" w:rsidP="00E677AF">
      <w:pPr>
        <w:pStyle w:val="Heading2"/>
        <w:numPr>
          <w:ilvl w:val="0"/>
          <w:numId w:val="0"/>
        </w:numPr>
        <w:ind w:left="426"/>
        <w:rPr>
          <w:rFonts w:cs="Arial"/>
          <w:sz w:val="24"/>
          <w:szCs w:val="24"/>
          <w:lang w:val="en-GB"/>
        </w:rPr>
      </w:pPr>
      <w:r w:rsidRPr="00E677AF">
        <w:rPr>
          <w:sz w:val="24"/>
          <w:szCs w:val="24"/>
          <w:lang w:val="en-GB"/>
        </w:rPr>
        <w:t xml:space="preserve">1.1   </w:t>
      </w:r>
      <w:r w:rsidRPr="00E677AF">
        <w:rPr>
          <w:sz w:val="24"/>
          <w:szCs w:val="24"/>
          <w:lang w:val="en-GB"/>
        </w:rPr>
        <w:t>The facility is designed to ensure the annual rate of processing and placing for storage of 2,500 SFA or SAR. Spent fuel assemblies and absorber rods are transported to SFPF in a railway wagon</w:t>
      </w:r>
      <w:r w:rsidRPr="00E677AF" w:rsidDel="0032744E">
        <w:rPr>
          <w:sz w:val="24"/>
          <w:szCs w:val="24"/>
          <w:lang w:val="en-GB"/>
        </w:rPr>
        <w:t xml:space="preserve"> </w:t>
      </w:r>
      <w:r w:rsidRPr="00E677AF">
        <w:rPr>
          <w:sz w:val="24"/>
          <w:szCs w:val="24"/>
          <w:lang w:val="en-GB"/>
        </w:rPr>
        <w:t>(a transport cask on a transport vehicle, which serves for transportation of SFA/SAR generated at the Chornobyl NPP RBMK-100 type reactors).</w:t>
      </w:r>
    </w:p>
    <w:p w14:paraId="4EB18722" w14:textId="77777777" w:rsidR="00E677AF" w:rsidRPr="00E677AF" w:rsidRDefault="00E677AF" w:rsidP="00E677AF">
      <w:pPr>
        <w:tabs>
          <w:tab w:val="num" w:pos="1210"/>
        </w:tabs>
        <w:ind w:left="1210"/>
        <w:rPr>
          <w:lang w:val="en-GB"/>
        </w:rPr>
      </w:pPr>
      <w:r w:rsidRPr="00E677AF">
        <w:rPr>
          <w:lang w:val="en-GB"/>
        </w:rPr>
        <w:t>The ISF-2 is designed for acceptance for storage and storage of:</w:t>
      </w:r>
    </w:p>
    <w:p w14:paraId="0B9A14F2" w14:textId="77777777" w:rsidR="00E677AF" w:rsidRPr="00E677AF" w:rsidRDefault="00E677AF" w:rsidP="00E677AF">
      <w:pPr>
        <w:pStyle w:val="1"/>
        <w:tabs>
          <w:tab w:val="clear" w:pos="1571"/>
          <w:tab w:val="num" w:pos="1540"/>
        </w:tabs>
        <w:ind w:left="1210" w:firstLine="0"/>
        <w:rPr>
          <w:sz w:val="24"/>
          <w:szCs w:val="24"/>
          <w:lang w:val="en-GB"/>
        </w:rPr>
      </w:pPr>
      <w:r w:rsidRPr="00E677AF">
        <w:rPr>
          <w:sz w:val="24"/>
          <w:szCs w:val="24"/>
          <w:lang w:val="en-GB"/>
        </w:rPr>
        <w:t>21,297* SFA;</w:t>
      </w:r>
    </w:p>
    <w:p w14:paraId="3122497A" w14:textId="77777777" w:rsidR="00E677AF" w:rsidRPr="00E677AF" w:rsidRDefault="00E677AF" w:rsidP="00E677AF">
      <w:pPr>
        <w:pStyle w:val="1"/>
        <w:tabs>
          <w:tab w:val="clear" w:pos="1571"/>
          <w:tab w:val="num" w:pos="1540"/>
        </w:tabs>
        <w:ind w:left="1210" w:firstLine="0"/>
        <w:rPr>
          <w:sz w:val="24"/>
          <w:szCs w:val="24"/>
          <w:lang w:val="en-GB"/>
        </w:rPr>
      </w:pPr>
      <w:r w:rsidRPr="00E677AF">
        <w:rPr>
          <w:sz w:val="24"/>
          <w:szCs w:val="24"/>
          <w:lang w:val="en-GB"/>
        </w:rPr>
        <w:t>1,704 SAR;</w:t>
      </w:r>
    </w:p>
    <w:p w14:paraId="0B69A4B1" w14:textId="77777777" w:rsidR="00E677AF" w:rsidRPr="00E677AF" w:rsidRDefault="00E677AF" w:rsidP="00E677AF">
      <w:pPr>
        <w:pStyle w:val="1"/>
        <w:tabs>
          <w:tab w:val="clear" w:pos="1571"/>
          <w:tab w:val="num" w:pos="1540"/>
        </w:tabs>
        <w:ind w:left="1210" w:firstLine="0"/>
        <w:rPr>
          <w:sz w:val="24"/>
          <w:szCs w:val="24"/>
          <w:lang w:val="en-GB"/>
        </w:rPr>
      </w:pPr>
      <w:r w:rsidRPr="00E677AF">
        <w:rPr>
          <w:sz w:val="24"/>
          <w:szCs w:val="24"/>
          <w:lang w:val="en-GB"/>
        </w:rPr>
        <w:t xml:space="preserve">22,921 ER separated from SFA and SAR during processing.  </w:t>
      </w:r>
    </w:p>
    <w:p w14:paraId="6EDFC5D5" w14:textId="77777777" w:rsidR="00E677AF" w:rsidRPr="00E677AF" w:rsidRDefault="00E677AF" w:rsidP="00E677AF">
      <w:pPr>
        <w:pStyle w:val="1"/>
        <w:numPr>
          <w:ilvl w:val="0"/>
          <w:numId w:val="0"/>
        </w:numPr>
        <w:spacing w:before="120" w:after="120"/>
        <w:ind w:left="1208"/>
        <w:rPr>
          <w:i/>
          <w:sz w:val="24"/>
          <w:szCs w:val="24"/>
          <w:lang w:val="en-GB"/>
        </w:rPr>
      </w:pPr>
      <w:r w:rsidRPr="00E677AF">
        <w:rPr>
          <w:b/>
          <w:sz w:val="24"/>
          <w:szCs w:val="24"/>
          <w:lang w:val="en-GB"/>
        </w:rPr>
        <w:t>*Note:</w:t>
      </w:r>
      <w:r w:rsidRPr="00E677AF">
        <w:rPr>
          <w:sz w:val="24"/>
          <w:szCs w:val="24"/>
          <w:lang w:val="en-GB"/>
        </w:rPr>
        <w:t xml:space="preserve"> </w:t>
      </w:r>
      <w:r w:rsidRPr="00E677AF">
        <w:rPr>
          <w:i/>
          <w:sz w:val="24"/>
          <w:szCs w:val="24"/>
          <w:lang w:val="en-GB"/>
        </w:rPr>
        <w:t xml:space="preserve">This value was obtained on the basis of full filling of 229 DWC placed for storage.  Therefore, the Technical Specification (Addendum #2) requirement to ensure safe storage of 21,217 SFA is fulfilled. The design envisages supply of 231 DWC, 2 DWC as back-up. </w:t>
      </w:r>
    </w:p>
    <w:p w14:paraId="19B56AAD" w14:textId="77777777" w:rsidR="00E677AF" w:rsidRPr="00E677AF" w:rsidRDefault="00E677AF" w:rsidP="00E677AF">
      <w:pPr>
        <w:ind w:left="1210"/>
        <w:rPr>
          <w:rFonts w:cs="Arial"/>
          <w:lang w:val="en-GB"/>
        </w:rPr>
      </w:pPr>
      <w:r w:rsidRPr="00E677AF">
        <w:rPr>
          <w:rFonts w:cs="Arial"/>
          <w:lang w:val="en-GB"/>
        </w:rPr>
        <w:t xml:space="preserve">The SAR handling system is designed for processing and long-term storage (100 years) of </w:t>
      </w:r>
      <w:proofErr w:type="spellStart"/>
      <w:r w:rsidRPr="00E677AF">
        <w:rPr>
          <w:rFonts w:cs="Arial"/>
          <w:lang w:val="en-GB"/>
        </w:rPr>
        <w:t>ChNPP</w:t>
      </w:r>
      <w:proofErr w:type="spellEnd"/>
      <w:r w:rsidRPr="00E677AF">
        <w:rPr>
          <w:rFonts w:cs="Arial"/>
          <w:lang w:val="en-GB"/>
        </w:rPr>
        <w:t xml:space="preserve"> spent absorber rods, which were used to reduce the void coefficient of reactivity. </w:t>
      </w:r>
    </w:p>
    <w:p w14:paraId="5FCA30B5" w14:textId="77777777" w:rsidR="00E677AF" w:rsidRPr="00E677AF" w:rsidRDefault="00E677AF" w:rsidP="00E677AF">
      <w:pPr>
        <w:ind w:left="1210"/>
        <w:rPr>
          <w:rFonts w:cs="Arial"/>
          <w:lang w:val="en-GB"/>
        </w:rPr>
      </w:pPr>
      <w:r w:rsidRPr="00E677AF">
        <w:rPr>
          <w:rFonts w:cs="Arial"/>
          <w:lang w:val="en-GB"/>
        </w:rPr>
        <w:t xml:space="preserve">Absorber rods do not contain fissile isotopes. When placed in the reactor core they are activated by irradiation and settlement of corrosion radioactive products on their surface. Two types of SAR are sent to ISF-2 for storage: </w:t>
      </w:r>
    </w:p>
    <w:p w14:paraId="6ABB82FE" w14:textId="77777777" w:rsidR="00E677AF" w:rsidRPr="00E677AF" w:rsidRDefault="00E677AF" w:rsidP="00E677AF">
      <w:pPr>
        <w:pStyle w:val="1"/>
        <w:ind w:left="1210" w:firstLine="0"/>
        <w:rPr>
          <w:sz w:val="24"/>
          <w:szCs w:val="24"/>
          <w:lang w:val="en-GB"/>
        </w:rPr>
      </w:pPr>
      <w:r w:rsidRPr="00E677AF">
        <w:rPr>
          <w:sz w:val="24"/>
          <w:szCs w:val="24"/>
          <w:lang w:val="en-GB"/>
        </w:rPr>
        <w:t>Standard SAR - 1,610 pcs;</w:t>
      </w:r>
    </w:p>
    <w:p w14:paraId="369D320D" w14:textId="77777777" w:rsidR="00E677AF" w:rsidRPr="00E677AF" w:rsidRDefault="00E677AF" w:rsidP="00E677AF">
      <w:pPr>
        <w:pStyle w:val="1"/>
        <w:ind w:left="1210" w:firstLine="0"/>
        <w:rPr>
          <w:sz w:val="24"/>
          <w:szCs w:val="24"/>
          <w:lang w:val="en-GB"/>
        </w:rPr>
      </w:pPr>
      <w:r w:rsidRPr="00E677AF">
        <w:rPr>
          <w:sz w:val="24"/>
          <w:szCs w:val="24"/>
          <w:lang w:val="en-GB"/>
        </w:rPr>
        <w:t xml:space="preserve">Cluster-type SAR – 94 pcs. </w:t>
      </w:r>
    </w:p>
    <w:p w14:paraId="4795E627" w14:textId="77777777" w:rsidR="00E677AF" w:rsidRPr="00E677AF" w:rsidRDefault="00E677AF" w:rsidP="00E677AF">
      <w:pPr>
        <w:pStyle w:val="BodyText"/>
        <w:spacing w:before="120" w:after="220"/>
        <w:ind w:left="1210"/>
        <w:rPr>
          <w:rFonts w:cs="Arial"/>
          <w:sz w:val="24"/>
          <w:szCs w:val="24"/>
          <w:lang w:val="en-GB"/>
        </w:rPr>
      </w:pPr>
      <w:r w:rsidRPr="00E677AF">
        <w:rPr>
          <w:rFonts w:cs="Arial"/>
          <w:sz w:val="24"/>
          <w:szCs w:val="24"/>
          <w:lang w:val="en-GB"/>
        </w:rPr>
        <w:t xml:space="preserve">SAR are delivered to ISF-2 in the railway wagon. At SFPF the railway wagon is received and transfer basket is loaded into the hot cell (Room </w:t>
      </w:r>
      <w:r w:rsidRPr="00E677AF">
        <w:rPr>
          <w:sz w:val="24"/>
          <w:szCs w:val="24"/>
          <w:lang w:val="en-GB"/>
        </w:rPr>
        <w:t xml:space="preserve">501). SAR by the crane is positioned on the tilting table, fixed and placed horizontally, after that the extension rod is separated.  </w:t>
      </w:r>
      <w:r w:rsidRPr="00E677AF">
        <w:rPr>
          <w:rFonts w:cs="Arial"/>
          <w:sz w:val="24"/>
          <w:szCs w:val="24"/>
          <w:lang w:val="en-GB"/>
        </w:rPr>
        <w:t xml:space="preserve">Then SAR is loaded into the horizontal tube in the north-eastern part of Room 501. The tube is covered by the filtering ventilating lid to provide for the water vapour escape. After that the tube is disconnected, tilted vertically and lowered onto a special stand in the ISF-2 shielded room. Then the tube with SAR is removed from the stand and along the shielded corridor transported into the room that accommodates storage racks for the tube storage for another 100 years with other tubes with SAR.  </w:t>
      </w:r>
    </w:p>
    <w:p w14:paraId="5CAB404E" w14:textId="77777777" w:rsidR="00E677AF" w:rsidRPr="00E677AF" w:rsidRDefault="00E677AF" w:rsidP="00E677AF">
      <w:pPr>
        <w:pStyle w:val="Heading1"/>
        <w:pageBreakBefore w:val="0"/>
        <w:numPr>
          <w:ilvl w:val="0"/>
          <w:numId w:val="0"/>
        </w:numPr>
        <w:spacing w:before="220"/>
        <w:rPr>
          <w:sz w:val="24"/>
          <w:szCs w:val="24"/>
          <w:lang w:val="en-GB"/>
        </w:rPr>
      </w:pPr>
      <w:bookmarkStart w:id="18" w:name="_Toc294016248"/>
      <w:r w:rsidRPr="00E677AF">
        <w:rPr>
          <w:sz w:val="24"/>
          <w:szCs w:val="24"/>
          <w:lang w:val="en-GB"/>
        </w:rPr>
        <w:t xml:space="preserve">       2           </w:t>
      </w:r>
      <w:r w:rsidRPr="00E677AF">
        <w:rPr>
          <w:sz w:val="24"/>
          <w:szCs w:val="24"/>
          <w:lang w:val="en-GB"/>
        </w:rPr>
        <w:t>Objective and justification of the modification</w:t>
      </w:r>
      <w:bookmarkEnd w:id="18"/>
      <w:r w:rsidRPr="00E677AF">
        <w:rPr>
          <w:sz w:val="24"/>
          <w:szCs w:val="24"/>
          <w:lang w:val="en-GB"/>
        </w:rPr>
        <w:t xml:space="preserve"> </w:t>
      </w:r>
    </w:p>
    <w:p w14:paraId="30CEDDE2" w14:textId="77777777" w:rsidR="00E677AF" w:rsidRPr="00E677AF" w:rsidRDefault="00E677AF" w:rsidP="00E677AF">
      <w:pPr>
        <w:pStyle w:val="Heading2"/>
        <w:numPr>
          <w:ilvl w:val="0"/>
          <w:numId w:val="0"/>
        </w:numPr>
        <w:ind w:left="426"/>
        <w:rPr>
          <w:sz w:val="24"/>
          <w:szCs w:val="24"/>
          <w:lang w:val="en-GB"/>
        </w:rPr>
      </w:pPr>
      <w:r w:rsidRPr="00E677AF">
        <w:rPr>
          <w:sz w:val="24"/>
          <w:szCs w:val="24"/>
          <w:lang w:val="en-GB"/>
        </w:rPr>
        <w:t xml:space="preserve">2.1     </w:t>
      </w:r>
      <w:r w:rsidRPr="00E677AF">
        <w:rPr>
          <w:sz w:val="24"/>
          <w:szCs w:val="24"/>
          <w:lang w:val="en-GB"/>
        </w:rPr>
        <w:t xml:space="preserve">The modification objective is to enhance the ISF-2 safety level and reliability of its </w:t>
      </w:r>
      <w:r w:rsidRPr="00E677AF">
        <w:rPr>
          <w:sz w:val="24"/>
          <w:szCs w:val="24"/>
          <w:lang w:val="en-GB"/>
        </w:rPr>
        <w:t xml:space="preserve">             </w:t>
      </w:r>
      <w:r w:rsidRPr="00E677AF">
        <w:rPr>
          <w:sz w:val="24"/>
          <w:szCs w:val="24"/>
          <w:lang w:val="en-GB"/>
        </w:rPr>
        <w:t xml:space="preserve">systems due to the simplification of the SFPF process. ISF-2 will be used for handling of the </w:t>
      </w:r>
      <w:r w:rsidRPr="00E677AF">
        <w:rPr>
          <w:sz w:val="24"/>
          <w:szCs w:val="24"/>
          <w:lang w:val="en-GB"/>
        </w:rPr>
        <w:t xml:space="preserve">      </w:t>
      </w:r>
      <w:r w:rsidRPr="00E677AF">
        <w:rPr>
          <w:sz w:val="24"/>
          <w:szCs w:val="24"/>
          <w:lang w:val="en-GB"/>
        </w:rPr>
        <w:t xml:space="preserve">Chornobyl NPP spent nuclear fuel only. </w:t>
      </w:r>
    </w:p>
    <w:p w14:paraId="0B22F003" w14:textId="77777777" w:rsidR="00E677AF" w:rsidRPr="00E677AF" w:rsidRDefault="00E677AF" w:rsidP="00E677AF">
      <w:pPr>
        <w:pStyle w:val="Heading2"/>
        <w:numPr>
          <w:ilvl w:val="0"/>
          <w:numId w:val="0"/>
        </w:numPr>
        <w:ind w:left="426"/>
        <w:rPr>
          <w:sz w:val="24"/>
          <w:szCs w:val="24"/>
          <w:lang w:val="en-GB"/>
        </w:rPr>
      </w:pPr>
      <w:r w:rsidRPr="00E677AF">
        <w:rPr>
          <w:sz w:val="24"/>
          <w:szCs w:val="24"/>
          <w:lang w:val="en-GB"/>
        </w:rPr>
        <w:t xml:space="preserve">2.2     </w:t>
      </w:r>
      <w:r w:rsidRPr="00E677AF">
        <w:rPr>
          <w:sz w:val="24"/>
          <w:szCs w:val="24"/>
          <w:lang w:val="en-GB"/>
        </w:rPr>
        <w:t>Once implemented, the modification, as well as the subsequent exclusion of SAR processing, will reduce the ISF-2 operational risks by means of:</w:t>
      </w:r>
    </w:p>
    <w:p w14:paraId="565E4C73" w14:textId="77777777" w:rsidR="00E677AF" w:rsidRPr="00E677AF" w:rsidRDefault="00E677AF" w:rsidP="00E677AF">
      <w:pPr>
        <w:pStyle w:val="1"/>
        <w:tabs>
          <w:tab w:val="clear" w:pos="1571"/>
          <w:tab w:val="num" w:pos="1540"/>
        </w:tabs>
        <w:ind w:left="1540" w:hanging="330"/>
        <w:rPr>
          <w:sz w:val="24"/>
          <w:szCs w:val="24"/>
          <w:lang w:val="en-GB"/>
        </w:rPr>
      </w:pPr>
      <w:r w:rsidRPr="00E677AF">
        <w:rPr>
          <w:sz w:val="24"/>
          <w:szCs w:val="24"/>
          <w:lang w:val="en-GB"/>
        </w:rPr>
        <w:t xml:space="preserve">Reducing the personnel dosage due to reduction of scope of radiation hazardous activities: key process operations, maintenance and repairs, equipment decontamination (pursuant to Section 15.3.4.3, ISF-2 PSAR rev. 5, the collective annual exposure dose at the operator workplace during SAR handling will be </w:t>
      </w:r>
      <w:r w:rsidRPr="00E677AF">
        <w:rPr>
          <w:rFonts w:cs="Arial"/>
          <w:sz w:val="24"/>
          <w:szCs w:val="24"/>
          <w:lang w:val="en-GB"/>
        </w:rPr>
        <w:t>9.84 man</w:t>
      </w:r>
      <w:r w:rsidRPr="00E677AF">
        <w:rPr>
          <w:rFonts w:cs="Arial"/>
          <w:sz w:val="24"/>
          <w:szCs w:val="24"/>
          <w:lang w:val="en-GB"/>
        </w:rPr>
        <w:noBreakHyphen/>
      </w:r>
      <w:proofErr w:type="spellStart"/>
      <w:r w:rsidRPr="00E677AF">
        <w:rPr>
          <w:rFonts w:cs="Arial"/>
          <w:sz w:val="24"/>
          <w:szCs w:val="24"/>
          <w:lang w:val="en-GB"/>
        </w:rPr>
        <w:t>mSv</w:t>
      </w:r>
      <w:proofErr w:type="spellEnd"/>
      <w:r w:rsidRPr="00E677AF">
        <w:rPr>
          <w:rFonts w:cs="Arial"/>
          <w:sz w:val="24"/>
          <w:szCs w:val="24"/>
          <w:lang w:val="en-GB"/>
        </w:rPr>
        <w:t>)</w:t>
      </w:r>
      <w:r w:rsidRPr="00E677AF">
        <w:rPr>
          <w:sz w:val="24"/>
          <w:szCs w:val="24"/>
          <w:lang w:val="en-GB"/>
        </w:rPr>
        <w:t>;</w:t>
      </w:r>
    </w:p>
    <w:p w14:paraId="7AA7BBCE" w14:textId="77777777" w:rsidR="00E677AF" w:rsidRPr="00E677AF" w:rsidRDefault="00E677AF" w:rsidP="00E677AF">
      <w:pPr>
        <w:pStyle w:val="1"/>
        <w:tabs>
          <w:tab w:val="clear" w:pos="1571"/>
          <w:tab w:val="num" w:pos="1540"/>
        </w:tabs>
        <w:ind w:left="1540" w:hanging="330"/>
        <w:rPr>
          <w:sz w:val="24"/>
          <w:szCs w:val="24"/>
          <w:lang w:val="en-GB"/>
        </w:rPr>
      </w:pPr>
      <w:r w:rsidRPr="00E677AF">
        <w:rPr>
          <w:sz w:val="24"/>
          <w:szCs w:val="24"/>
          <w:lang w:val="en-GB"/>
        </w:rPr>
        <w:t>reducing the list of initial events of design-basis accidents;</w:t>
      </w:r>
    </w:p>
    <w:p w14:paraId="0FDCBA7C" w14:textId="77777777" w:rsidR="00E677AF" w:rsidRPr="00E677AF" w:rsidRDefault="00E677AF" w:rsidP="00E677AF">
      <w:pPr>
        <w:pStyle w:val="1"/>
        <w:tabs>
          <w:tab w:val="clear" w:pos="1571"/>
          <w:tab w:val="num" w:pos="1540"/>
        </w:tabs>
        <w:ind w:left="1540" w:hanging="330"/>
        <w:rPr>
          <w:sz w:val="24"/>
          <w:szCs w:val="24"/>
          <w:lang w:val="en-GB"/>
        </w:rPr>
      </w:pPr>
      <w:r w:rsidRPr="00E677AF">
        <w:rPr>
          <w:sz w:val="24"/>
          <w:szCs w:val="24"/>
          <w:lang w:val="en-GB"/>
        </w:rPr>
        <w:t>enhancement of the facility reliability through simplification of the process due to minimisation of operations and optimum accommodation of SNF processing equipment in SFPF Room 501 due to cancelling of SAR processing equipment;</w:t>
      </w:r>
    </w:p>
    <w:p w14:paraId="21EAE936" w14:textId="77777777" w:rsidR="00E677AF" w:rsidRPr="00E677AF" w:rsidRDefault="00E677AF" w:rsidP="00E677AF">
      <w:pPr>
        <w:pStyle w:val="1"/>
        <w:tabs>
          <w:tab w:val="clear" w:pos="1571"/>
          <w:tab w:val="num" w:pos="1540"/>
        </w:tabs>
        <w:ind w:left="1540" w:hanging="330"/>
        <w:rPr>
          <w:sz w:val="24"/>
          <w:szCs w:val="24"/>
          <w:lang w:val="en-GB"/>
        </w:rPr>
      </w:pPr>
      <w:r w:rsidRPr="00E677AF">
        <w:rPr>
          <w:sz w:val="24"/>
          <w:szCs w:val="24"/>
          <w:lang w:val="en-GB"/>
        </w:rPr>
        <w:t>improving controllability and manageability of the process;</w:t>
      </w:r>
    </w:p>
    <w:p w14:paraId="4C017F01" w14:textId="77777777" w:rsidR="00E677AF" w:rsidRPr="00E677AF" w:rsidRDefault="00E677AF" w:rsidP="00E677AF">
      <w:pPr>
        <w:pStyle w:val="1"/>
        <w:tabs>
          <w:tab w:val="clear" w:pos="1571"/>
          <w:tab w:val="num" w:pos="1540"/>
        </w:tabs>
        <w:spacing w:after="220"/>
        <w:ind w:left="1537" w:hanging="329"/>
        <w:rPr>
          <w:sz w:val="24"/>
          <w:szCs w:val="24"/>
          <w:lang w:val="en-GB"/>
        </w:rPr>
      </w:pPr>
      <w:r w:rsidRPr="00E677AF">
        <w:rPr>
          <w:sz w:val="24"/>
          <w:szCs w:val="24"/>
          <w:lang w:val="en-GB"/>
        </w:rPr>
        <w:t>reducing the scope of ISF-2 decommissioning activities upon expiry of operational lifetime.</w:t>
      </w:r>
    </w:p>
    <w:p w14:paraId="707220A7" w14:textId="77777777" w:rsidR="00E677AF" w:rsidRPr="00E677AF" w:rsidRDefault="00E677AF" w:rsidP="00E677AF"/>
    <w:sectPr w:rsidR="00E677AF" w:rsidRPr="00E677AF" w:rsidSect="005261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55DC69B4"/>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1277"/>
        </w:tabs>
        <w:ind w:left="1277" w:hanging="851"/>
      </w:pPr>
      <w:rPr>
        <w:rFonts w:hint="default"/>
      </w:rPr>
    </w:lvl>
    <w:lvl w:ilvl="2">
      <w:start w:val="1"/>
      <w:numFmt w:val="decimal"/>
      <w:pStyle w:val="Heading3"/>
      <w:lvlText w:val="%1.%2.%3"/>
      <w:lvlJc w:val="left"/>
      <w:pPr>
        <w:tabs>
          <w:tab w:val="num" w:pos="851"/>
        </w:tabs>
        <w:ind w:left="851" w:hanging="851"/>
      </w:pPr>
      <w:rPr>
        <w:rFonts w:ascii="Arial" w:eastAsia="Times New Roman" w:hAnsi="Arial" w:cs="Arial" w:hint="default"/>
        <w:spacing w:val="10"/>
      </w:rPr>
    </w:lvl>
    <w:lvl w:ilvl="3">
      <w:start w:val="1"/>
      <w:numFmt w:val="decimal"/>
      <w:pStyle w:val="Heading4"/>
      <w:lvlText w:val="%1.%2.%3.%4"/>
      <w:lvlJc w:val="left"/>
      <w:pPr>
        <w:tabs>
          <w:tab w:val="num" w:pos="851"/>
        </w:tabs>
        <w:ind w:left="851" w:hanging="851"/>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nsid w:val="3FA427DB"/>
    <w:multiLevelType w:val="hybridMultilevel"/>
    <w:tmpl w:val="D64A94A8"/>
    <w:lvl w:ilvl="0" w:tplc="92CAE3B4">
      <w:start w:val="1"/>
      <w:numFmt w:val="bullet"/>
      <w:pStyle w:val="1"/>
      <w:lvlText w:val=""/>
      <w:lvlJc w:val="left"/>
      <w:pPr>
        <w:tabs>
          <w:tab w:val="num" w:pos="1571"/>
        </w:tabs>
        <w:ind w:left="1571" w:hanging="360"/>
      </w:pPr>
      <w:rPr>
        <w:rFonts w:ascii="Symbol" w:hAnsi="Symbol" w:hint="default"/>
      </w:rPr>
    </w:lvl>
    <w:lvl w:ilvl="1" w:tplc="04190003">
      <w:start w:val="1"/>
      <w:numFmt w:val="decimal"/>
      <w:lvlText w:val="%2."/>
      <w:lvlJc w:val="left"/>
      <w:pPr>
        <w:tabs>
          <w:tab w:val="num" w:pos="2291"/>
        </w:tabs>
        <w:ind w:left="2291" w:hanging="360"/>
      </w:pPr>
      <w:rPr>
        <w:rFonts w:hint="default"/>
      </w:rPr>
    </w:lvl>
    <w:lvl w:ilvl="2" w:tplc="0419000F">
      <w:start w:val="1"/>
      <w:numFmt w:val="decimal"/>
      <w:lvlText w:val="%3."/>
      <w:lvlJc w:val="left"/>
      <w:pPr>
        <w:tabs>
          <w:tab w:val="num" w:pos="3011"/>
        </w:tabs>
        <w:ind w:left="3011" w:hanging="360"/>
      </w:pPr>
      <w:rPr>
        <w:rFont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7AF"/>
    <w:rsid w:val="005261CD"/>
    <w:rsid w:val="006071BD"/>
    <w:rsid w:val="009C06A9"/>
    <w:rsid w:val="00E67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4CE42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7AF"/>
    <w:rPr>
      <w:lang w:val="uk-UA"/>
    </w:rPr>
  </w:style>
  <w:style w:type="paragraph" w:styleId="Heading1">
    <w:name w:val="heading 1"/>
    <w:aliases w:val="Заг 1,Edf Titre 1,Заголовок,Rodos title,Názov kapitoly"/>
    <w:basedOn w:val="Normal"/>
    <w:next w:val="Heading2"/>
    <w:link w:val="Heading1Char"/>
    <w:qFormat/>
    <w:rsid w:val="00E677AF"/>
    <w:pPr>
      <w:pageBreakBefore/>
      <w:numPr>
        <w:numId w:val="1"/>
      </w:numPr>
      <w:suppressAutoHyphens/>
      <w:spacing w:after="220"/>
      <w:outlineLvl w:val="0"/>
    </w:pPr>
    <w:rPr>
      <w:rFonts w:ascii="Arial" w:eastAsia="Times New Roman" w:hAnsi="Arial" w:cs="Times New Roman"/>
      <w:caps/>
      <w:sz w:val="22"/>
      <w:szCs w:val="20"/>
      <w:lang w:val="ru-RU" w:eastAsia="ru-RU"/>
    </w:rPr>
  </w:style>
  <w:style w:type="paragraph" w:styleId="Heading2">
    <w:name w:val="heading 2"/>
    <w:aliases w:val="Edf Titre 2,Подраздел,Загол. 2,Iia?acaae,Заг 2,Заг 2 + Слева:  1,27 см,...,Заг 2 + Перед:  12 пт + ..."/>
    <w:basedOn w:val="Normal"/>
    <w:link w:val="Heading2Char"/>
    <w:qFormat/>
    <w:rsid w:val="00E677AF"/>
    <w:pPr>
      <w:numPr>
        <w:ilvl w:val="1"/>
        <w:numId w:val="1"/>
      </w:numPr>
      <w:spacing w:before="220"/>
      <w:jc w:val="both"/>
      <w:outlineLvl w:val="1"/>
    </w:pPr>
    <w:rPr>
      <w:rFonts w:ascii="Arial" w:eastAsia="Times New Roman" w:hAnsi="Arial" w:cs="Times New Roman"/>
      <w:sz w:val="22"/>
      <w:szCs w:val="20"/>
      <w:lang w:val="ru-RU" w:eastAsia="ru-RU"/>
    </w:rPr>
  </w:style>
  <w:style w:type="paragraph" w:styleId="Heading3">
    <w:name w:val="heading 3"/>
    <w:aliases w:val="Edf Titre 3,Пункт,Заголовок 3 Знак Знак Знак Знак Знак Знак Знак Знак Знак Знак Знак Знак Знак Знак Знак,BMUÇàã3,Ioieo,?????, Знак,Заголовок 3 Знак Знак Знак Знак Знак Знак Знак ..."/>
    <w:basedOn w:val="Normal"/>
    <w:link w:val="Heading3Char"/>
    <w:qFormat/>
    <w:rsid w:val="00E677AF"/>
    <w:pPr>
      <w:numPr>
        <w:ilvl w:val="2"/>
        <w:numId w:val="1"/>
      </w:numPr>
      <w:jc w:val="both"/>
      <w:outlineLvl w:val="2"/>
    </w:pPr>
    <w:rPr>
      <w:rFonts w:ascii="Arial" w:eastAsia="Times New Roman" w:hAnsi="Arial" w:cs="Times New Roman"/>
      <w:color w:val="000000"/>
      <w:sz w:val="22"/>
      <w:szCs w:val="20"/>
      <w:lang w:val="ru-RU" w:eastAsia="ru-RU"/>
    </w:rPr>
  </w:style>
  <w:style w:type="paragraph" w:styleId="Heading4">
    <w:name w:val="heading 4"/>
    <w:aliases w:val="Edf Titre 4,BMUÇàã4,BMUÇàã41,BMUÇàã42,BMUÇàã43,BMUÇàã44,BMUÇàã45,BMUÇàã46,BMUÇàã47,BMUÇàã48,BMUÇàã49,BMUÇàã410,BMUÇàã411,BMUÇàã412,BMUÇàã413,BMUÇàã414,BMUÇàã415,BMUÇàã416,BMUÇàã417,BMUÇàã418,BMUÇàã419,BMUÇàã420,BMUÇàã421,BMUÇàã422,Подпункт"/>
    <w:basedOn w:val="Normal"/>
    <w:link w:val="Heading4Char"/>
    <w:qFormat/>
    <w:rsid w:val="00E677AF"/>
    <w:pPr>
      <w:numPr>
        <w:ilvl w:val="3"/>
        <w:numId w:val="1"/>
      </w:numPr>
      <w:jc w:val="both"/>
      <w:outlineLvl w:val="3"/>
    </w:pPr>
    <w:rPr>
      <w:rFonts w:ascii="Arial" w:eastAsia="Times New Roman" w:hAnsi="Arial" w:cs="Times New Roman"/>
      <w:sz w:val="22"/>
      <w:szCs w:val="20"/>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Заг 1 Char,Edf Titre 1 Char,Заголовок Char,Rodos title Char,Názov kapitoly Char"/>
    <w:basedOn w:val="DefaultParagraphFont"/>
    <w:link w:val="Heading1"/>
    <w:rsid w:val="00E677AF"/>
    <w:rPr>
      <w:rFonts w:ascii="Arial" w:eastAsia="Times New Roman" w:hAnsi="Arial" w:cs="Times New Roman"/>
      <w:caps/>
      <w:sz w:val="22"/>
      <w:szCs w:val="20"/>
      <w:lang w:val="ru-RU" w:eastAsia="ru-RU"/>
    </w:rPr>
  </w:style>
  <w:style w:type="character" w:customStyle="1" w:styleId="Heading2Char">
    <w:name w:val="Heading 2 Char"/>
    <w:aliases w:val="Edf Titre 2 Char,Подраздел Char,Загол. 2 Char,Iia?acaae Char,Заг 2 Char,Заг 2 + Слева:  1 Char,27 см Char,... Char,Заг 2 + Перед:  12 пт + ... Char"/>
    <w:basedOn w:val="DefaultParagraphFont"/>
    <w:link w:val="Heading2"/>
    <w:rsid w:val="00E677AF"/>
    <w:rPr>
      <w:rFonts w:ascii="Arial" w:eastAsia="Times New Roman" w:hAnsi="Arial" w:cs="Times New Roman"/>
      <w:sz w:val="22"/>
      <w:szCs w:val="20"/>
      <w:lang w:val="ru-RU" w:eastAsia="ru-RU"/>
    </w:rPr>
  </w:style>
  <w:style w:type="character" w:customStyle="1" w:styleId="Heading3Char">
    <w:name w:val="Heading 3 Char"/>
    <w:aliases w:val="Edf Titre 3 Char,Пункт Char,Заголовок 3 Знак Знак Знак Знак Знак Знак Знак Знак Знак Знак Знак Знак Знак Знак Знак Char,BMUÇàã3 Char,Ioieo Char,????? Char, Знак Char,Заголовок 3 Знак Знак Знак Знак Знак Знак Знак ... Char"/>
    <w:basedOn w:val="DefaultParagraphFont"/>
    <w:link w:val="Heading3"/>
    <w:rsid w:val="00E677AF"/>
    <w:rPr>
      <w:rFonts w:ascii="Arial" w:eastAsia="Times New Roman" w:hAnsi="Arial" w:cs="Times New Roman"/>
      <w:color w:val="000000"/>
      <w:sz w:val="22"/>
      <w:szCs w:val="20"/>
      <w:lang w:val="ru-RU" w:eastAsia="ru-RU"/>
    </w:rPr>
  </w:style>
  <w:style w:type="character" w:customStyle="1" w:styleId="Heading4Char">
    <w:name w:val="Heading 4 Char"/>
    <w:basedOn w:val="DefaultParagraphFont"/>
    <w:link w:val="Heading4"/>
    <w:rsid w:val="00E677AF"/>
    <w:rPr>
      <w:rFonts w:ascii="Arial" w:eastAsia="Times New Roman" w:hAnsi="Arial" w:cs="Times New Roman"/>
      <w:sz w:val="22"/>
      <w:szCs w:val="20"/>
      <w:lang w:val="ru-RU" w:eastAsia="ru-RU"/>
    </w:rPr>
  </w:style>
  <w:style w:type="table" w:styleId="TableGrid">
    <w:name w:val="Table Grid"/>
    <w:basedOn w:val="TableNormal"/>
    <w:uiPriority w:val="39"/>
    <w:rsid w:val="00E677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аркированный 1"/>
    <w:basedOn w:val="Normal"/>
    <w:link w:val="10"/>
    <w:rsid w:val="00E677AF"/>
    <w:pPr>
      <w:numPr>
        <w:numId w:val="2"/>
      </w:numPr>
      <w:jc w:val="both"/>
    </w:pPr>
    <w:rPr>
      <w:rFonts w:ascii="Arial" w:eastAsia="Times New Roman" w:hAnsi="Arial" w:cs="Times New Roman"/>
      <w:sz w:val="22"/>
      <w:szCs w:val="20"/>
      <w:lang w:val="ru-RU" w:eastAsia="ru-RU"/>
    </w:rPr>
  </w:style>
  <w:style w:type="paragraph" w:styleId="BodyText">
    <w:name w:val="Body Text"/>
    <w:basedOn w:val="Normal"/>
    <w:link w:val="BodyTextChar"/>
    <w:rsid w:val="00E677AF"/>
    <w:pPr>
      <w:spacing w:after="120"/>
      <w:jc w:val="both"/>
    </w:pPr>
    <w:rPr>
      <w:rFonts w:ascii="Arial" w:eastAsia="Times New Roman" w:hAnsi="Arial" w:cs="Times New Roman"/>
      <w:sz w:val="22"/>
      <w:szCs w:val="20"/>
      <w:lang w:val="ru-RU" w:eastAsia="ru-RU"/>
    </w:rPr>
  </w:style>
  <w:style w:type="character" w:customStyle="1" w:styleId="BodyTextChar">
    <w:name w:val="Body Text Char"/>
    <w:basedOn w:val="DefaultParagraphFont"/>
    <w:link w:val="BodyText"/>
    <w:rsid w:val="00E677AF"/>
    <w:rPr>
      <w:rFonts w:ascii="Arial" w:eastAsia="Times New Roman" w:hAnsi="Arial" w:cs="Times New Roman"/>
      <w:sz w:val="22"/>
      <w:szCs w:val="20"/>
      <w:lang w:val="ru-RU" w:eastAsia="ru-RU"/>
    </w:rPr>
  </w:style>
  <w:style w:type="character" w:customStyle="1" w:styleId="10">
    <w:name w:val="Маркированный 1 Знак"/>
    <w:basedOn w:val="DefaultParagraphFont"/>
    <w:link w:val="1"/>
    <w:rsid w:val="00E677AF"/>
    <w:rPr>
      <w:rFonts w:ascii="Arial" w:eastAsia="Times New Roman" w:hAnsi="Arial" w:cs="Times New Roman"/>
      <w:sz w:val="22"/>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1022</Words>
  <Characters>5826</Characters>
  <Application>Microsoft Macintosh Word</Application>
  <DocSecurity>0</DocSecurity>
  <Lines>48</Lines>
  <Paragraphs>13</Paragraphs>
  <ScaleCrop>false</ScaleCrop>
  <LinksUpToDate>false</LinksUpToDate>
  <CharactersWithSpaces>6835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2018-08-03T09:37:00Z</dcterms:created>
  <dcterms:modified xsi:type="dcterms:W3CDTF">2018-08-03T09:52:00Z</dcterms:modified>
</cp:coreProperties>
</file>